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3D56B4" w14:textId="77777777" w:rsidR="00BF1289" w:rsidRDefault="00BF1289" w:rsidP="00525BE0">
      <w:pPr>
        <w:pStyle w:val="Heading1"/>
        <w:jc w:val="center"/>
        <w:rPr>
          <w:rFonts w:eastAsia="Times New Roman"/>
          <w:sz w:val="40"/>
          <w:szCs w:val="40"/>
          <w:lang w:eastAsia="en-GB"/>
        </w:rPr>
      </w:pPr>
    </w:p>
    <w:p w14:paraId="68B93F4B" w14:textId="7BD5557B" w:rsidR="0059743C" w:rsidRPr="00BF1289" w:rsidRDefault="00E64F79" w:rsidP="00525BE0">
      <w:pPr>
        <w:pStyle w:val="Heading1"/>
        <w:jc w:val="center"/>
        <w:rPr>
          <w:rFonts w:eastAsia="Times New Roman"/>
          <w:sz w:val="40"/>
          <w:szCs w:val="40"/>
          <w:lang w:eastAsia="en-GB"/>
        </w:rPr>
      </w:pPr>
      <w:bookmarkStart w:id="0" w:name="_Toc85060282"/>
      <w:bookmarkStart w:id="1" w:name="_Toc85066391"/>
      <w:r w:rsidRPr="00BF1289">
        <w:rPr>
          <w:rFonts w:eastAsia="Times New Roman"/>
          <w:sz w:val="40"/>
          <w:szCs w:val="40"/>
          <w:lang w:eastAsia="en-GB"/>
        </w:rPr>
        <w:t>Achieving inter-organisational collaboration between health care providers: a realist synthesis of theoretical, empirical, and stakeholder evidence</w:t>
      </w:r>
      <w:bookmarkEnd w:id="0"/>
      <w:bookmarkEnd w:id="1"/>
    </w:p>
    <w:p w14:paraId="52439B30" w14:textId="4B1AC805" w:rsidR="0059743C" w:rsidRDefault="0059743C" w:rsidP="00525BE0">
      <w:pPr>
        <w:jc w:val="both"/>
        <w:rPr>
          <w:lang w:eastAsia="en-GB"/>
        </w:rPr>
      </w:pPr>
    </w:p>
    <w:p w14:paraId="5D78530A" w14:textId="77777777" w:rsidR="00525BE0" w:rsidRPr="0059743C" w:rsidRDefault="00525BE0" w:rsidP="00525BE0">
      <w:pPr>
        <w:jc w:val="both"/>
        <w:rPr>
          <w:lang w:eastAsia="en-GB"/>
        </w:rPr>
      </w:pPr>
    </w:p>
    <w:p w14:paraId="323B29F6" w14:textId="1D40D263" w:rsidR="007877B7" w:rsidRPr="006D770F" w:rsidRDefault="009B3BC2" w:rsidP="006D770F">
      <w:pPr>
        <w:spacing w:after="0" w:line="240" w:lineRule="auto"/>
        <w:jc w:val="both"/>
        <w:rPr>
          <w:rFonts w:ascii="Times New Roman" w:eastAsia="Times New Roman" w:hAnsi="Times New Roman" w:cs="Times New Roman"/>
          <w:sz w:val="32"/>
          <w:szCs w:val="32"/>
          <w:lang w:eastAsia="en-GB"/>
        </w:rPr>
      </w:pPr>
      <w:r w:rsidRPr="006D770F">
        <w:rPr>
          <w:rFonts w:ascii="Calibri" w:eastAsia="Times New Roman" w:hAnsi="Calibri" w:cs="Calibri"/>
          <w:sz w:val="28"/>
          <w:szCs w:val="28"/>
          <w:lang w:eastAsia="en-GB"/>
        </w:rPr>
        <w:t>Ross Millar</w:t>
      </w:r>
      <w:r w:rsidR="00A54757" w:rsidRPr="006D770F">
        <w:rPr>
          <w:rFonts w:ascii="Calibri" w:eastAsia="Times New Roman" w:hAnsi="Calibri" w:cs="Calibri"/>
          <w:sz w:val="28"/>
          <w:szCs w:val="28"/>
          <w:vertAlign w:val="superscript"/>
          <w:lang w:eastAsia="en-GB"/>
        </w:rPr>
        <w:t>1</w:t>
      </w:r>
      <w:r w:rsidR="007877B7" w:rsidRPr="006D770F">
        <w:rPr>
          <w:rFonts w:ascii="Calibri" w:eastAsia="Times New Roman" w:hAnsi="Calibri" w:cs="Calibri"/>
          <w:sz w:val="28"/>
          <w:szCs w:val="28"/>
          <w:lang w:eastAsia="en-GB"/>
        </w:rPr>
        <w:t>*</w:t>
      </w:r>
      <w:r w:rsidR="00A54757" w:rsidRPr="006D770F">
        <w:rPr>
          <w:rFonts w:ascii="Calibri" w:eastAsia="Times New Roman" w:hAnsi="Calibri" w:cs="Calibri"/>
          <w:sz w:val="28"/>
          <w:szCs w:val="28"/>
          <w:lang w:eastAsia="en-GB"/>
        </w:rPr>
        <w:t>,</w:t>
      </w:r>
      <w:r w:rsidR="00A54757">
        <w:rPr>
          <w:rFonts w:ascii="Times New Roman" w:eastAsia="Times New Roman" w:hAnsi="Times New Roman" w:cs="Times New Roman"/>
          <w:sz w:val="32"/>
          <w:szCs w:val="32"/>
          <w:lang w:eastAsia="en-GB"/>
        </w:rPr>
        <w:t xml:space="preserve"> </w:t>
      </w:r>
      <w:r w:rsidRPr="006D770F">
        <w:rPr>
          <w:rFonts w:ascii="Calibri" w:eastAsia="Times New Roman" w:hAnsi="Calibri" w:cs="Calibri"/>
          <w:sz w:val="28"/>
          <w:szCs w:val="28"/>
          <w:lang w:eastAsia="en-GB"/>
        </w:rPr>
        <w:t xml:space="preserve">Justin </w:t>
      </w:r>
      <w:r w:rsidR="001168C5" w:rsidRPr="006D770F">
        <w:rPr>
          <w:rFonts w:ascii="Calibri" w:eastAsia="Times New Roman" w:hAnsi="Calibri" w:cs="Calibri"/>
          <w:sz w:val="28"/>
          <w:szCs w:val="28"/>
          <w:lang w:eastAsia="en-GB"/>
        </w:rPr>
        <w:t xml:space="preserve">Avery </w:t>
      </w:r>
      <w:r w:rsidRPr="006D770F">
        <w:rPr>
          <w:rFonts w:ascii="Calibri" w:eastAsia="Times New Roman" w:hAnsi="Calibri" w:cs="Calibri"/>
          <w:sz w:val="28"/>
          <w:szCs w:val="28"/>
          <w:lang w:eastAsia="en-GB"/>
        </w:rPr>
        <w:t>Aunger</w:t>
      </w:r>
      <w:r w:rsidR="00A54757">
        <w:rPr>
          <w:rFonts w:ascii="Calibri" w:eastAsia="Times New Roman" w:hAnsi="Calibri" w:cs="Calibri"/>
          <w:sz w:val="28"/>
          <w:szCs w:val="28"/>
          <w:vertAlign w:val="superscript"/>
          <w:lang w:eastAsia="en-GB"/>
        </w:rPr>
        <w:t>1</w:t>
      </w:r>
      <w:r w:rsidRPr="006D770F">
        <w:rPr>
          <w:rFonts w:ascii="Calibri" w:eastAsia="Times New Roman" w:hAnsi="Calibri" w:cs="Calibri"/>
          <w:sz w:val="28"/>
          <w:szCs w:val="28"/>
          <w:lang w:eastAsia="en-GB"/>
        </w:rPr>
        <w:t>, Anne Marie Rafferty</w:t>
      </w:r>
      <w:r w:rsidR="00A54757">
        <w:rPr>
          <w:rFonts w:ascii="Calibri" w:eastAsia="Times New Roman" w:hAnsi="Calibri" w:cs="Calibri"/>
          <w:sz w:val="28"/>
          <w:szCs w:val="28"/>
          <w:vertAlign w:val="superscript"/>
          <w:lang w:eastAsia="en-GB"/>
        </w:rPr>
        <w:t>2</w:t>
      </w:r>
      <w:r w:rsidR="007877B7">
        <w:rPr>
          <w:rFonts w:ascii="Calibri" w:eastAsia="Times New Roman" w:hAnsi="Calibri" w:cs="Calibri"/>
          <w:sz w:val="28"/>
          <w:szCs w:val="28"/>
          <w:lang w:eastAsia="en-GB"/>
        </w:rPr>
        <w:t xml:space="preserve">, </w:t>
      </w:r>
      <w:r w:rsidRPr="006D770F">
        <w:rPr>
          <w:rFonts w:ascii="Calibri" w:eastAsia="Times New Roman" w:hAnsi="Calibri" w:cs="Calibri"/>
          <w:sz w:val="28"/>
          <w:szCs w:val="28"/>
          <w:lang w:eastAsia="en-GB"/>
        </w:rPr>
        <w:t>Joanne Greenhalgh</w:t>
      </w:r>
      <w:r w:rsidR="00A54757">
        <w:rPr>
          <w:rFonts w:ascii="Calibri" w:eastAsia="Times New Roman" w:hAnsi="Calibri" w:cs="Calibri"/>
          <w:sz w:val="28"/>
          <w:szCs w:val="28"/>
          <w:vertAlign w:val="superscript"/>
          <w:lang w:eastAsia="en-GB"/>
        </w:rPr>
        <w:t>3</w:t>
      </w:r>
      <w:r w:rsidRPr="006D770F">
        <w:rPr>
          <w:rFonts w:ascii="Calibri" w:eastAsia="Times New Roman" w:hAnsi="Calibri" w:cs="Calibri"/>
          <w:sz w:val="28"/>
          <w:szCs w:val="28"/>
          <w:lang w:eastAsia="en-GB"/>
        </w:rPr>
        <w:t xml:space="preserve">, </w:t>
      </w:r>
    </w:p>
    <w:p w14:paraId="3809683B" w14:textId="5AD3E5A6" w:rsidR="009B3BC2" w:rsidRPr="006D770F" w:rsidRDefault="009B3BC2">
      <w:pPr>
        <w:spacing w:after="0" w:line="240" w:lineRule="auto"/>
        <w:jc w:val="both"/>
        <w:rPr>
          <w:rFonts w:ascii="Times New Roman" w:eastAsia="Times New Roman" w:hAnsi="Times New Roman" w:cs="Times New Roman"/>
          <w:sz w:val="32"/>
          <w:szCs w:val="32"/>
          <w:lang w:eastAsia="en-GB"/>
        </w:rPr>
      </w:pPr>
      <w:r w:rsidRPr="006D770F">
        <w:rPr>
          <w:rFonts w:ascii="Calibri" w:eastAsia="Times New Roman" w:hAnsi="Calibri" w:cs="Calibri"/>
          <w:sz w:val="28"/>
          <w:szCs w:val="28"/>
          <w:lang w:eastAsia="en-GB"/>
        </w:rPr>
        <w:t>Russell Mannion</w:t>
      </w:r>
      <w:r w:rsidR="00A54757">
        <w:rPr>
          <w:rFonts w:ascii="Calibri" w:eastAsia="Times New Roman" w:hAnsi="Calibri" w:cs="Calibri"/>
          <w:sz w:val="28"/>
          <w:szCs w:val="28"/>
          <w:vertAlign w:val="superscript"/>
          <w:lang w:eastAsia="en-GB"/>
        </w:rPr>
        <w:t>1</w:t>
      </w:r>
      <w:r w:rsidRPr="006D770F">
        <w:rPr>
          <w:rFonts w:ascii="Calibri" w:eastAsia="Times New Roman" w:hAnsi="Calibri" w:cs="Calibri"/>
          <w:sz w:val="28"/>
          <w:szCs w:val="28"/>
          <w:lang w:eastAsia="en-GB"/>
        </w:rPr>
        <w:t>, Hugh McLeod</w:t>
      </w:r>
      <w:r w:rsidR="00A54757">
        <w:rPr>
          <w:rFonts w:ascii="Calibri" w:eastAsia="Times New Roman" w:hAnsi="Calibri" w:cs="Calibri"/>
          <w:sz w:val="28"/>
          <w:szCs w:val="28"/>
          <w:vertAlign w:val="superscript"/>
          <w:lang w:eastAsia="en-GB"/>
        </w:rPr>
        <w:t>4</w:t>
      </w:r>
      <w:r w:rsidRPr="006D770F">
        <w:rPr>
          <w:rFonts w:ascii="Calibri" w:eastAsia="Times New Roman" w:hAnsi="Calibri" w:cs="Calibri"/>
          <w:sz w:val="28"/>
          <w:szCs w:val="28"/>
          <w:lang w:eastAsia="en-GB"/>
        </w:rPr>
        <w:t>, Deborah Faulks</w:t>
      </w:r>
      <w:r w:rsidR="00A54757">
        <w:rPr>
          <w:rFonts w:ascii="Calibri" w:eastAsia="Times New Roman" w:hAnsi="Calibri" w:cs="Calibri"/>
          <w:sz w:val="28"/>
          <w:szCs w:val="28"/>
          <w:vertAlign w:val="superscript"/>
          <w:lang w:eastAsia="en-GB"/>
        </w:rPr>
        <w:t>5</w:t>
      </w:r>
      <w:r w:rsidR="007877B7">
        <w:rPr>
          <w:rFonts w:ascii="Calibri" w:eastAsia="Times New Roman" w:hAnsi="Calibri" w:cs="Calibri"/>
          <w:sz w:val="28"/>
          <w:szCs w:val="28"/>
          <w:lang w:eastAsia="en-GB"/>
        </w:rPr>
        <w:t xml:space="preserve">, </w:t>
      </w:r>
    </w:p>
    <w:p w14:paraId="79FD4EFC" w14:textId="3A4AD2BE" w:rsidR="00E64F79" w:rsidRDefault="00E64F79" w:rsidP="00525BE0">
      <w:pPr>
        <w:jc w:val="both"/>
        <w:rPr>
          <w:lang w:eastAsia="en-GB"/>
        </w:rPr>
      </w:pPr>
    </w:p>
    <w:p w14:paraId="638389E7" w14:textId="0F4C9F23" w:rsidR="00BF1289" w:rsidRDefault="00BF1289" w:rsidP="00525BE0">
      <w:pPr>
        <w:jc w:val="both"/>
        <w:rPr>
          <w:lang w:eastAsia="en-GB"/>
        </w:rPr>
      </w:pPr>
    </w:p>
    <w:p w14:paraId="0981B186" w14:textId="712BDE9D" w:rsidR="00BF1289" w:rsidRDefault="00A54757" w:rsidP="00525BE0">
      <w:pPr>
        <w:jc w:val="both"/>
        <w:rPr>
          <w:lang w:eastAsia="en-GB"/>
        </w:rPr>
      </w:pPr>
      <w:r>
        <w:rPr>
          <w:vertAlign w:val="superscript"/>
          <w:lang w:eastAsia="en-GB"/>
        </w:rPr>
        <w:t xml:space="preserve">1 </w:t>
      </w:r>
      <w:r w:rsidRPr="00A54757">
        <w:rPr>
          <w:lang w:eastAsia="en-GB"/>
        </w:rPr>
        <w:t>Health Services Management Centre</w:t>
      </w:r>
      <w:r>
        <w:rPr>
          <w:lang w:eastAsia="en-GB"/>
        </w:rPr>
        <w:t>,</w:t>
      </w:r>
      <w:r w:rsidRPr="00A54757">
        <w:rPr>
          <w:lang w:eastAsia="en-GB"/>
        </w:rPr>
        <w:t xml:space="preserve"> School of Social Policy, University of Birmingham, Birmingham, UK</w:t>
      </w:r>
    </w:p>
    <w:p w14:paraId="7D1815A1" w14:textId="2B0CF3C2" w:rsidR="00BF1289" w:rsidRPr="006D770F" w:rsidRDefault="00A54757" w:rsidP="00525BE0">
      <w:pPr>
        <w:jc w:val="both"/>
        <w:rPr>
          <w:rFonts w:ascii="Calibri" w:eastAsia="Times New Roman" w:hAnsi="Calibri" w:cs="Calibri"/>
          <w:lang w:eastAsia="en-GB"/>
        </w:rPr>
      </w:pPr>
      <w:r w:rsidRPr="006D770F">
        <w:rPr>
          <w:rFonts w:ascii="Calibri" w:eastAsia="Times New Roman" w:hAnsi="Calibri" w:cs="Calibri"/>
          <w:vertAlign w:val="superscript"/>
          <w:lang w:eastAsia="en-GB"/>
        </w:rPr>
        <w:t xml:space="preserve">2 </w:t>
      </w:r>
      <w:r w:rsidR="00D3071B" w:rsidRPr="006D770F">
        <w:rPr>
          <w:rFonts w:ascii="Calibri" w:eastAsia="Times New Roman" w:hAnsi="Calibri" w:cs="Calibri"/>
          <w:lang w:eastAsia="en-GB"/>
        </w:rPr>
        <w:t xml:space="preserve">Florence Nightingale Faculty of Nursing, Midwifery &amp; Palliative Care, </w:t>
      </w:r>
      <w:r w:rsidRPr="006D770F">
        <w:rPr>
          <w:rFonts w:ascii="Calibri" w:eastAsia="Times New Roman" w:hAnsi="Calibri" w:cs="Calibri"/>
          <w:lang w:eastAsia="en-GB"/>
        </w:rPr>
        <w:t>King’s College London, UK</w:t>
      </w:r>
      <w:r w:rsidR="00D3071B" w:rsidRPr="00D3071B">
        <w:t xml:space="preserve"> </w:t>
      </w:r>
    </w:p>
    <w:p w14:paraId="30F1B56E" w14:textId="69D1102F" w:rsidR="00A54757" w:rsidRPr="006D770F" w:rsidRDefault="00D3071B" w:rsidP="00525BE0">
      <w:pPr>
        <w:jc w:val="both"/>
        <w:rPr>
          <w:rFonts w:ascii="Calibri" w:eastAsia="Times New Roman" w:hAnsi="Calibri" w:cs="Calibri"/>
          <w:lang w:eastAsia="en-GB"/>
        </w:rPr>
      </w:pPr>
      <w:r w:rsidRPr="006D770F">
        <w:rPr>
          <w:rFonts w:ascii="Calibri" w:eastAsia="Times New Roman" w:hAnsi="Calibri" w:cs="Calibri"/>
          <w:vertAlign w:val="superscript"/>
          <w:lang w:eastAsia="en-GB"/>
        </w:rPr>
        <w:t xml:space="preserve">3 </w:t>
      </w:r>
      <w:r w:rsidRPr="006D770F">
        <w:rPr>
          <w:rFonts w:ascii="Calibri" w:eastAsia="Times New Roman" w:hAnsi="Calibri" w:cs="Calibri"/>
          <w:lang w:eastAsia="en-GB"/>
        </w:rPr>
        <w:t xml:space="preserve">School of Sociology and Social Policy, </w:t>
      </w:r>
      <w:r w:rsidR="00A54757" w:rsidRPr="006D770F">
        <w:rPr>
          <w:rFonts w:ascii="Calibri" w:eastAsia="Times New Roman" w:hAnsi="Calibri" w:cs="Calibri"/>
          <w:lang w:eastAsia="en-GB"/>
        </w:rPr>
        <w:t>University of Leeds, UK</w:t>
      </w:r>
    </w:p>
    <w:p w14:paraId="77AF83D4" w14:textId="7E0B6445" w:rsidR="00A54757" w:rsidRPr="006D770F" w:rsidRDefault="00D3071B" w:rsidP="00D3071B">
      <w:pPr>
        <w:spacing w:after="0" w:line="240" w:lineRule="auto"/>
        <w:jc w:val="both"/>
        <w:rPr>
          <w:rFonts w:ascii="Calibri" w:eastAsia="Times New Roman" w:hAnsi="Calibri" w:cs="Calibri"/>
          <w:lang w:eastAsia="en-GB"/>
        </w:rPr>
      </w:pPr>
      <w:r w:rsidRPr="006D770F">
        <w:rPr>
          <w:rFonts w:ascii="Calibri" w:eastAsia="Times New Roman" w:hAnsi="Calibri" w:cs="Calibri"/>
          <w:vertAlign w:val="superscript"/>
          <w:lang w:eastAsia="en-GB"/>
        </w:rPr>
        <w:t xml:space="preserve">4 </w:t>
      </w:r>
      <w:r w:rsidRPr="006D770F">
        <w:rPr>
          <w:rFonts w:ascii="Calibri" w:eastAsia="Times New Roman" w:hAnsi="Calibri" w:cs="Calibri"/>
          <w:lang w:eastAsia="en-GB"/>
        </w:rPr>
        <w:t xml:space="preserve">Population Health Sciences, Bristol Medical School, </w:t>
      </w:r>
      <w:r w:rsidR="00A54757" w:rsidRPr="006D770F">
        <w:rPr>
          <w:rFonts w:ascii="Calibri" w:eastAsia="Times New Roman" w:hAnsi="Calibri" w:cs="Calibri"/>
          <w:lang w:eastAsia="en-GB"/>
        </w:rPr>
        <w:t>University of Bristol, UK</w:t>
      </w:r>
    </w:p>
    <w:p w14:paraId="7FE18B70" w14:textId="77777777" w:rsidR="00A54757" w:rsidRPr="006D770F" w:rsidRDefault="00A54757" w:rsidP="00A54757">
      <w:pPr>
        <w:spacing w:after="0" w:line="240" w:lineRule="auto"/>
        <w:jc w:val="both"/>
        <w:rPr>
          <w:rFonts w:ascii="Calibri" w:eastAsia="Times New Roman" w:hAnsi="Calibri" w:cs="Calibri"/>
          <w:lang w:eastAsia="en-GB"/>
        </w:rPr>
      </w:pPr>
    </w:p>
    <w:p w14:paraId="5F7E1CFB" w14:textId="324575D4" w:rsidR="00A54757" w:rsidRPr="006D770F" w:rsidRDefault="00D3071B" w:rsidP="00D3071B">
      <w:pPr>
        <w:jc w:val="both"/>
        <w:rPr>
          <w:rFonts w:ascii="Calibri" w:eastAsia="Times New Roman" w:hAnsi="Calibri" w:cs="Calibri"/>
          <w:lang w:eastAsia="en-GB"/>
        </w:rPr>
      </w:pPr>
      <w:r w:rsidRPr="006D770F">
        <w:rPr>
          <w:rFonts w:ascii="Calibri" w:eastAsia="Times New Roman" w:hAnsi="Calibri" w:cs="Calibri"/>
          <w:vertAlign w:val="superscript"/>
          <w:lang w:eastAsia="en-GB"/>
        </w:rPr>
        <w:t xml:space="preserve">5 </w:t>
      </w:r>
      <w:r w:rsidR="00A54757" w:rsidRPr="006D770F">
        <w:rPr>
          <w:rFonts w:ascii="Calibri" w:eastAsia="Times New Roman" w:hAnsi="Calibri" w:cs="Calibri"/>
          <w:lang w:eastAsia="en-GB"/>
        </w:rPr>
        <w:t xml:space="preserve">Engaging Communities Solutions, </w:t>
      </w:r>
      <w:r w:rsidRPr="006D770F">
        <w:rPr>
          <w:rFonts w:ascii="Calibri" w:eastAsia="Times New Roman" w:hAnsi="Calibri" w:cs="Calibri"/>
          <w:lang w:eastAsia="en-GB"/>
        </w:rPr>
        <w:t xml:space="preserve">Blakenall Village Centre, Walsall, </w:t>
      </w:r>
      <w:r w:rsidR="00A54757" w:rsidRPr="006D770F">
        <w:rPr>
          <w:rFonts w:ascii="Calibri" w:eastAsia="Times New Roman" w:hAnsi="Calibri" w:cs="Calibri"/>
          <w:lang w:eastAsia="en-GB"/>
        </w:rPr>
        <w:t>UK</w:t>
      </w:r>
    </w:p>
    <w:p w14:paraId="01ED0213" w14:textId="60C955BE" w:rsidR="004E57AF" w:rsidRPr="00BF1289" w:rsidRDefault="004E57AF" w:rsidP="00525BE0">
      <w:pPr>
        <w:spacing w:after="0" w:line="240" w:lineRule="auto"/>
        <w:jc w:val="both"/>
        <w:rPr>
          <w:lang w:eastAsia="en-GB"/>
        </w:rPr>
      </w:pPr>
    </w:p>
    <w:p w14:paraId="12CA8539" w14:textId="77777777" w:rsidR="00BF1289" w:rsidRPr="00BF1289" w:rsidRDefault="00525BE0" w:rsidP="00525BE0">
      <w:pPr>
        <w:spacing w:after="0" w:line="240" w:lineRule="auto"/>
        <w:jc w:val="both"/>
        <w:rPr>
          <w:b/>
          <w:lang w:eastAsia="en-GB"/>
        </w:rPr>
      </w:pPr>
      <w:r w:rsidRPr="00BF1289">
        <w:rPr>
          <w:b/>
          <w:lang w:eastAsia="en-GB"/>
        </w:rPr>
        <w:t xml:space="preserve">Keywords: </w:t>
      </w:r>
    </w:p>
    <w:p w14:paraId="6C299B28" w14:textId="77777777" w:rsidR="00BF1289" w:rsidRPr="00BF1289" w:rsidRDefault="00BF1289" w:rsidP="00525BE0">
      <w:pPr>
        <w:spacing w:after="0" w:line="240" w:lineRule="auto"/>
        <w:jc w:val="both"/>
        <w:rPr>
          <w:lang w:eastAsia="en-GB"/>
        </w:rPr>
      </w:pPr>
    </w:p>
    <w:p w14:paraId="26EB33A4" w14:textId="4CE065AE" w:rsidR="00525BE0" w:rsidRPr="00BF1289" w:rsidRDefault="00525BE0" w:rsidP="00525BE0">
      <w:pPr>
        <w:spacing w:after="0" w:line="240" w:lineRule="auto"/>
        <w:jc w:val="both"/>
        <w:rPr>
          <w:lang w:eastAsia="en-GB"/>
        </w:rPr>
      </w:pPr>
      <w:r w:rsidRPr="00BF1289">
        <w:rPr>
          <w:lang w:eastAsia="en-GB"/>
        </w:rPr>
        <w:t>Collabor</w:t>
      </w:r>
      <w:r w:rsidR="00BF1289" w:rsidRPr="00BF1289">
        <w:rPr>
          <w:lang w:eastAsia="en-GB"/>
        </w:rPr>
        <w:t>ation, Partnering, Partnership W</w:t>
      </w:r>
      <w:r w:rsidRPr="00BF1289">
        <w:rPr>
          <w:lang w:eastAsia="en-GB"/>
        </w:rPr>
        <w:t xml:space="preserve">orking, Integration, Health Care, Improvement, Realist review, Realist synthesis, </w:t>
      </w:r>
      <w:r w:rsidR="00CC3221">
        <w:rPr>
          <w:lang w:eastAsia="en-GB"/>
        </w:rPr>
        <w:t xml:space="preserve">Realist evaluation, </w:t>
      </w:r>
      <w:r w:rsidRPr="00BF1289">
        <w:rPr>
          <w:lang w:eastAsia="en-GB"/>
        </w:rPr>
        <w:t>Programme theory</w:t>
      </w:r>
    </w:p>
    <w:p w14:paraId="24F90C09" w14:textId="21EAC0DA" w:rsidR="00525BE0" w:rsidRPr="00BF1289" w:rsidRDefault="00525BE0" w:rsidP="00525BE0">
      <w:pPr>
        <w:spacing w:after="0" w:line="240" w:lineRule="auto"/>
        <w:jc w:val="both"/>
        <w:rPr>
          <w:lang w:eastAsia="en-GB"/>
        </w:rPr>
      </w:pPr>
    </w:p>
    <w:p w14:paraId="45F53E4A" w14:textId="77777777" w:rsidR="00525BE0" w:rsidRPr="00BF1289" w:rsidRDefault="00525BE0" w:rsidP="00525BE0">
      <w:pPr>
        <w:spacing w:after="0" w:line="240" w:lineRule="auto"/>
        <w:jc w:val="both"/>
        <w:rPr>
          <w:lang w:eastAsia="en-GB"/>
        </w:rPr>
      </w:pPr>
    </w:p>
    <w:p w14:paraId="214BCD87" w14:textId="004DCF97" w:rsidR="004E57AF" w:rsidRPr="00BF1289" w:rsidRDefault="007877B7" w:rsidP="00525BE0">
      <w:pPr>
        <w:jc w:val="both"/>
        <w:rPr>
          <w:b/>
          <w:lang w:eastAsia="en-GB"/>
        </w:rPr>
      </w:pPr>
      <w:r>
        <w:rPr>
          <w:b/>
          <w:lang w:eastAsia="en-GB"/>
        </w:rPr>
        <w:t>*</w:t>
      </w:r>
      <w:r w:rsidR="00525BE0" w:rsidRPr="00BF1289">
        <w:rPr>
          <w:b/>
          <w:lang w:eastAsia="en-GB"/>
        </w:rPr>
        <w:t>Contact details for the corresponding author:</w:t>
      </w:r>
    </w:p>
    <w:p w14:paraId="676F1459" w14:textId="634EA6D2" w:rsidR="00525BE0" w:rsidRPr="00BF1289" w:rsidRDefault="00525BE0" w:rsidP="00525BE0">
      <w:pPr>
        <w:spacing w:after="0"/>
        <w:jc w:val="both"/>
        <w:rPr>
          <w:lang w:eastAsia="en-GB"/>
        </w:rPr>
      </w:pPr>
      <w:r w:rsidRPr="00BF1289">
        <w:rPr>
          <w:lang w:eastAsia="en-GB"/>
        </w:rPr>
        <w:t>Dr Ross Millar</w:t>
      </w:r>
    </w:p>
    <w:p w14:paraId="5B62B555" w14:textId="63D594FE" w:rsidR="00525BE0" w:rsidRPr="00BF1289" w:rsidRDefault="00525BE0" w:rsidP="00525BE0">
      <w:pPr>
        <w:spacing w:after="0"/>
        <w:jc w:val="both"/>
        <w:rPr>
          <w:lang w:eastAsia="en-GB"/>
        </w:rPr>
      </w:pPr>
      <w:r w:rsidRPr="00BF1289">
        <w:rPr>
          <w:lang w:eastAsia="en-GB"/>
        </w:rPr>
        <w:t>Health Services Management Centre</w:t>
      </w:r>
    </w:p>
    <w:p w14:paraId="13C1D155" w14:textId="66FD8CE0" w:rsidR="00525BE0" w:rsidRPr="00BF1289" w:rsidRDefault="00525BE0" w:rsidP="00525BE0">
      <w:pPr>
        <w:spacing w:after="0"/>
        <w:jc w:val="both"/>
        <w:rPr>
          <w:lang w:eastAsia="en-GB"/>
        </w:rPr>
      </w:pPr>
      <w:r w:rsidRPr="00BF1289">
        <w:rPr>
          <w:lang w:eastAsia="en-GB"/>
        </w:rPr>
        <w:t>School of Social Policy</w:t>
      </w:r>
    </w:p>
    <w:p w14:paraId="281262CA" w14:textId="20DCF9EC" w:rsidR="00525BE0" w:rsidRPr="00BF1289" w:rsidRDefault="00525BE0" w:rsidP="00525BE0">
      <w:pPr>
        <w:spacing w:after="0"/>
        <w:jc w:val="both"/>
        <w:rPr>
          <w:lang w:eastAsia="en-GB"/>
        </w:rPr>
      </w:pPr>
      <w:r w:rsidRPr="00BF1289">
        <w:rPr>
          <w:lang w:eastAsia="en-GB"/>
        </w:rPr>
        <w:t>University of Birmingham</w:t>
      </w:r>
    </w:p>
    <w:p w14:paraId="5437E63A" w14:textId="77777777" w:rsidR="007877B7" w:rsidRDefault="00525BE0" w:rsidP="00525BE0">
      <w:pPr>
        <w:spacing w:after="0"/>
        <w:jc w:val="both"/>
        <w:rPr>
          <w:rStyle w:val="Hyperlink"/>
          <w:color w:val="auto"/>
          <w:lang w:eastAsia="en-GB"/>
        </w:rPr>
      </w:pPr>
      <w:r w:rsidRPr="00BF1289">
        <w:rPr>
          <w:lang w:eastAsia="en-GB"/>
        </w:rPr>
        <w:t xml:space="preserve">Email: </w:t>
      </w:r>
      <w:hyperlink r:id="rId8" w:history="1">
        <w:r w:rsidRPr="00BF1289">
          <w:rPr>
            <w:rStyle w:val="Hyperlink"/>
            <w:color w:val="auto"/>
            <w:lang w:eastAsia="en-GB"/>
          </w:rPr>
          <w:t>r.millar@bham.ac.uk</w:t>
        </w:r>
      </w:hyperlink>
    </w:p>
    <w:p w14:paraId="586C9F29" w14:textId="4BB94EE6" w:rsidR="00525BE0" w:rsidRPr="007877B7" w:rsidRDefault="007877B7" w:rsidP="00525BE0">
      <w:pPr>
        <w:spacing w:after="0"/>
        <w:jc w:val="both"/>
        <w:rPr>
          <w:lang w:eastAsia="en-GB"/>
        </w:rPr>
      </w:pPr>
      <w:r w:rsidRPr="006D770F">
        <w:rPr>
          <w:rStyle w:val="Hyperlink"/>
          <w:color w:val="auto"/>
          <w:u w:val="none"/>
          <w:lang w:eastAsia="en-GB"/>
        </w:rPr>
        <w:t>Phone: 0773 443 3636</w:t>
      </w:r>
      <w:r w:rsidR="00525BE0" w:rsidRPr="007877B7">
        <w:rPr>
          <w:lang w:eastAsia="en-GB"/>
        </w:rPr>
        <w:t xml:space="preserve"> </w:t>
      </w:r>
    </w:p>
    <w:p w14:paraId="7975BCDD" w14:textId="77777777" w:rsidR="00525BE0" w:rsidRPr="00BF1289" w:rsidRDefault="00525BE0" w:rsidP="00525BE0">
      <w:pPr>
        <w:jc w:val="both"/>
        <w:rPr>
          <w:lang w:eastAsia="en-GB"/>
        </w:rPr>
      </w:pPr>
    </w:p>
    <w:p w14:paraId="62854CEF" w14:textId="6A5FF107" w:rsidR="00525BE0" w:rsidRPr="00BF1289" w:rsidRDefault="00BF1289">
      <w:pPr>
        <w:spacing w:after="0" w:line="240" w:lineRule="auto"/>
        <w:rPr>
          <w:b/>
          <w:lang w:eastAsia="en-GB"/>
        </w:rPr>
      </w:pPr>
      <w:r w:rsidRPr="00BF1289">
        <w:rPr>
          <w:b/>
          <w:lang w:eastAsia="en-GB"/>
        </w:rPr>
        <w:t>Competing interests:</w:t>
      </w:r>
    </w:p>
    <w:p w14:paraId="7DAE7939" w14:textId="77777777" w:rsidR="00BF1289" w:rsidRPr="00BF1289" w:rsidRDefault="00BF1289">
      <w:pPr>
        <w:spacing w:after="0" w:line="240" w:lineRule="auto"/>
        <w:rPr>
          <w:lang w:eastAsia="en-GB"/>
        </w:rPr>
      </w:pPr>
    </w:p>
    <w:p w14:paraId="3CAF3FD9" w14:textId="77777777" w:rsidR="00BF1289" w:rsidRPr="00BF1289" w:rsidRDefault="00BF1289" w:rsidP="00BF1289">
      <w:pPr>
        <w:jc w:val="both"/>
        <w:rPr>
          <w:lang w:eastAsia="en-GB"/>
        </w:rPr>
      </w:pPr>
      <w:r w:rsidRPr="00BF1289">
        <w:rPr>
          <w:lang w:eastAsia="en-GB"/>
        </w:rPr>
        <w:t xml:space="preserve">None declared by all authors </w:t>
      </w:r>
    </w:p>
    <w:p w14:paraId="7AD1E97D" w14:textId="77777777" w:rsidR="00BF1289" w:rsidRPr="00BF1289" w:rsidRDefault="00BF1289" w:rsidP="00BF1289">
      <w:pPr>
        <w:jc w:val="both"/>
        <w:rPr>
          <w:lang w:eastAsia="en-GB"/>
        </w:rPr>
      </w:pPr>
    </w:p>
    <w:p w14:paraId="2B187564" w14:textId="77777777" w:rsidR="00BF1289" w:rsidRPr="00BF1289" w:rsidRDefault="00BF1289">
      <w:pPr>
        <w:spacing w:after="0" w:line="240" w:lineRule="auto"/>
        <w:rPr>
          <w:lang w:eastAsia="en-GB"/>
        </w:rPr>
      </w:pPr>
      <w:r w:rsidRPr="00BF1289">
        <w:rPr>
          <w:lang w:eastAsia="en-GB"/>
        </w:rPr>
        <w:br w:type="page"/>
      </w:r>
    </w:p>
    <w:p w14:paraId="06A25522" w14:textId="25E75E58" w:rsidR="0091639D" w:rsidRDefault="00947ED2" w:rsidP="00BC34A8">
      <w:pPr>
        <w:pStyle w:val="Heading2"/>
        <w:rPr>
          <w:lang w:eastAsia="en-GB"/>
        </w:rPr>
      </w:pPr>
      <w:bookmarkStart w:id="2" w:name="_Toc85066392"/>
      <w:r w:rsidRPr="00BF1289">
        <w:rPr>
          <w:lang w:eastAsia="en-GB"/>
        </w:rPr>
        <w:lastRenderedPageBreak/>
        <w:t>Abstract</w:t>
      </w:r>
      <w:bookmarkEnd w:id="2"/>
    </w:p>
    <w:p w14:paraId="029411D3" w14:textId="77777777" w:rsidR="000374D2" w:rsidRDefault="000374D2" w:rsidP="00282FAA">
      <w:pPr>
        <w:spacing w:line="360" w:lineRule="auto"/>
        <w:jc w:val="both"/>
        <w:rPr>
          <w:b/>
          <w:bCs/>
          <w:lang w:eastAsia="en-GB"/>
        </w:rPr>
      </w:pPr>
    </w:p>
    <w:p w14:paraId="1F97D674" w14:textId="19DB0679" w:rsidR="0091639D" w:rsidRPr="00D4797F" w:rsidRDefault="0091639D" w:rsidP="00282FAA">
      <w:pPr>
        <w:spacing w:line="360" w:lineRule="auto"/>
        <w:jc w:val="both"/>
        <w:rPr>
          <w:b/>
          <w:bCs/>
          <w:lang w:eastAsia="en-GB"/>
        </w:rPr>
      </w:pPr>
      <w:r w:rsidRPr="00D4797F">
        <w:rPr>
          <w:b/>
          <w:bCs/>
          <w:lang w:eastAsia="en-GB"/>
        </w:rPr>
        <w:t>Background</w:t>
      </w:r>
    </w:p>
    <w:p w14:paraId="0213D025" w14:textId="4441CB1E" w:rsidR="0091639D" w:rsidRDefault="0091639D" w:rsidP="00282FAA">
      <w:pPr>
        <w:spacing w:line="360" w:lineRule="auto"/>
        <w:jc w:val="both"/>
        <w:rPr>
          <w:lang w:eastAsia="en-GB"/>
        </w:rPr>
      </w:pPr>
      <w:r>
        <w:rPr>
          <w:lang w:eastAsia="en-GB"/>
        </w:rPr>
        <w:t xml:space="preserve">Inter-organisational collaboration is </w:t>
      </w:r>
      <w:r w:rsidR="00E3315C">
        <w:rPr>
          <w:lang w:eastAsia="en-GB"/>
        </w:rPr>
        <w:t xml:space="preserve">currently being </w:t>
      </w:r>
      <w:r>
        <w:rPr>
          <w:lang w:eastAsia="en-GB"/>
        </w:rPr>
        <w:t xml:space="preserve">promoted </w:t>
      </w:r>
      <w:r w:rsidR="00E0437B">
        <w:rPr>
          <w:lang w:eastAsia="en-GB"/>
        </w:rPr>
        <w:t>to improve</w:t>
      </w:r>
      <w:r>
        <w:rPr>
          <w:lang w:eastAsia="en-GB"/>
        </w:rPr>
        <w:t xml:space="preserve"> the performance of </w:t>
      </w:r>
      <w:r w:rsidR="00946C9A">
        <w:rPr>
          <w:lang w:eastAsia="en-GB"/>
        </w:rPr>
        <w:t>NHS providers</w:t>
      </w:r>
      <w:r>
        <w:rPr>
          <w:lang w:eastAsia="en-GB"/>
        </w:rPr>
        <w:t>. However, up to now there has been no systematic attempt to assess the impact of different approaches to collaboration or understand the mechanisms through which i</w:t>
      </w:r>
      <w:r w:rsidRPr="0088758E">
        <w:rPr>
          <w:lang w:eastAsia="en-GB"/>
        </w:rPr>
        <w:t>nter-organisational collaboration</w:t>
      </w:r>
      <w:r>
        <w:rPr>
          <w:lang w:eastAsia="en-GB"/>
        </w:rPr>
        <w:t>s (IOCs) can</w:t>
      </w:r>
      <w:r w:rsidRPr="0088758E">
        <w:rPr>
          <w:lang w:eastAsia="en-GB"/>
        </w:rPr>
        <w:t xml:space="preserve"> </w:t>
      </w:r>
      <w:r>
        <w:rPr>
          <w:lang w:eastAsia="en-GB"/>
        </w:rPr>
        <w:t>work in particular contexts.</w:t>
      </w:r>
    </w:p>
    <w:p w14:paraId="4D24D656" w14:textId="77777777" w:rsidR="0091639D" w:rsidRPr="00D4797F" w:rsidRDefault="0091639D" w:rsidP="00282FAA">
      <w:pPr>
        <w:spacing w:line="360" w:lineRule="auto"/>
        <w:jc w:val="both"/>
        <w:rPr>
          <w:b/>
          <w:bCs/>
          <w:lang w:eastAsia="en-GB"/>
        </w:rPr>
      </w:pPr>
      <w:r w:rsidRPr="00D4797F">
        <w:rPr>
          <w:b/>
          <w:bCs/>
          <w:lang w:eastAsia="en-GB"/>
        </w:rPr>
        <w:t>Objective(s)</w:t>
      </w:r>
    </w:p>
    <w:p w14:paraId="193F723F" w14:textId="77777777" w:rsidR="0091639D" w:rsidRDefault="0091639D" w:rsidP="00282FAA">
      <w:pPr>
        <w:spacing w:line="360" w:lineRule="auto"/>
        <w:ind w:left="720"/>
        <w:jc w:val="both"/>
        <w:rPr>
          <w:lang w:eastAsia="en-GB"/>
        </w:rPr>
      </w:pPr>
      <w:bookmarkStart w:id="3" w:name="_Hlk104736368"/>
      <w:r>
        <w:rPr>
          <w:lang w:eastAsia="en-GB"/>
        </w:rPr>
        <w:t>1. To explore the main strands of the literature about IOC and identify the main theoretical and conceptual frameworks.</w:t>
      </w:r>
    </w:p>
    <w:p w14:paraId="320E8C91" w14:textId="77777777" w:rsidR="0091639D" w:rsidRDefault="0091639D" w:rsidP="00282FAA">
      <w:pPr>
        <w:spacing w:line="360" w:lineRule="auto"/>
        <w:ind w:left="720"/>
        <w:jc w:val="both"/>
        <w:rPr>
          <w:lang w:eastAsia="en-GB"/>
        </w:rPr>
      </w:pPr>
      <w:r>
        <w:rPr>
          <w:lang w:eastAsia="en-GB"/>
        </w:rPr>
        <w:t xml:space="preserve">2. To assess the empirical evidence with regards to how different IOCs may (or may not) lead to improved performance and outcomes. </w:t>
      </w:r>
    </w:p>
    <w:p w14:paraId="73335A8F" w14:textId="59A22BD4" w:rsidR="0091639D" w:rsidRDefault="0091639D" w:rsidP="00282FAA">
      <w:pPr>
        <w:spacing w:line="360" w:lineRule="auto"/>
        <w:ind w:left="720"/>
        <w:jc w:val="both"/>
        <w:rPr>
          <w:lang w:eastAsia="en-GB"/>
        </w:rPr>
      </w:pPr>
      <w:r>
        <w:rPr>
          <w:lang w:eastAsia="en-GB"/>
        </w:rPr>
        <w:t xml:space="preserve">3. To understand and learn from NHS evidence users and other stakeholders about how and where IOCs can best be used to support turnaround processes. </w:t>
      </w:r>
    </w:p>
    <w:p w14:paraId="416760BE" w14:textId="0E1DE84D" w:rsidR="00A1783D" w:rsidRDefault="0091639D" w:rsidP="0049544F">
      <w:pPr>
        <w:spacing w:line="360" w:lineRule="auto"/>
        <w:ind w:left="720"/>
        <w:jc w:val="both"/>
        <w:rPr>
          <w:lang w:eastAsia="en-GB"/>
        </w:rPr>
      </w:pPr>
      <w:r>
        <w:rPr>
          <w:lang w:eastAsia="en-GB"/>
        </w:rPr>
        <w:t>4. To develop a typology of IOC that considers different types and scales of collaboration appropriate to NHS provider contexts.</w:t>
      </w:r>
    </w:p>
    <w:p w14:paraId="6C8CA2A3" w14:textId="69A92CA8" w:rsidR="0091639D" w:rsidRDefault="0091639D" w:rsidP="00282FAA">
      <w:pPr>
        <w:spacing w:line="360" w:lineRule="auto"/>
        <w:ind w:left="720"/>
        <w:jc w:val="both"/>
        <w:rPr>
          <w:lang w:eastAsia="en-GB"/>
        </w:rPr>
      </w:pPr>
      <w:r>
        <w:rPr>
          <w:lang w:eastAsia="en-GB"/>
        </w:rPr>
        <w:t xml:space="preserve">5. To generate evidence informed practical guidance for NHS providers, policy makers and others with responsibility for implementing and assessing IOC arrangements. </w:t>
      </w:r>
    </w:p>
    <w:bookmarkEnd w:id="3"/>
    <w:p w14:paraId="6A48313C" w14:textId="77777777" w:rsidR="0091639D" w:rsidRDefault="0091639D" w:rsidP="00282FAA">
      <w:pPr>
        <w:spacing w:line="360" w:lineRule="auto"/>
        <w:jc w:val="both"/>
        <w:rPr>
          <w:b/>
          <w:bCs/>
          <w:lang w:eastAsia="en-GB"/>
        </w:rPr>
      </w:pPr>
      <w:r w:rsidRPr="00D4797F">
        <w:rPr>
          <w:b/>
          <w:bCs/>
          <w:lang w:eastAsia="en-GB"/>
        </w:rPr>
        <w:t>Design</w:t>
      </w:r>
    </w:p>
    <w:p w14:paraId="6E95CBE5" w14:textId="20BB44B2" w:rsidR="0091639D" w:rsidRPr="00D4797F" w:rsidRDefault="0091639D" w:rsidP="00282FAA">
      <w:pPr>
        <w:spacing w:line="360" w:lineRule="auto"/>
        <w:jc w:val="both"/>
        <w:rPr>
          <w:lang w:eastAsia="en-GB"/>
        </w:rPr>
      </w:pPr>
      <w:r>
        <w:rPr>
          <w:lang w:eastAsia="en-GB"/>
        </w:rPr>
        <w:t xml:space="preserve">A </w:t>
      </w:r>
      <w:r w:rsidR="0006074F">
        <w:rPr>
          <w:lang w:eastAsia="en-GB"/>
        </w:rPr>
        <w:t>r</w:t>
      </w:r>
      <w:r>
        <w:rPr>
          <w:lang w:eastAsia="en-GB"/>
        </w:rPr>
        <w:t xml:space="preserve">ealist synthesis is </w:t>
      </w:r>
      <w:r w:rsidR="001C7822">
        <w:rPr>
          <w:lang w:eastAsia="en-GB"/>
        </w:rPr>
        <w:t>undertaken</w:t>
      </w:r>
      <w:r>
        <w:rPr>
          <w:lang w:eastAsia="en-GB"/>
        </w:rPr>
        <w:t xml:space="preserve"> </w:t>
      </w:r>
      <w:r w:rsidR="00DA5D6C">
        <w:rPr>
          <w:lang w:eastAsia="en-GB"/>
        </w:rPr>
        <w:t>to develop, test</w:t>
      </w:r>
      <w:r w:rsidR="00BD418A">
        <w:rPr>
          <w:lang w:eastAsia="en-GB"/>
        </w:rPr>
        <w:t>,</w:t>
      </w:r>
      <w:r w:rsidR="00DA5D6C">
        <w:rPr>
          <w:lang w:eastAsia="en-GB"/>
        </w:rPr>
        <w:t xml:space="preserve"> and refine</w:t>
      </w:r>
      <w:r w:rsidRPr="0099437C">
        <w:rPr>
          <w:lang w:eastAsia="en-GB"/>
        </w:rPr>
        <w:t xml:space="preserve"> theories about how IOCs work</w:t>
      </w:r>
      <w:r>
        <w:rPr>
          <w:lang w:eastAsia="en-GB"/>
        </w:rPr>
        <w:t>, for whom, and in what circumstances</w:t>
      </w:r>
      <w:r w:rsidRPr="0099437C">
        <w:rPr>
          <w:lang w:eastAsia="en-GB"/>
        </w:rPr>
        <w:t xml:space="preserve">. </w:t>
      </w:r>
      <w:r>
        <w:rPr>
          <w:lang w:eastAsia="en-GB"/>
        </w:rPr>
        <w:t xml:space="preserve"> </w:t>
      </w:r>
    </w:p>
    <w:p w14:paraId="03BC0F20" w14:textId="77777777" w:rsidR="0091639D" w:rsidRDefault="0091639D" w:rsidP="00282FAA">
      <w:pPr>
        <w:spacing w:line="360" w:lineRule="auto"/>
        <w:jc w:val="both"/>
        <w:rPr>
          <w:b/>
          <w:bCs/>
          <w:lang w:eastAsia="en-GB"/>
        </w:rPr>
      </w:pPr>
      <w:r w:rsidRPr="00985175">
        <w:rPr>
          <w:b/>
          <w:bCs/>
          <w:lang w:eastAsia="en-GB"/>
        </w:rPr>
        <w:t>Data sources</w:t>
      </w:r>
    </w:p>
    <w:p w14:paraId="4772E968" w14:textId="7200CBC6" w:rsidR="0091639D" w:rsidRPr="00985175" w:rsidRDefault="0006074F" w:rsidP="00282FAA">
      <w:pPr>
        <w:spacing w:line="360" w:lineRule="auto"/>
        <w:jc w:val="both"/>
        <w:rPr>
          <w:lang w:eastAsia="en-GB"/>
        </w:rPr>
      </w:pPr>
      <w:r>
        <w:rPr>
          <w:lang w:eastAsia="en-GB"/>
        </w:rPr>
        <w:t xml:space="preserve">Data </w:t>
      </w:r>
      <w:r w:rsidR="003050F7">
        <w:rPr>
          <w:lang w:eastAsia="en-GB"/>
        </w:rPr>
        <w:t xml:space="preserve">sources </w:t>
      </w:r>
      <w:r w:rsidR="0091639D">
        <w:rPr>
          <w:lang w:eastAsia="en-GB"/>
        </w:rPr>
        <w:t>were gathered from peer-reviewed and grey literature, realist interviews with 34 stakeholders, and a focus grou</w:t>
      </w:r>
      <w:r w:rsidR="00DA5D6C">
        <w:rPr>
          <w:lang w:eastAsia="en-GB"/>
        </w:rPr>
        <w:t xml:space="preserve">p with patient </w:t>
      </w:r>
      <w:r w:rsidR="007877B7">
        <w:rPr>
          <w:lang w:eastAsia="en-GB"/>
        </w:rPr>
        <w:t xml:space="preserve">and public </w:t>
      </w:r>
      <w:r w:rsidR="00DA5D6C">
        <w:rPr>
          <w:lang w:eastAsia="en-GB"/>
        </w:rPr>
        <w:t>representatives.</w:t>
      </w:r>
    </w:p>
    <w:p w14:paraId="3962F5E8" w14:textId="77777777" w:rsidR="0091639D" w:rsidRDefault="0091639D" w:rsidP="00282FAA">
      <w:pPr>
        <w:spacing w:line="360" w:lineRule="auto"/>
        <w:jc w:val="both"/>
        <w:rPr>
          <w:b/>
          <w:bCs/>
          <w:lang w:eastAsia="en-GB"/>
        </w:rPr>
      </w:pPr>
      <w:r w:rsidRPr="00985175">
        <w:rPr>
          <w:b/>
          <w:bCs/>
          <w:lang w:eastAsia="en-GB"/>
        </w:rPr>
        <w:t>Review methods</w:t>
      </w:r>
    </w:p>
    <w:p w14:paraId="2480A75D" w14:textId="239D32E3" w:rsidR="0091639D" w:rsidRPr="00985175" w:rsidRDefault="0091639D" w:rsidP="00282FAA">
      <w:pPr>
        <w:spacing w:line="360" w:lineRule="auto"/>
        <w:jc w:val="both"/>
        <w:rPr>
          <w:lang w:eastAsia="en-GB"/>
        </w:rPr>
      </w:pPr>
      <w:r w:rsidRPr="001E507B">
        <w:rPr>
          <w:lang w:eastAsia="en-GB"/>
        </w:rPr>
        <w:t xml:space="preserve">Initial theories </w:t>
      </w:r>
      <w:r>
        <w:rPr>
          <w:lang w:eastAsia="en-GB"/>
        </w:rPr>
        <w:t>and ideas were gathered</w:t>
      </w:r>
      <w:r w:rsidRPr="001E507B">
        <w:rPr>
          <w:lang w:eastAsia="en-GB"/>
        </w:rPr>
        <w:t xml:space="preserve"> from scoping reviews </w:t>
      </w:r>
      <w:r>
        <w:rPr>
          <w:lang w:eastAsia="en-GB"/>
        </w:rPr>
        <w:t xml:space="preserve">that were gleaned and refined </w:t>
      </w:r>
      <w:r w:rsidRPr="001E507B">
        <w:rPr>
          <w:lang w:eastAsia="en-GB"/>
        </w:rPr>
        <w:t xml:space="preserve">through a </w:t>
      </w:r>
      <w:r w:rsidR="003A4AC4">
        <w:rPr>
          <w:lang w:eastAsia="en-GB"/>
        </w:rPr>
        <w:t xml:space="preserve">realist </w:t>
      </w:r>
      <w:r w:rsidRPr="001E507B">
        <w:rPr>
          <w:lang w:eastAsia="en-GB"/>
        </w:rPr>
        <w:t>review of the literature</w:t>
      </w:r>
      <w:r>
        <w:rPr>
          <w:lang w:eastAsia="en-GB"/>
        </w:rPr>
        <w:t>.</w:t>
      </w:r>
      <w:r w:rsidRPr="009C7A58">
        <w:t xml:space="preserve"> </w:t>
      </w:r>
      <w:r>
        <w:rPr>
          <w:lang w:eastAsia="en-GB"/>
        </w:rPr>
        <w:t>A</w:t>
      </w:r>
      <w:r w:rsidRPr="009C7A58">
        <w:rPr>
          <w:lang w:eastAsia="en-GB"/>
        </w:rPr>
        <w:t xml:space="preserve"> </w:t>
      </w:r>
      <w:r>
        <w:rPr>
          <w:lang w:eastAsia="en-GB"/>
        </w:rPr>
        <w:t>range of</w:t>
      </w:r>
      <w:r w:rsidRPr="009C7A58">
        <w:rPr>
          <w:lang w:eastAsia="en-GB"/>
        </w:rPr>
        <w:t xml:space="preserve"> stakeholder interviews</w:t>
      </w:r>
      <w:r>
        <w:rPr>
          <w:lang w:eastAsia="en-GB"/>
        </w:rPr>
        <w:t xml:space="preserve"> and a focus group sought to further refine understandings of</w:t>
      </w:r>
      <w:r w:rsidR="00557883">
        <w:rPr>
          <w:lang w:eastAsia="en-GB"/>
        </w:rPr>
        <w:t xml:space="preserve"> what works, for whom, and in what circumstances regarding high performing</w:t>
      </w:r>
      <w:r>
        <w:rPr>
          <w:lang w:eastAsia="en-GB"/>
        </w:rPr>
        <w:t xml:space="preserve"> IOC</w:t>
      </w:r>
      <w:r w:rsidR="00557883">
        <w:rPr>
          <w:lang w:eastAsia="en-GB"/>
        </w:rPr>
        <w:t>s</w:t>
      </w:r>
      <w:r>
        <w:rPr>
          <w:lang w:eastAsia="en-GB"/>
        </w:rPr>
        <w:t xml:space="preserve">. </w:t>
      </w:r>
    </w:p>
    <w:p w14:paraId="76A16BB4" w14:textId="77777777" w:rsidR="0091639D" w:rsidRDefault="0091639D" w:rsidP="00282FAA">
      <w:pPr>
        <w:spacing w:line="360" w:lineRule="auto"/>
        <w:jc w:val="both"/>
        <w:rPr>
          <w:b/>
          <w:bCs/>
          <w:lang w:eastAsia="en-GB"/>
        </w:rPr>
      </w:pPr>
      <w:r w:rsidRPr="009A2ABC">
        <w:rPr>
          <w:b/>
          <w:bCs/>
          <w:lang w:eastAsia="en-GB"/>
        </w:rPr>
        <w:t>Results</w:t>
      </w:r>
    </w:p>
    <w:p w14:paraId="0E580597" w14:textId="4B234856" w:rsidR="0091639D" w:rsidRPr="00856048" w:rsidRDefault="00380425" w:rsidP="00282FAA">
      <w:pPr>
        <w:spacing w:line="360" w:lineRule="auto"/>
        <w:jc w:val="both"/>
        <w:rPr>
          <w:lang w:eastAsia="en-GB"/>
        </w:rPr>
      </w:pPr>
      <w:r>
        <w:rPr>
          <w:lang w:eastAsia="en-GB"/>
        </w:rPr>
        <w:t xml:space="preserve">A </w:t>
      </w:r>
      <w:r w:rsidR="0091639D">
        <w:rPr>
          <w:lang w:eastAsia="en-GB"/>
        </w:rPr>
        <w:t>realist review and synthesis identifies key mechanisms such as trust, fai</w:t>
      </w:r>
      <w:r w:rsidR="00E0437B">
        <w:rPr>
          <w:lang w:eastAsia="en-GB"/>
        </w:rPr>
        <w:t xml:space="preserve">th, confidence, and risk tolerance within </w:t>
      </w:r>
      <w:r w:rsidR="0091639D">
        <w:rPr>
          <w:lang w:eastAsia="en-GB"/>
        </w:rPr>
        <w:t xml:space="preserve">the </w:t>
      </w:r>
      <w:r w:rsidR="00D45EC0">
        <w:rPr>
          <w:lang w:eastAsia="en-GB"/>
        </w:rPr>
        <w:t xml:space="preserve">functioning of effective </w:t>
      </w:r>
      <w:r w:rsidR="0091639D">
        <w:rPr>
          <w:lang w:eastAsia="en-GB"/>
        </w:rPr>
        <w:t>IOCs. A stakehol</w:t>
      </w:r>
      <w:r w:rsidR="00E0437B">
        <w:rPr>
          <w:lang w:eastAsia="en-GB"/>
        </w:rPr>
        <w:t>d</w:t>
      </w:r>
      <w:r w:rsidR="00DA5D6C">
        <w:rPr>
          <w:lang w:eastAsia="en-GB"/>
        </w:rPr>
        <w:t>er analysis refines this</w:t>
      </w:r>
      <w:r w:rsidR="0091639D">
        <w:rPr>
          <w:lang w:eastAsia="en-GB"/>
        </w:rPr>
        <w:t xml:space="preserve"> understandin</w:t>
      </w:r>
      <w:r w:rsidR="00DA5D6C">
        <w:rPr>
          <w:lang w:eastAsia="en-GB"/>
        </w:rPr>
        <w:t xml:space="preserve">g </w:t>
      </w:r>
      <w:r w:rsidR="0089506F">
        <w:rPr>
          <w:lang w:eastAsia="en-GB"/>
        </w:rPr>
        <w:t>and in addition</w:t>
      </w:r>
      <w:r w:rsidR="000F7D3D">
        <w:rPr>
          <w:lang w:eastAsia="en-GB"/>
        </w:rPr>
        <w:t xml:space="preserve"> </w:t>
      </w:r>
      <w:r w:rsidR="00D45EC0">
        <w:rPr>
          <w:lang w:eastAsia="en-GB"/>
        </w:rPr>
        <w:t xml:space="preserve">develops </w:t>
      </w:r>
      <w:r w:rsidR="0091639D">
        <w:rPr>
          <w:lang w:eastAsia="en-GB"/>
        </w:rPr>
        <w:t xml:space="preserve">a new programme theory </w:t>
      </w:r>
      <w:r w:rsidR="000F7D3D">
        <w:rPr>
          <w:lang w:eastAsia="en-GB"/>
        </w:rPr>
        <w:t>of</w:t>
      </w:r>
      <w:r w:rsidR="0091639D">
        <w:rPr>
          <w:lang w:eastAsia="en-GB"/>
        </w:rPr>
        <w:t xml:space="preserve"> collaborative performance with mechanisms related to cultural efficacy, organisational efficiency, and technological effectiveness. </w:t>
      </w:r>
      <w:r w:rsidR="00282FAA">
        <w:rPr>
          <w:lang w:eastAsia="en-GB"/>
        </w:rPr>
        <w:t>A series of</w:t>
      </w:r>
      <w:r w:rsidR="0091639D">
        <w:rPr>
          <w:lang w:eastAsia="en-GB"/>
        </w:rPr>
        <w:t xml:space="preserve"> translatable tools </w:t>
      </w:r>
      <w:r w:rsidR="00282FAA">
        <w:rPr>
          <w:lang w:eastAsia="en-GB"/>
        </w:rPr>
        <w:t>in</w:t>
      </w:r>
      <w:r w:rsidR="00D45EC0">
        <w:rPr>
          <w:lang w:eastAsia="en-GB"/>
        </w:rPr>
        <w:t xml:space="preserve">cluding </w:t>
      </w:r>
      <w:r w:rsidR="0091639D">
        <w:rPr>
          <w:lang w:eastAsia="en-GB"/>
        </w:rPr>
        <w:t>a diagnostic survey and a collaboration maturity index</w:t>
      </w:r>
      <w:r w:rsidR="00282FAA">
        <w:rPr>
          <w:lang w:eastAsia="en-GB"/>
        </w:rPr>
        <w:t xml:space="preserve"> are also developed</w:t>
      </w:r>
      <w:r w:rsidR="0091639D">
        <w:rPr>
          <w:lang w:eastAsia="en-GB"/>
        </w:rPr>
        <w:t>.</w:t>
      </w:r>
    </w:p>
    <w:p w14:paraId="61DB1A77" w14:textId="77777777" w:rsidR="0091639D" w:rsidRPr="00B173CC" w:rsidRDefault="0091639D" w:rsidP="00282FAA">
      <w:pPr>
        <w:spacing w:line="360" w:lineRule="auto"/>
        <w:jc w:val="both"/>
        <w:rPr>
          <w:b/>
          <w:bCs/>
          <w:lang w:eastAsia="en-GB"/>
        </w:rPr>
      </w:pPr>
      <w:r w:rsidRPr="00B173CC">
        <w:rPr>
          <w:b/>
          <w:bCs/>
          <w:lang w:eastAsia="en-GB"/>
        </w:rPr>
        <w:t>Limitations</w:t>
      </w:r>
    </w:p>
    <w:p w14:paraId="02FDA378" w14:textId="72D37BD1" w:rsidR="0091639D" w:rsidRDefault="0091639D" w:rsidP="00282FAA">
      <w:pPr>
        <w:spacing w:line="360" w:lineRule="auto"/>
        <w:jc w:val="both"/>
        <w:rPr>
          <w:lang w:eastAsia="en-GB"/>
        </w:rPr>
      </w:pPr>
      <w:r>
        <w:rPr>
          <w:lang w:eastAsia="en-GB"/>
        </w:rPr>
        <w:t>The breadth of IOC arrangements included made it difficult to make specific recommendations for individual IOC types.</w:t>
      </w:r>
      <w:r w:rsidRPr="000D18B9">
        <w:t xml:space="preserve"> </w:t>
      </w:r>
      <w:r>
        <w:rPr>
          <w:lang w:eastAsia="en-GB"/>
        </w:rPr>
        <w:t>The stakeholder analysis</w:t>
      </w:r>
      <w:r w:rsidRPr="000D18B9">
        <w:rPr>
          <w:lang w:eastAsia="en-GB"/>
        </w:rPr>
        <w:t xml:space="preserve"> </w:t>
      </w:r>
      <w:r>
        <w:rPr>
          <w:lang w:eastAsia="en-GB"/>
        </w:rPr>
        <w:t xml:space="preserve">focused </w:t>
      </w:r>
      <w:r w:rsidRPr="000D18B9">
        <w:rPr>
          <w:lang w:eastAsia="en-GB"/>
        </w:rPr>
        <w:t xml:space="preserve">exclusively </w:t>
      </w:r>
      <w:r>
        <w:rPr>
          <w:lang w:eastAsia="en-GB"/>
        </w:rPr>
        <w:t>on</w:t>
      </w:r>
      <w:r w:rsidRPr="000D18B9">
        <w:rPr>
          <w:lang w:eastAsia="en-GB"/>
        </w:rPr>
        <w:t xml:space="preserve"> England</w:t>
      </w:r>
      <w:r w:rsidR="00E0437B">
        <w:rPr>
          <w:lang w:eastAsia="en-GB"/>
        </w:rPr>
        <w:t>, where</w:t>
      </w:r>
      <w:r>
        <w:rPr>
          <w:lang w:eastAsia="en-GB"/>
        </w:rPr>
        <w:t xml:space="preserve"> Covid-19 posed challenges for fieldwork</w:t>
      </w:r>
      <w:r w:rsidRPr="000D18B9">
        <w:rPr>
          <w:lang w:eastAsia="en-GB"/>
        </w:rPr>
        <w:t>.</w:t>
      </w:r>
    </w:p>
    <w:p w14:paraId="5774F0DC" w14:textId="77777777" w:rsidR="0091639D" w:rsidRPr="00B173CC" w:rsidRDefault="0091639D" w:rsidP="00282FAA">
      <w:pPr>
        <w:spacing w:line="360" w:lineRule="auto"/>
        <w:jc w:val="both"/>
        <w:rPr>
          <w:b/>
          <w:bCs/>
          <w:lang w:eastAsia="en-GB"/>
        </w:rPr>
      </w:pPr>
      <w:r w:rsidRPr="00B173CC">
        <w:rPr>
          <w:b/>
          <w:bCs/>
          <w:lang w:eastAsia="en-GB"/>
        </w:rPr>
        <w:t>Conclusions</w:t>
      </w:r>
    </w:p>
    <w:p w14:paraId="037F82F7" w14:textId="739D417C" w:rsidR="0091639D" w:rsidRDefault="0091639D" w:rsidP="00282FAA">
      <w:pPr>
        <w:spacing w:line="360" w:lineRule="auto"/>
        <w:jc w:val="both"/>
        <w:rPr>
          <w:lang w:eastAsia="en-GB"/>
        </w:rPr>
      </w:pPr>
      <w:r>
        <w:rPr>
          <w:lang w:eastAsia="en-GB"/>
        </w:rPr>
        <w:t xml:space="preserve">Implementing successful IOCs is a difficult, complex task </w:t>
      </w:r>
      <w:r w:rsidR="00E3315C">
        <w:rPr>
          <w:lang w:eastAsia="en-GB"/>
        </w:rPr>
        <w:t xml:space="preserve">which requires significant time, </w:t>
      </w:r>
      <w:r>
        <w:rPr>
          <w:lang w:eastAsia="en-GB"/>
        </w:rPr>
        <w:t>resource</w:t>
      </w:r>
      <w:r w:rsidR="00E3315C">
        <w:rPr>
          <w:lang w:eastAsia="en-GB"/>
        </w:rPr>
        <w:t>, and energy</w:t>
      </w:r>
      <w:r>
        <w:rPr>
          <w:lang w:eastAsia="en-GB"/>
        </w:rPr>
        <w:t xml:space="preserve"> to achieve the collaborative functioning that generates performance improvements. A delicate balance </w:t>
      </w:r>
      <w:r w:rsidR="0089506F">
        <w:rPr>
          <w:lang w:eastAsia="en-GB"/>
        </w:rPr>
        <w:t>of</w:t>
      </w:r>
      <w:r>
        <w:rPr>
          <w:lang w:eastAsia="en-GB"/>
        </w:rPr>
        <w:t xml:space="preserve"> </w:t>
      </w:r>
      <w:r w:rsidR="00D45EC0">
        <w:rPr>
          <w:lang w:eastAsia="en-GB"/>
        </w:rPr>
        <w:t xml:space="preserve">building </w:t>
      </w:r>
      <w:r w:rsidR="00A74AF6">
        <w:rPr>
          <w:lang w:eastAsia="en-GB"/>
        </w:rPr>
        <w:t xml:space="preserve">trust, </w:t>
      </w:r>
      <w:r w:rsidR="00D45EC0">
        <w:rPr>
          <w:lang w:eastAsia="en-GB"/>
        </w:rPr>
        <w:t xml:space="preserve">instilling </w:t>
      </w:r>
      <w:r w:rsidR="00A74AF6">
        <w:rPr>
          <w:lang w:eastAsia="en-GB"/>
        </w:rPr>
        <w:t xml:space="preserve">faith, and </w:t>
      </w:r>
      <w:r w:rsidR="00D45EC0">
        <w:rPr>
          <w:lang w:eastAsia="en-GB"/>
        </w:rPr>
        <w:t xml:space="preserve">maintaining </w:t>
      </w:r>
      <w:r>
        <w:rPr>
          <w:lang w:eastAsia="en-GB"/>
        </w:rPr>
        <w:t xml:space="preserve">confidence </w:t>
      </w:r>
      <w:r w:rsidR="0089506F">
        <w:rPr>
          <w:lang w:eastAsia="en-GB"/>
        </w:rPr>
        <w:t xml:space="preserve">is required </w:t>
      </w:r>
      <w:r>
        <w:rPr>
          <w:lang w:eastAsia="en-GB"/>
        </w:rPr>
        <w:t>for high performing IOCs</w:t>
      </w:r>
      <w:r w:rsidR="00E3315C">
        <w:rPr>
          <w:lang w:eastAsia="en-GB"/>
        </w:rPr>
        <w:t xml:space="preserve"> to flourish</w:t>
      </w:r>
      <w:r>
        <w:rPr>
          <w:lang w:eastAsia="en-GB"/>
        </w:rPr>
        <w:t>.</w:t>
      </w:r>
    </w:p>
    <w:p w14:paraId="4DCFFC72" w14:textId="77777777" w:rsidR="0091639D" w:rsidRPr="00B173CC" w:rsidRDefault="0091639D" w:rsidP="00282FAA">
      <w:pPr>
        <w:spacing w:line="360" w:lineRule="auto"/>
        <w:jc w:val="both"/>
        <w:rPr>
          <w:b/>
          <w:bCs/>
          <w:lang w:eastAsia="en-GB"/>
        </w:rPr>
      </w:pPr>
      <w:r w:rsidRPr="00B173CC">
        <w:rPr>
          <w:b/>
          <w:bCs/>
          <w:lang w:eastAsia="en-GB"/>
        </w:rPr>
        <w:t>Future work</w:t>
      </w:r>
    </w:p>
    <w:p w14:paraId="0B2C430C" w14:textId="752391E0" w:rsidR="00E3315C" w:rsidRDefault="0091639D" w:rsidP="00282FAA">
      <w:pPr>
        <w:spacing w:line="360" w:lineRule="auto"/>
        <w:jc w:val="both"/>
        <w:rPr>
          <w:lang w:eastAsia="en-GB"/>
        </w:rPr>
      </w:pPr>
      <w:r w:rsidRPr="004A27A9">
        <w:rPr>
          <w:lang w:eastAsia="en-GB"/>
        </w:rPr>
        <w:t xml:space="preserve">Future research should further refine our theory </w:t>
      </w:r>
      <w:r w:rsidR="00D45EC0">
        <w:rPr>
          <w:lang w:eastAsia="en-GB"/>
        </w:rPr>
        <w:t>by incorporating other</w:t>
      </w:r>
      <w:r w:rsidR="00D45EC0" w:rsidRPr="004A27A9">
        <w:rPr>
          <w:lang w:eastAsia="en-GB"/>
        </w:rPr>
        <w:t xml:space="preserve"> </w:t>
      </w:r>
      <w:r w:rsidRPr="004A27A9">
        <w:rPr>
          <w:lang w:eastAsia="en-GB"/>
        </w:rPr>
        <w:t xml:space="preserve">workforce and user perspectives. Research into digital platforms </w:t>
      </w:r>
      <w:r w:rsidR="00D45EC0">
        <w:rPr>
          <w:lang w:eastAsia="en-GB"/>
        </w:rPr>
        <w:t xml:space="preserve">for IOCs </w:t>
      </w:r>
      <w:r w:rsidRPr="004A27A9">
        <w:rPr>
          <w:lang w:eastAsia="en-GB"/>
        </w:rPr>
        <w:t xml:space="preserve">and outcome measurement are </w:t>
      </w:r>
      <w:r w:rsidR="00D45EC0">
        <w:rPr>
          <w:lang w:eastAsia="en-GB"/>
        </w:rPr>
        <w:t>advocated</w:t>
      </w:r>
      <w:r w:rsidRPr="004A27A9">
        <w:rPr>
          <w:lang w:eastAsia="en-GB"/>
        </w:rPr>
        <w:t xml:space="preserve">, along with place-based </w:t>
      </w:r>
      <w:r w:rsidR="00380425">
        <w:rPr>
          <w:lang w:eastAsia="en-GB"/>
        </w:rPr>
        <w:t xml:space="preserve">and cross sectoral </w:t>
      </w:r>
      <w:r w:rsidRPr="004A27A9">
        <w:rPr>
          <w:lang w:eastAsia="en-GB"/>
        </w:rPr>
        <w:t>partnerships</w:t>
      </w:r>
      <w:r w:rsidR="00201F55">
        <w:rPr>
          <w:lang w:eastAsia="en-GB"/>
        </w:rPr>
        <w:t xml:space="preserve">, </w:t>
      </w:r>
      <w:r w:rsidR="000A4095">
        <w:rPr>
          <w:lang w:eastAsia="en-GB"/>
        </w:rPr>
        <w:t>as well as</w:t>
      </w:r>
      <w:r w:rsidRPr="004A27A9">
        <w:rPr>
          <w:lang w:eastAsia="en-GB"/>
        </w:rPr>
        <w:t xml:space="preserve"> regulatory models for overseeing </w:t>
      </w:r>
      <w:r w:rsidR="000A4095">
        <w:rPr>
          <w:lang w:eastAsia="en-GB"/>
        </w:rPr>
        <w:t>IOCs</w:t>
      </w:r>
      <w:r w:rsidRPr="004A27A9">
        <w:rPr>
          <w:lang w:eastAsia="en-GB"/>
        </w:rPr>
        <w:t>.</w:t>
      </w:r>
    </w:p>
    <w:p w14:paraId="0914580E" w14:textId="77777777" w:rsidR="0091639D" w:rsidRPr="00B173CC" w:rsidRDefault="0091639D" w:rsidP="00282FAA">
      <w:pPr>
        <w:spacing w:line="360" w:lineRule="auto"/>
        <w:jc w:val="both"/>
        <w:rPr>
          <w:b/>
          <w:bCs/>
          <w:lang w:eastAsia="en-GB"/>
        </w:rPr>
      </w:pPr>
      <w:r w:rsidRPr="00B173CC">
        <w:rPr>
          <w:b/>
          <w:bCs/>
          <w:lang w:eastAsia="en-GB"/>
        </w:rPr>
        <w:t>Study registration</w:t>
      </w:r>
    </w:p>
    <w:p w14:paraId="48E9B23A" w14:textId="70A0222D" w:rsidR="000F7D3D" w:rsidRPr="0091639D" w:rsidRDefault="0091639D" w:rsidP="00282FAA">
      <w:pPr>
        <w:spacing w:line="360" w:lineRule="auto"/>
        <w:jc w:val="both"/>
        <w:rPr>
          <w:color w:val="000000" w:themeColor="text1"/>
        </w:rPr>
      </w:pPr>
      <w:r>
        <w:rPr>
          <w:lang w:eastAsia="en-GB"/>
        </w:rPr>
        <w:t xml:space="preserve">The review component of this research is registered at PROSPERO with ID </w:t>
      </w:r>
      <w:r w:rsidRPr="00B173CC">
        <w:rPr>
          <w:lang w:eastAsia="en-GB"/>
        </w:rPr>
        <w:t>CRD42019149009</w:t>
      </w:r>
      <w:r>
        <w:rPr>
          <w:lang w:eastAsia="en-GB"/>
        </w:rPr>
        <w:t xml:space="preserve">. This study was granted favourable ethical opinion </w:t>
      </w:r>
      <w:r w:rsidRPr="008A6558">
        <w:rPr>
          <w:color w:val="000000" w:themeColor="text1"/>
        </w:rPr>
        <w:t xml:space="preserve">from the University of Birmingham Ethics Board, as well as Health Research Authority </w:t>
      </w:r>
      <w:r w:rsidR="003050F7">
        <w:rPr>
          <w:color w:val="000000" w:themeColor="text1"/>
        </w:rPr>
        <w:t xml:space="preserve">approval </w:t>
      </w:r>
      <w:r>
        <w:rPr>
          <w:color w:val="000000" w:themeColor="text1"/>
        </w:rPr>
        <w:t xml:space="preserve">on </w:t>
      </w:r>
      <w:r w:rsidR="003050F7">
        <w:rPr>
          <w:color w:val="000000" w:themeColor="text1"/>
        </w:rPr>
        <w:t>14</w:t>
      </w:r>
      <w:r w:rsidR="003050F7" w:rsidRPr="00BC34A8">
        <w:rPr>
          <w:color w:val="000000" w:themeColor="text1"/>
          <w:vertAlign w:val="superscript"/>
        </w:rPr>
        <w:t>th</w:t>
      </w:r>
      <w:r w:rsidR="003050F7">
        <w:rPr>
          <w:color w:val="000000" w:themeColor="text1"/>
        </w:rPr>
        <w:t xml:space="preserve"> January </w:t>
      </w:r>
      <w:r w:rsidRPr="008A6558">
        <w:rPr>
          <w:color w:val="000000" w:themeColor="text1"/>
        </w:rPr>
        <w:t>2020.</w:t>
      </w:r>
    </w:p>
    <w:p w14:paraId="63CE3D97" w14:textId="77777777" w:rsidR="0091639D" w:rsidRDefault="0091639D" w:rsidP="00282FAA">
      <w:pPr>
        <w:spacing w:line="360" w:lineRule="auto"/>
        <w:jc w:val="both"/>
        <w:rPr>
          <w:b/>
          <w:bCs/>
          <w:lang w:eastAsia="en-GB"/>
        </w:rPr>
      </w:pPr>
      <w:r w:rsidRPr="00E16416">
        <w:rPr>
          <w:b/>
          <w:bCs/>
          <w:lang w:eastAsia="en-GB"/>
        </w:rPr>
        <w:t>Funding details</w:t>
      </w:r>
    </w:p>
    <w:p w14:paraId="7A1DA44A" w14:textId="77777777" w:rsidR="0091639D" w:rsidRPr="00876F94" w:rsidRDefault="0091639D" w:rsidP="00282FAA">
      <w:pPr>
        <w:spacing w:line="360" w:lineRule="auto"/>
        <w:jc w:val="both"/>
        <w:rPr>
          <w:color w:val="000000" w:themeColor="text1"/>
          <w:lang w:val="en-US"/>
        </w:rPr>
      </w:pPr>
      <w:r w:rsidRPr="008A6558">
        <w:rPr>
          <w:color w:val="000000" w:themeColor="text1"/>
        </w:rPr>
        <w:t>This research was supported by a grant from the National Institute for Health Research HS&amp;DR fund under grant number NIHR127430.</w:t>
      </w:r>
    </w:p>
    <w:p w14:paraId="1AB1360D" w14:textId="058825A4" w:rsidR="00E01984" w:rsidRPr="004E57AF" w:rsidRDefault="00E01984" w:rsidP="007C295E">
      <w:pPr>
        <w:spacing w:after="0" w:line="240" w:lineRule="auto"/>
        <w:jc w:val="both"/>
        <w:rPr>
          <w:lang w:eastAsia="en-GB"/>
        </w:rPr>
      </w:pPr>
      <w:r>
        <w:rPr>
          <w:lang w:eastAsia="en-GB"/>
        </w:rPr>
        <w:br w:type="page"/>
      </w:r>
    </w:p>
    <w:sdt>
      <w:sdtPr>
        <w:rPr>
          <w:rFonts w:asciiTheme="minorHAnsi" w:eastAsiaTheme="minorHAnsi" w:hAnsiTheme="minorHAnsi" w:cstheme="minorBidi"/>
          <w:b w:val="0"/>
          <w:bCs w:val="0"/>
          <w:color w:val="auto"/>
          <w:sz w:val="22"/>
          <w:szCs w:val="22"/>
          <w:lang w:val="en-GB"/>
        </w:rPr>
        <w:id w:val="1315919398"/>
        <w:docPartObj>
          <w:docPartGallery w:val="Table of Contents"/>
          <w:docPartUnique/>
        </w:docPartObj>
      </w:sdtPr>
      <w:sdtEndPr>
        <w:rPr>
          <w:noProof/>
        </w:rPr>
      </w:sdtEndPr>
      <w:sdtContent>
        <w:p w14:paraId="1B7355F5" w14:textId="77777777" w:rsidR="00E01984" w:rsidRDefault="00E01984" w:rsidP="00525BE0">
          <w:pPr>
            <w:pStyle w:val="TOCHeading"/>
            <w:jc w:val="both"/>
          </w:pPr>
          <w:r>
            <w:t>Table of Contents</w:t>
          </w:r>
        </w:p>
        <w:p w14:paraId="688ACEE5" w14:textId="055903C6" w:rsidR="009A2365" w:rsidRDefault="00E01984">
          <w:pPr>
            <w:pStyle w:val="TOC1"/>
            <w:tabs>
              <w:tab w:val="right" w:leader="dot" w:pos="9016"/>
            </w:tabs>
            <w:rPr>
              <w:rFonts w:eastAsiaTheme="minorEastAsia" w:cstheme="minorBidi"/>
              <w:b w:val="0"/>
              <w:bCs w:val="0"/>
              <w:i w:val="0"/>
              <w:iCs w:val="0"/>
              <w:noProof/>
              <w:sz w:val="22"/>
              <w:szCs w:val="22"/>
              <w:lang w:eastAsia="en-GB"/>
            </w:rPr>
          </w:pPr>
          <w:r>
            <w:rPr>
              <w:b w:val="0"/>
              <w:bCs w:val="0"/>
            </w:rPr>
            <w:fldChar w:fldCharType="begin"/>
          </w:r>
          <w:r>
            <w:instrText xml:space="preserve"> TOC \o "1-3" \h \z \u </w:instrText>
          </w:r>
          <w:r>
            <w:rPr>
              <w:b w:val="0"/>
              <w:bCs w:val="0"/>
            </w:rPr>
            <w:fldChar w:fldCharType="separate"/>
          </w:r>
          <w:hyperlink w:anchor="_Toc85066391" w:history="1"/>
        </w:p>
        <w:p w14:paraId="303006F3" w14:textId="581095F9" w:rsidR="009A2365" w:rsidRDefault="008802A5">
          <w:pPr>
            <w:pStyle w:val="TOC2"/>
            <w:tabs>
              <w:tab w:val="right" w:leader="dot" w:pos="9016"/>
            </w:tabs>
            <w:rPr>
              <w:rFonts w:eastAsiaTheme="minorEastAsia" w:cstheme="minorBidi"/>
              <w:b w:val="0"/>
              <w:bCs w:val="0"/>
              <w:noProof/>
              <w:lang w:eastAsia="en-GB"/>
            </w:rPr>
          </w:pPr>
          <w:hyperlink w:anchor="_Toc85066392" w:history="1">
            <w:r w:rsidR="009A2365" w:rsidRPr="000A0915">
              <w:rPr>
                <w:rStyle w:val="Hyperlink"/>
                <w:noProof/>
                <w:lang w:eastAsia="en-GB"/>
              </w:rPr>
              <w:t>Abstract</w:t>
            </w:r>
            <w:r w:rsidR="009A2365">
              <w:rPr>
                <w:noProof/>
                <w:webHidden/>
              </w:rPr>
              <w:tab/>
            </w:r>
            <w:r w:rsidR="009A2365">
              <w:rPr>
                <w:noProof/>
                <w:webHidden/>
              </w:rPr>
              <w:fldChar w:fldCharType="begin"/>
            </w:r>
            <w:r w:rsidR="009A2365">
              <w:rPr>
                <w:noProof/>
                <w:webHidden/>
              </w:rPr>
              <w:instrText xml:space="preserve"> PAGEREF _Toc85066392 \h </w:instrText>
            </w:r>
            <w:r w:rsidR="009A2365">
              <w:rPr>
                <w:noProof/>
                <w:webHidden/>
              </w:rPr>
            </w:r>
            <w:r w:rsidR="009A2365">
              <w:rPr>
                <w:noProof/>
                <w:webHidden/>
              </w:rPr>
              <w:fldChar w:fldCharType="separate"/>
            </w:r>
            <w:r w:rsidR="009A2365">
              <w:rPr>
                <w:noProof/>
                <w:webHidden/>
              </w:rPr>
              <w:t>2</w:t>
            </w:r>
            <w:r w:rsidR="009A2365">
              <w:rPr>
                <w:noProof/>
                <w:webHidden/>
              </w:rPr>
              <w:fldChar w:fldCharType="end"/>
            </w:r>
          </w:hyperlink>
        </w:p>
        <w:p w14:paraId="3D87775D" w14:textId="6C6F26E6" w:rsidR="009A2365" w:rsidRDefault="008802A5">
          <w:pPr>
            <w:pStyle w:val="TOC2"/>
            <w:tabs>
              <w:tab w:val="right" w:leader="dot" w:pos="9016"/>
            </w:tabs>
            <w:rPr>
              <w:rFonts w:eastAsiaTheme="minorEastAsia" w:cstheme="minorBidi"/>
              <w:b w:val="0"/>
              <w:bCs w:val="0"/>
              <w:noProof/>
              <w:lang w:eastAsia="en-GB"/>
            </w:rPr>
          </w:pPr>
          <w:hyperlink w:anchor="_Toc85066393" w:history="1">
            <w:r w:rsidR="009A2365" w:rsidRPr="000A0915">
              <w:rPr>
                <w:rStyle w:val="Hyperlink"/>
                <w:noProof/>
              </w:rPr>
              <w:t>List of figures</w:t>
            </w:r>
            <w:r w:rsidR="009A2365">
              <w:rPr>
                <w:noProof/>
                <w:webHidden/>
              </w:rPr>
              <w:tab/>
            </w:r>
            <w:r w:rsidR="009A2365">
              <w:rPr>
                <w:noProof/>
                <w:webHidden/>
              </w:rPr>
              <w:fldChar w:fldCharType="begin"/>
            </w:r>
            <w:r w:rsidR="009A2365">
              <w:rPr>
                <w:noProof/>
                <w:webHidden/>
              </w:rPr>
              <w:instrText xml:space="preserve"> PAGEREF _Toc85066393 \h </w:instrText>
            </w:r>
            <w:r w:rsidR="009A2365">
              <w:rPr>
                <w:noProof/>
                <w:webHidden/>
              </w:rPr>
            </w:r>
            <w:r w:rsidR="009A2365">
              <w:rPr>
                <w:noProof/>
                <w:webHidden/>
              </w:rPr>
              <w:fldChar w:fldCharType="separate"/>
            </w:r>
            <w:r w:rsidR="009A2365">
              <w:rPr>
                <w:noProof/>
                <w:webHidden/>
              </w:rPr>
              <w:t>9</w:t>
            </w:r>
            <w:r w:rsidR="009A2365">
              <w:rPr>
                <w:noProof/>
                <w:webHidden/>
              </w:rPr>
              <w:fldChar w:fldCharType="end"/>
            </w:r>
          </w:hyperlink>
        </w:p>
        <w:p w14:paraId="10FAF185" w14:textId="4781F480" w:rsidR="009A2365" w:rsidRDefault="008802A5">
          <w:pPr>
            <w:pStyle w:val="TOC2"/>
            <w:tabs>
              <w:tab w:val="right" w:leader="dot" w:pos="9016"/>
            </w:tabs>
            <w:rPr>
              <w:rFonts w:eastAsiaTheme="minorEastAsia" w:cstheme="minorBidi"/>
              <w:b w:val="0"/>
              <w:bCs w:val="0"/>
              <w:noProof/>
              <w:lang w:eastAsia="en-GB"/>
            </w:rPr>
          </w:pPr>
          <w:hyperlink w:anchor="_Toc85066394" w:history="1">
            <w:r w:rsidR="009A2365" w:rsidRPr="000A0915">
              <w:rPr>
                <w:rStyle w:val="Hyperlink"/>
                <w:noProof/>
              </w:rPr>
              <w:t>List of tables</w:t>
            </w:r>
            <w:r w:rsidR="009A2365">
              <w:rPr>
                <w:noProof/>
                <w:webHidden/>
              </w:rPr>
              <w:tab/>
            </w:r>
            <w:r w:rsidR="009A2365">
              <w:rPr>
                <w:noProof/>
                <w:webHidden/>
              </w:rPr>
              <w:fldChar w:fldCharType="begin"/>
            </w:r>
            <w:r w:rsidR="009A2365">
              <w:rPr>
                <w:noProof/>
                <w:webHidden/>
              </w:rPr>
              <w:instrText xml:space="preserve"> PAGEREF _Toc85066394 \h </w:instrText>
            </w:r>
            <w:r w:rsidR="009A2365">
              <w:rPr>
                <w:noProof/>
                <w:webHidden/>
              </w:rPr>
            </w:r>
            <w:r w:rsidR="009A2365">
              <w:rPr>
                <w:noProof/>
                <w:webHidden/>
              </w:rPr>
              <w:fldChar w:fldCharType="separate"/>
            </w:r>
            <w:r w:rsidR="009A2365">
              <w:rPr>
                <w:noProof/>
                <w:webHidden/>
              </w:rPr>
              <w:t>9</w:t>
            </w:r>
            <w:r w:rsidR="009A2365">
              <w:rPr>
                <w:noProof/>
                <w:webHidden/>
              </w:rPr>
              <w:fldChar w:fldCharType="end"/>
            </w:r>
          </w:hyperlink>
        </w:p>
        <w:p w14:paraId="061040C7" w14:textId="433FCAA2" w:rsidR="009A2365" w:rsidRDefault="008802A5">
          <w:pPr>
            <w:pStyle w:val="TOC2"/>
            <w:tabs>
              <w:tab w:val="right" w:leader="dot" w:pos="9016"/>
            </w:tabs>
            <w:rPr>
              <w:rFonts w:eastAsiaTheme="minorEastAsia" w:cstheme="minorBidi"/>
              <w:b w:val="0"/>
              <w:bCs w:val="0"/>
              <w:noProof/>
              <w:lang w:eastAsia="en-GB"/>
            </w:rPr>
          </w:pPr>
          <w:hyperlink w:anchor="_Toc85066395" w:history="1">
            <w:r w:rsidR="009A2365" w:rsidRPr="000A0915">
              <w:rPr>
                <w:rStyle w:val="Hyperlink"/>
                <w:noProof/>
              </w:rPr>
              <w:t>Abbreviations</w:t>
            </w:r>
            <w:r w:rsidR="009A2365">
              <w:rPr>
                <w:noProof/>
                <w:webHidden/>
              </w:rPr>
              <w:tab/>
            </w:r>
            <w:r w:rsidR="009A2365">
              <w:rPr>
                <w:noProof/>
                <w:webHidden/>
              </w:rPr>
              <w:fldChar w:fldCharType="begin"/>
            </w:r>
            <w:r w:rsidR="009A2365">
              <w:rPr>
                <w:noProof/>
                <w:webHidden/>
              </w:rPr>
              <w:instrText xml:space="preserve"> PAGEREF _Toc85066395 \h </w:instrText>
            </w:r>
            <w:r w:rsidR="009A2365">
              <w:rPr>
                <w:noProof/>
                <w:webHidden/>
              </w:rPr>
            </w:r>
            <w:r w:rsidR="009A2365">
              <w:rPr>
                <w:noProof/>
                <w:webHidden/>
              </w:rPr>
              <w:fldChar w:fldCharType="separate"/>
            </w:r>
            <w:r w:rsidR="009A2365">
              <w:rPr>
                <w:noProof/>
                <w:webHidden/>
              </w:rPr>
              <w:t>10</w:t>
            </w:r>
            <w:r w:rsidR="009A2365">
              <w:rPr>
                <w:noProof/>
                <w:webHidden/>
              </w:rPr>
              <w:fldChar w:fldCharType="end"/>
            </w:r>
          </w:hyperlink>
        </w:p>
        <w:p w14:paraId="3891D461" w14:textId="6DA083D0" w:rsidR="009A2365" w:rsidRDefault="008802A5">
          <w:pPr>
            <w:pStyle w:val="TOC2"/>
            <w:tabs>
              <w:tab w:val="right" w:leader="dot" w:pos="9016"/>
            </w:tabs>
            <w:rPr>
              <w:rFonts w:eastAsiaTheme="minorEastAsia" w:cstheme="minorBidi"/>
              <w:b w:val="0"/>
              <w:bCs w:val="0"/>
              <w:noProof/>
              <w:lang w:eastAsia="en-GB"/>
            </w:rPr>
          </w:pPr>
          <w:hyperlink w:anchor="_Toc85066396" w:history="1">
            <w:r w:rsidR="009A2365" w:rsidRPr="000A0915">
              <w:rPr>
                <w:rStyle w:val="Hyperlink"/>
                <w:noProof/>
              </w:rPr>
              <w:t>Supplementary Material Files</w:t>
            </w:r>
            <w:r w:rsidR="009A2365">
              <w:rPr>
                <w:noProof/>
                <w:webHidden/>
              </w:rPr>
              <w:tab/>
            </w:r>
            <w:r w:rsidR="009A2365">
              <w:rPr>
                <w:noProof/>
                <w:webHidden/>
              </w:rPr>
              <w:fldChar w:fldCharType="begin"/>
            </w:r>
            <w:r w:rsidR="009A2365">
              <w:rPr>
                <w:noProof/>
                <w:webHidden/>
              </w:rPr>
              <w:instrText xml:space="preserve"> PAGEREF _Toc85066396 \h </w:instrText>
            </w:r>
            <w:r w:rsidR="009A2365">
              <w:rPr>
                <w:noProof/>
                <w:webHidden/>
              </w:rPr>
            </w:r>
            <w:r w:rsidR="009A2365">
              <w:rPr>
                <w:noProof/>
                <w:webHidden/>
              </w:rPr>
              <w:fldChar w:fldCharType="separate"/>
            </w:r>
            <w:r w:rsidR="009A2365">
              <w:rPr>
                <w:noProof/>
                <w:webHidden/>
              </w:rPr>
              <w:t>10</w:t>
            </w:r>
            <w:r w:rsidR="009A2365">
              <w:rPr>
                <w:noProof/>
                <w:webHidden/>
              </w:rPr>
              <w:fldChar w:fldCharType="end"/>
            </w:r>
          </w:hyperlink>
        </w:p>
        <w:p w14:paraId="4D8D6F05" w14:textId="6D5628DE" w:rsidR="009A2365" w:rsidRDefault="008802A5">
          <w:pPr>
            <w:pStyle w:val="TOC2"/>
            <w:tabs>
              <w:tab w:val="right" w:leader="dot" w:pos="9016"/>
            </w:tabs>
            <w:rPr>
              <w:rFonts w:eastAsiaTheme="minorEastAsia" w:cstheme="minorBidi"/>
              <w:b w:val="0"/>
              <w:bCs w:val="0"/>
              <w:noProof/>
              <w:lang w:eastAsia="en-GB"/>
            </w:rPr>
          </w:pPr>
          <w:hyperlink w:anchor="_Toc85066397" w:history="1">
            <w:r w:rsidR="009A2365" w:rsidRPr="000A0915">
              <w:rPr>
                <w:rStyle w:val="Hyperlink"/>
                <w:noProof/>
                <w:lang w:eastAsia="en-GB"/>
              </w:rPr>
              <w:t>Word length of main body</w:t>
            </w:r>
            <w:r w:rsidR="009A2365">
              <w:rPr>
                <w:noProof/>
                <w:webHidden/>
              </w:rPr>
              <w:tab/>
            </w:r>
            <w:r w:rsidR="009A2365">
              <w:rPr>
                <w:noProof/>
                <w:webHidden/>
              </w:rPr>
              <w:fldChar w:fldCharType="begin"/>
            </w:r>
            <w:r w:rsidR="009A2365">
              <w:rPr>
                <w:noProof/>
                <w:webHidden/>
              </w:rPr>
              <w:instrText xml:space="preserve"> PAGEREF _Toc85066397 \h </w:instrText>
            </w:r>
            <w:r w:rsidR="009A2365">
              <w:rPr>
                <w:noProof/>
                <w:webHidden/>
              </w:rPr>
            </w:r>
            <w:r w:rsidR="009A2365">
              <w:rPr>
                <w:noProof/>
                <w:webHidden/>
              </w:rPr>
              <w:fldChar w:fldCharType="separate"/>
            </w:r>
            <w:r w:rsidR="009A2365">
              <w:rPr>
                <w:noProof/>
                <w:webHidden/>
              </w:rPr>
              <w:t>10</w:t>
            </w:r>
            <w:r w:rsidR="009A2365">
              <w:rPr>
                <w:noProof/>
                <w:webHidden/>
              </w:rPr>
              <w:fldChar w:fldCharType="end"/>
            </w:r>
          </w:hyperlink>
        </w:p>
        <w:p w14:paraId="45E8EE3B" w14:textId="1E18DE6D"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398" w:history="1">
            <w:r w:rsidR="009A2365" w:rsidRPr="000A0915">
              <w:rPr>
                <w:rStyle w:val="Hyperlink"/>
                <w:noProof/>
                <w:lang w:eastAsia="en-GB"/>
              </w:rPr>
              <w:t>Plain English summary</w:t>
            </w:r>
            <w:r w:rsidR="009A2365">
              <w:rPr>
                <w:noProof/>
                <w:webHidden/>
              </w:rPr>
              <w:tab/>
            </w:r>
            <w:r w:rsidR="009A2365">
              <w:rPr>
                <w:noProof/>
                <w:webHidden/>
              </w:rPr>
              <w:fldChar w:fldCharType="begin"/>
            </w:r>
            <w:r w:rsidR="009A2365">
              <w:rPr>
                <w:noProof/>
                <w:webHidden/>
              </w:rPr>
              <w:instrText xml:space="preserve"> PAGEREF _Toc85066398 \h </w:instrText>
            </w:r>
            <w:r w:rsidR="009A2365">
              <w:rPr>
                <w:noProof/>
                <w:webHidden/>
              </w:rPr>
            </w:r>
            <w:r w:rsidR="009A2365">
              <w:rPr>
                <w:noProof/>
                <w:webHidden/>
              </w:rPr>
              <w:fldChar w:fldCharType="separate"/>
            </w:r>
            <w:r w:rsidR="009A2365">
              <w:rPr>
                <w:noProof/>
                <w:webHidden/>
              </w:rPr>
              <w:t>11</w:t>
            </w:r>
            <w:r w:rsidR="009A2365">
              <w:rPr>
                <w:noProof/>
                <w:webHidden/>
              </w:rPr>
              <w:fldChar w:fldCharType="end"/>
            </w:r>
          </w:hyperlink>
        </w:p>
        <w:p w14:paraId="140817FE" w14:textId="24160759"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399" w:history="1">
            <w:r w:rsidR="009A2365" w:rsidRPr="000A0915">
              <w:rPr>
                <w:rStyle w:val="Hyperlink"/>
                <w:noProof/>
                <w:lang w:eastAsia="en-GB"/>
              </w:rPr>
              <w:t>Scientific Summary</w:t>
            </w:r>
            <w:r w:rsidR="009A2365">
              <w:rPr>
                <w:noProof/>
                <w:webHidden/>
              </w:rPr>
              <w:tab/>
            </w:r>
            <w:r w:rsidR="009A2365">
              <w:rPr>
                <w:noProof/>
                <w:webHidden/>
              </w:rPr>
              <w:fldChar w:fldCharType="begin"/>
            </w:r>
            <w:r w:rsidR="009A2365">
              <w:rPr>
                <w:noProof/>
                <w:webHidden/>
              </w:rPr>
              <w:instrText xml:space="preserve"> PAGEREF _Toc85066399 \h </w:instrText>
            </w:r>
            <w:r w:rsidR="009A2365">
              <w:rPr>
                <w:noProof/>
                <w:webHidden/>
              </w:rPr>
            </w:r>
            <w:r w:rsidR="009A2365">
              <w:rPr>
                <w:noProof/>
                <w:webHidden/>
              </w:rPr>
              <w:fldChar w:fldCharType="separate"/>
            </w:r>
            <w:r w:rsidR="009A2365">
              <w:rPr>
                <w:noProof/>
                <w:webHidden/>
              </w:rPr>
              <w:t>13</w:t>
            </w:r>
            <w:r w:rsidR="009A2365">
              <w:rPr>
                <w:noProof/>
                <w:webHidden/>
              </w:rPr>
              <w:fldChar w:fldCharType="end"/>
            </w:r>
          </w:hyperlink>
        </w:p>
        <w:p w14:paraId="158D147D" w14:textId="7296874D"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00" w:history="1">
            <w:r w:rsidR="009A2365" w:rsidRPr="000A0915">
              <w:rPr>
                <w:rStyle w:val="Hyperlink"/>
                <w:noProof/>
              </w:rPr>
              <w:t>Chapter 1: Introduction</w:t>
            </w:r>
            <w:r w:rsidR="009A2365">
              <w:rPr>
                <w:noProof/>
                <w:webHidden/>
              </w:rPr>
              <w:tab/>
            </w:r>
            <w:r w:rsidR="009A2365">
              <w:rPr>
                <w:noProof/>
                <w:webHidden/>
              </w:rPr>
              <w:fldChar w:fldCharType="begin"/>
            </w:r>
            <w:r w:rsidR="009A2365">
              <w:rPr>
                <w:noProof/>
                <w:webHidden/>
              </w:rPr>
              <w:instrText xml:space="preserve"> PAGEREF _Toc85066400 \h </w:instrText>
            </w:r>
            <w:r w:rsidR="009A2365">
              <w:rPr>
                <w:noProof/>
                <w:webHidden/>
              </w:rPr>
            </w:r>
            <w:r w:rsidR="009A2365">
              <w:rPr>
                <w:noProof/>
                <w:webHidden/>
              </w:rPr>
              <w:fldChar w:fldCharType="separate"/>
            </w:r>
            <w:r w:rsidR="009A2365">
              <w:rPr>
                <w:noProof/>
                <w:webHidden/>
              </w:rPr>
              <w:t>19</w:t>
            </w:r>
            <w:r w:rsidR="009A2365">
              <w:rPr>
                <w:noProof/>
                <w:webHidden/>
              </w:rPr>
              <w:fldChar w:fldCharType="end"/>
            </w:r>
          </w:hyperlink>
        </w:p>
        <w:p w14:paraId="6057AF23" w14:textId="13C8CEF2" w:rsidR="009A2365" w:rsidRDefault="008802A5">
          <w:pPr>
            <w:pStyle w:val="TOC2"/>
            <w:tabs>
              <w:tab w:val="right" w:leader="dot" w:pos="9016"/>
            </w:tabs>
            <w:rPr>
              <w:rFonts w:eastAsiaTheme="minorEastAsia" w:cstheme="minorBidi"/>
              <w:b w:val="0"/>
              <w:bCs w:val="0"/>
              <w:noProof/>
              <w:lang w:eastAsia="en-GB"/>
            </w:rPr>
          </w:pPr>
          <w:hyperlink w:anchor="_Toc85066401" w:history="1">
            <w:r w:rsidR="009A2365" w:rsidRPr="000A0915">
              <w:rPr>
                <w:rStyle w:val="Hyperlink"/>
                <w:noProof/>
              </w:rPr>
              <w:t>Historical developments</w:t>
            </w:r>
            <w:r w:rsidR="009A2365">
              <w:rPr>
                <w:noProof/>
                <w:webHidden/>
              </w:rPr>
              <w:tab/>
            </w:r>
            <w:r w:rsidR="009A2365">
              <w:rPr>
                <w:noProof/>
                <w:webHidden/>
              </w:rPr>
              <w:fldChar w:fldCharType="begin"/>
            </w:r>
            <w:r w:rsidR="009A2365">
              <w:rPr>
                <w:noProof/>
                <w:webHidden/>
              </w:rPr>
              <w:instrText xml:space="preserve"> PAGEREF _Toc85066401 \h </w:instrText>
            </w:r>
            <w:r w:rsidR="009A2365">
              <w:rPr>
                <w:noProof/>
                <w:webHidden/>
              </w:rPr>
            </w:r>
            <w:r w:rsidR="009A2365">
              <w:rPr>
                <w:noProof/>
                <w:webHidden/>
              </w:rPr>
              <w:fldChar w:fldCharType="separate"/>
            </w:r>
            <w:r w:rsidR="009A2365">
              <w:rPr>
                <w:noProof/>
                <w:webHidden/>
              </w:rPr>
              <w:t>19</w:t>
            </w:r>
            <w:r w:rsidR="009A2365">
              <w:rPr>
                <w:noProof/>
                <w:webHidden/>
              </w:rPr>
              <w:fldChar w:fldCharType="end"/>
            </w:r>
          </w:hyperlink>
        </w:p>
        <w:p w14:paraId="1EE6C69B" w14:textId="71C8D761" w:rsidR="009A2365" w:rsidRDefault="008802A5">
          <w:pPr>
            <w:pStyle w:val="TOC3"/>
            <w:tabs>
              <w:tab w:val="right" w:leader="dot" w:pos="9016"/>
            </w:tabs>
            <w:rPr>
              <w:rFonts w:eastAsiaTheme="minorEastAsia" w:cstheme="minorBidi"/>
              <w:noProof/>
              <w:sz w:val="22"/>
              <w:szCs w:val="22"/>
              <w:lang w:eastAsia="en-GB"/>
            </w:rPr>
          </w:pPr>
          <w:hyperlink w:anchor="_Toc85066402" w:history="1">
            <w:r w:rsidR="009A2365" w:rsidRPr="000A0915">
              <w:rPr>
                <w:rStyle w:val="Hyperlink"/>
                <w:noProof/>
              </w:rPr>
              <w:t>The Five Year Forward View</w:t>
            </w:r>
            <w:r w:rsidR="009A2365">
              <w:rPr>
                <w:noProof/>
                <w:webHidden/>
              </w:rPr>
              <w:tab/>
            </w:r>
            <w:r w:rsidR="009A2365">
              <w:rPr>
                <w:noProof/>
                <w:webHidden/>
              </w:rPr>
              <w:fldChar w:fldCharType="begin"/>
            </w:r>
            <w:r w:rsidR="009A2365">
              <w:rPr>
                <w:noProof/>
                <w:webHidden/>
              </w:rPr>
              <w:instrText xml:space="preserve"> PAGEREF _Toc85066402 \h </w:instrText>
            </w:r>
            <w:r w:rsidR="009A2365">
              <w:rPr>
                <w:noProof/>
                <w:webHidden/>
              </w:rPr>
            </w:r>
            <w:r w:rsidR="009A2365">
              <w:rPr>
                <w:noProof/>
                <w:webHidden/>
              </w:rPr>
              <w:fldChar w:fldCharType="separate"/>
            </w:r>
            <w:r w:rsidR="009A2365">
              <w:rPr>
                <w:noProof/>
                <w:webHidden/>
              </w:rPr>
              <w:t>20</w:t>
            </w:r>
            <w:r w:rsidR="009A2365">
              <w:rPr>
                <w:noProof/>
                <w:webHidden/>
              </w:rPr>
              <w:fldChar w:fldCharType="end"/>
            </w:r>
          </w:hyperlink>
        </w:p>
        <w:p w14:paraId="165DE993" w14:textId="781BA5EF" w:rsidR="009A2365" w:rsidRDefault="008802A5">
          <w:pPr>
            <w:pStyle w:val="TOC3"/>
            <w:tabs>
              <w:tab w:val="right" w:leader="dot" w:pos="9016"/>
            </w:tabs>
            <w:rPr>
              <w:rFonts w:eastAsiaTheme="minorEastAsia" w:cstheme="minorBidi"/>
              <w:noProof/>
              <w:sz w:val="22"/>
              <w:szCs w:val="22"/>
              <w:lang w:eastAsia="en-GB"/>
            </w:rPr>
          </w:pPr>
          <w:hyperlink w:anchor="_Toc85066403" w:history="1">
            <w:r w:rsidR="009A2365" w:rsidRPr="000A0915">
              <w:rPr>
                <w:rStyle w:val="Hyperlink"/>
                <w:noProof/>
              </w:rPr>
              <w:t>NHS Long Term Plan and beyond</w:t>
            </w:r>
            <w:r w:rsidR="009A2365">
              <w:rPr>
                <w:noProof/>
                <w:webHidden/>
              </w:rPr>
              <w:tab/>
            </w:r>
            <w:r w:rsidR="009A2365">
              <w:rPr>
                <w:noProof/>
                <w:webHidden/>
              </w:rPr>
              <w:fldChar w:fldCharType="begin"/>
            </w:r>
            <w:r w:rsidR="009A2365">
              <w:rPr>
                <w:noProof/>
                <w:webHidden/>
              </w:rPr>
              <w:instrText xml:space="preserve"> PAGEREF _Toc85066403 \h </w:instrText>
            </w:r>
            <w:r w:rsidR="009A2365">
              <w:rPr>
                <w:noProof/>
                <w:webHidden/>
              </w:rPr>
            </w:r>
            <w:r w:rsidR="009A2365">
              <w:rPr>
                <w:noProof/>
                <w:webHidden/>
              </w:rPr>
              <w:fldChar w:fldCharType="separate"/>
            </w:r>
            <w:r w:rsidR="009A2365">
              <w:rPr>
                <w:noProof/>
                <w:webHidden/>
              </w:rPr>
              <w:t>21</w:t>
            </w:r>
            <w:r w:rsidR="009A2365">
              <w:rPr>
                <w:noProof/>
                <w:webHidden/>
              </w:rPr>
              <w:fldChar w:fldCharType="end"/>
            </w:r>
          </w:hyperlink>
        </w:p>
        <w:p w14:paraId="2BD667E6" w14:textId="42A16932" w:rsidR="009A2365" w:rsidRDefault="008802A5">
          <w:pPr>
            <w:pStyle w:val="TOC2"/>
            <w:tabs>
              <w:tab w:val="right" w:leader="dot" w:pos="9016"/>
            </w:tabs>
            <w:rPr>
              <w:rFonts w:eastAsiaTheme="minorEastAsia" w:cstheme="minorBidi"/>
              <w:b w:val="0"/>
              <w:bCs w:val="0"/>
              <w:noProof/>
              <w:lang w:eastAsia="en-GB"/>
            </w:rPr>
          </w:pPr>
          <w:hyperlink w:anchor="_Toc85066404" w:history="1">
            <w:r w:rsidR="009A2365" w:rsidRPr="000A0915">
              <w:rPr>
                <w:rStyle w:val="Hyperlink"/>
                <w:noProof/>
              </w:rPr>
              <w:t>Research rationale</w:t>
            </w:r>
            <w:r w:rsidR="009A2365">
              <w:rPr>
                <w:noProof/>
                <w:webHidden/>
              </w:rPr>
              <w:tab/>
            </w:r>
            <w:r w:rsidR="009A2365">
              <w:rPr>
                <w:noProof/>
                <w:webHidden/>
              </w:rPr>
              <w:fldChar w:fldCharType="begin"/>
            </w:r>
            <w:r w:rsidR="009A2365">
              <w:rPr>
                <w:noProof/>
                <w:webHidden/>
              </w:rPr>
              <w:instrText xml:space="preserve"> PAGEREF _Toc85066404 \h </w:instrText>
            </w:r>
            <w:r w:rsidR="009A2365">
              <w:rPr>
                <w:noProof/>
                <w:webHidden/>
              </w:rPr>
            </w:r>
            <w:r w:rsidR="009A2365">
              <w:rPr>
                <w:noProof/>
                <w:webHidden/>
              </w:rPr>
              <w:fldChar w:fldCharType="separate"/>
            </w:r>
            <w:r w:rsidR="009A2365">
              <w:rPr>
                <w:noProof/>
                <w:webHidden/>
              </w:rPr>
              <w:t>22</w:t>
            </w:r>
            <w:r w:rsidR="009A2365">
              <w:rPr>
                <w:noProof/>
                <w:webHidden/>
              </w:rPr>
              <w:fldChar w:fldCharType="end"/>
            </w:r>
          </w:hyperlink>
        </w:p>
        <w:p w14:paraId="5B5C9E92" w14:textId="1B645A52" w:rsidR="009A2365" w:rsidRDefault="008802A5">
          <w:pPr>
            <w:pStyle w:val="TOC3"/>
            <w:tabs>
              <w:tab w:val="right" w:leader="dot" w:pos="9016"/>
            </w:tabs>
            <w:rPr>
              <w:rFonts w:eastAsiaTheme="minorEastAsia" w:cstheme="minorBidi"/>
              <w:noProof/>
              <w:sz w:val="22"/>
              <w:szCs w:val="22"/>
              <w:lang w:eastAsia="en-GB"/>
            </w:rPr>
          </w:pPr>
          <w:hyperlink w:anchor="_Toc85066405" w:history="1">
            <w:r w:rsidR="009A2365" w:rsidRPr="000A0915">
              <w:rPr>
                <w:rStyle w:val="Hyperlink"/>
                <w:noProof/>
              </w:rPr>
              <w:t>Research aims and objectives</w:t>
            </w:r>
            <w:r w:rsidR="009A2365">
              <w:rPr>
                <w:noProof/>
                <w:webHidden/>
              </w:rPr>
              <w:tab/>
            </w:r>
            <w:r w:rsidR="009A2365">
              <w:rPr>
                <w:noProof/>
                <w:webHidden/>
              </w:rPr>
              <w:fldChar w:fldCharType="begin"/>
            </w:r>
            <w:r w:rsidR="009A2365">
              <w:rPr>
                <w:noProof/>
                <w:webHidden/>
              </w:rPr>
              <w:instrText xml:space="preserve"> PAGEREF _Toc85066405 \h </w:instrText>
            </w:r>
            <w:r w:rsidR="009A2365">
              <w:rPr>
                <w:noProof/>
                <w:webHidden/>
              </w:rPr>
            </w:r>
            <w:r w:rsidR="009A2365">
              <w:rPr>
                <w:noProof/>
                <w:webHidden/>
              </w:rPr>
              <w:fldChar w:fldCharType="separate"/>
            </w:r>
            <w:r w:rsidR="009A2365">
              <w:rPr>
                <w:noProof/>
                <w:webHidden/>
              </w:rPr>
              <w:t>23</w:t>
            </w:r>
            <w:r w:rsidR="009A2365">
              <w:rPr>
                <w:noProof/>
                <w:webHidden/>
              </w:rPr>
              <w:fldChar w:fldCharType="end"/>
            </w:r>
          </w:hyperlink>
        </w:p>
        <w:p w14:paraId="0B3C33D7" w14:textId="0DD70735" w:rsidR="009A2365" w:rsidRDefault="008802A5">
          <w:pPr>
            <w:pStyle w:val="TOC2"/>
            <w:tabs>
              <w:tab w:val="right" w:leader="dot" w:pos="9016"/>
            </w:tabs>
            <w:rPr>
              <w:rFonts w:eastAsiaTheme="minorEastAsia" w:cstheme="minorBidi"/>
              <w:b w:val="0"/>
              <w:bCs w:val="0"/>
              <w:noProof/>
              <w:lang w:eastAsia="en-GB"/>
            </w:rPr>
          </w:pPr>
          <w:hyperlink w:anchor="_Toc85066406" w:history="1">
            <w:r w:rsidR="009A2365" w:rsidRPr="000A0915">
              <w:rPr>
                <w:rStyle w:val="Hyperlink"/>
                <w:noProof/>
              </w:rPr>
              <w:t>Chapter outline</w:t>
            </w:r>
            <w:r w:rsidR="009A2365">
              <w:rPr>
                <w:noProof/>
                <w:webHidden/>
              </w:rPr>
              <w:tab/>
            </w:r>
            <w:r w:rsidR="009A2365">
              <w:rPr>
                <w:noProof/>
                <w:webHidden/>
              </w:rPr>
              <w:fldChar w:fldCharType="begin"/>
            </w:r>
            <w:r w:rsidR="009A2365">
              <w:rPr>
                <w:noProof/>
                <w:webHidden/>
              </w:rPr>
              <w:instrText xml:space="preserve"> PAGEREF _Toc85066406 \h </w:instrText>
            </w:r>
            <w:r w:rsidR="009A2365">
              <w:rPr>
                <w:noProof/>
                <w:webHidden/>
              </w:rPr>
            </w:r>
            <w:r w:rsidR="009A2365">
              <w:rPr>
                <w:noProof/>
                <w:webHidden/>
              </w:rPr>
              <w:fldChar w:fldCharType="separate"/>
            </w:r>
            <w:r w:rsidR="009A2365">
              <w:rPr>
                <w:noProof/>
                <w:webHidden/>
              </w:rPr>
              <w:t>24</w:t>
            </w:r>
            <w:r w:rsidR="009A2365">
              <w:rPr>
                <w:noProof/>
                <w:webHidden/>
              </w:rPr>
              <w:fldChar w:fldCharType="end"/>
            </w:r>
          </w:hyperlink>
        </w:p>
        <w:p w14:paraId="1F9D68B1" w14:textId="65168B2C"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07" w:history="1">
            <w:r w:rsidR="009A2365" w:rsidRPr="000A0915">
              <w:rPr>
                <w:rStyle w:val="Hyperlink"/>
                <w:noProof/>
              </w:rPr>
              <w:t>Chapter 2: Background</w:t>
            </w:r>
            <w:r w:rsidR="009A2365">
              <w:rPr>
                <w:noProof/>
                <w:webHidden/>
              </w:rPr>
              <w:tab/>
            </w:r>
            <w:r w:rsidR="009A2365">
              <w:rPr>
                <w:noProof/>
                <w:webHidden/>
              </w:rPr>
              <w:fldChar w:fldCharType="begin"/>
            </w:r>
            <w:r w:rsidR="009A2365">
              <w:rPr>
                <w:noProof/>
                <w:webHidden/>
              </w:rPr>
              <w:instrText xml:space="preserve"> PAGEREF _Toc85066407 \h </w:instrText>
            </w:r>
            <w:r w:rsidR="009A2365">
              <w:rPr>
                <w:noProof/>
                <w:webHidden/>
              </w:rPr>
            </w:r>
            <w:r w:rsidR="009A2365">
              <w:rPr>
                <w:noProof/>
                <w:webHidden/>
              </w:rPr>
              <w:fldChar w:fldCharType="separate"/>
            </w:r>
            <w:r w:rsidR="009A2365">
              <w:rPr>
                <w:noProof/>
                <w:webHidden/>
              </w:rPr>
              <w:t>25</w:t>
            </w:r>
            <w:r w:rsidR="009A2365">
              <w:rPr>
                <w:noProof/>
                <w:webHidden/>
              </w:rPr>
              <w:fldChar w:fldCharType="end"/>
            </w:r>
          </w:hyperlink>
        </w:p>
        <w:p w14:paraId="74C620DE" w14:textId="0671193F" w:rsidR="009A2365" w:rsidRDefault="008802A5">
          <w:pPr>
            <w:pStyle w:val="TOC2"/>
            <w:tabs>
              <w:tab w:val="right" w:leader="dot" w:pos="9016"/>
            </w:tabs>
            <w:rPr>
              <w:rFonts w:eastAsiaTheme="minorEastAsia" w:cstheme="minorBidi"/>
              <w:b w:val="0"/>
              <w:bCs w:val="0"/>
              <w:noProof/>
              <w:lang w:eastAsia="en-GB"/>
            </w:rPr>
          </w:pPr>
          <w:hyperlink w:anchor="_Toc85066408" w:history="1">
            <w:r w:rsidR="009A2365" w:rsidRPr="000A0915">
              <w:rPr>
                <w:rStyle w:val="Hyperlink"/>
                <w:noProof/>
              </w:rPr>
              <w:t>Definitions and terminology</w:t>
            </w:r>
            <w:r w:rsidR="009A2365">
              <w:rPr>
                <w:noProof/>
                <w:webHidden/>
              </w:rPr>
              <w:tab/>
            </w:r>
            <w:r w:rsidR="009A2365">
              <w:rPr>
                <w:noProof/>
                <w:webHidden/>
              </w:rPr>
              <w:fldChar w:fldCharType="begin"/>
            </w:r>
            <w:r w:rsidR="009A2365">
              <w:rPr>
                <w:noProof/>
                <w:webHidden/>
              </w:rPr>
              <w:instrText xml:space="preserve"> PAGEREF _Toc85066408 \h </w:instrText>
            </w:r>
            <w:r w:rsidR="009A2365">
              <w:rPr>
                <w:noProof/>
                <w:webHidden/>
              </w:rPr>
            </w:r>
            <w:r w:rsidR="009A2365">
              <w:rPr>
                <w:noProof/>
                <w:webHidden/>
              </w:rPr>
              <w:fldChar w:fldCharType="separate"/>
            </w:r>
            <w:r w:rsidR="009A2365">
              <w:rPr>
                <w:noProof/>
                <w:webHidden/>
              </w:rPr>
              <w:t>25</w:t>
            </w:r>
            <w:r w:rsidR="009A2365">
              <w:rPr>
                <w:noProof/>
                <w:webHidden/>
              </w:rPr>
              <w:fldChar w:fldCharType="end"/>
            </w:r>
          </w:hyperlink>
        </w:p>
        <w:p w14:paraId="6FE7EB4B" w14:textId="1E9BF4D2" w:rsidR="009A2365" w:rsidRDefault="008802A5">
          <w:pPr>
            <w:pStyle w:val="TOC2"/>
            <w:tabs>
              <w:tab w:val="right" w:leader="dot" w:pos="9016"/>
            </w:tabs>
            <w:rPr>
              <w:rFonts w:eastAsiaTheme="minorEastAsia" w:cstheme="minorBidi"/>
              <w:b w:val="0"/>
              <w:bCs w:val="0"/>
              <w:noProof/>
              <w:lang w:eastAsia="en-GB"/>
            </w:rPr>
          </w:pPr>
          <w:hyperlink w:anchor="_Toc85066409" w:history="1">
            <w:r w:rsidR="009A2365" w:rsidRPr="000A0915">
              <w:rPr>
                <w:rStyle w:val="Hyperlink"/>
                <w:noProof/>
              </w:rPr>
              <w:t>Types of partnering</w:t>
            </w:r>
            <w:r w:rsidR="009A2365">
              <w:rPr>
                <w:noProof/>
                <w:webHidden/>
              </w:rPr>
              <w:tab/>
            </w:r>
            <w:r w:rsidR="009A2365">
              <w:rPr>
                <w:noProof/>
                <w:webHidden/>
              </w:rPr>
              <w:fldChar w:fldCharType="begin"/>
            </w:r>
            <w:r w:rsidR="009A2365">
              <w:rPr>
                <w:noProof/>
                <w:webHidden/>
              </w:rPr>
              <w:instrText xml:space="preserve"> PAGEREF _Toc85066409 \h </w:instrText>
            </w:r>
            <w:r w:rsidR="009A2365">
              <w:rPr>
                <w:noProof/>
                <w:webHidden/>
              </w:rPr>
            </w:r>
            <w:r w:rsidR="009A2365">
              <w:rPr>
                <w:noProof/>
                <w:webHidden/>
              </w:rPr>
              <w:fldChar w:fldCharType="separate"/>
            </w:r>
            <w:r w:rsidR="009A2365">
              <w:rPr>
                <w:noProof/>
                <w:webHidden/>
              </w:rPr>
              <w:t>26</w:t>
            </w:r>
            <w:r w:rsidR="009A2365">
              <w:rPr>
                <w:noProof/>
                <w:webHidden/>
              </w:rPr>
              <w:fldChar w:fldCharType="end"/>
            </w:r>
          </w:hyperlink>
        </w:p>
        <w:p w14:paraId="2F3A85D2" w14:textId="25775CC7" w:rsidR="009A2365" w:rsidRDefault="008802A5">
          <w:pPr>
            <w:pStyle w:val="TOC2"/>
            <w:tabs>
              <w:tab w:val="right" w:leader="dot" w:pos="9016"/>
            </w:tabs>
            <w:rPr>
              <w:rFonts w:eastAsiaTheme="minorEastAsia" w:cstheme="minorBidi"/>
              <w:b w:val="0"/>
              <w:bCs w:val="0"/>
              <w:noProof/>
              <w:lang w:eastAsia="en-GB"/>
            </w:rPr>
          </w:pPr>
          <w:hyperlink w:anchor="_Toc85066410" w:history="1">
            <w:r w:rsidR="009A2365" w:rsidRPr="000A0915">
              <w:rPr>
                <w:rStyle w:val="Hyperlink"/>
                <w:noProof/>
              </w:rPr>
              <w:t>What are collaborations intending to achieve?</w:t>
            </w:r>
            <w:r w:rsidR="009A2365">
              <w:rPr>
                <w:noProof/>
                <w:webHidden/>
              </w:rPr>
              <w:tab/>
            </w:r>
            <w:r w:rsidR="009A2365">
              <w:rPr>
                <w:noProof/>
                <w:webHidden/>
              </w:rPr>
              <w:fldChar w:fldCharType="begin"/>
            </w:r>
            <w:r w:rsidR="009A2365">
              <w:rPr>
                <w:noProof/>
                <w:webHidden/>
              </w:rPr>
              <w:instrText xml:space="preserve"> PAGEREF _Toc85066410 \h </w:instrText>
            </w:r>
            <w:r w:rsidR="009A2365">
              <w:rPr>
                <w:noProof/>
                <w:webHidden/>
              </w:rPr>
            </w:r>
            <w:r w:rsidR="009A2365">
              <w:rPr>
                <w:noProof/>
                <w:webHidden/>
              </w:rPr>
              <w:fldChar w:fldCharType="separate"/>
            </w:r>
            <w:r w:rsidR="009A2365">
              <w:rPr>
                <w:noProof/>
                <w:webHidden/>
              </w:rPr>
              <w:t>31</w:t>
            </w:r>
            <w:r w:rsidR="009A2365">
              <w:rPr>
                <w:noProof/>
                <w:webHidden/>
              </w:rPr>
              <w:fldChar w:fldCharType="end"/>
            </w:r>
          </w:hyperlink>
        </w:p>
        <w:p w14:paraId="732CA094" w14:textId="3E4F04C0" w:rsidR="009A2365" w:rsidRDefault="008802A5">
          <w:pPr>
            <w:pStyle w:val="TOC2"/>
            <w:tabs>
              <w:tab w:val="right" w:leader="dot" w:pos="9016"/>
            </w:tabs>
            <w:rPr>
              <w:rFonts w:eastAsiaTheme="minorEastAsia" w:cstheme="minorBidi"/>
              <w:b w:val="0"/>
              <w:bCs w:val="0"/>
              <w:noProof/>
              <w:lang w:eastAsia="en-GB"/>
            </w:rPr>
          </w:pPr>
          <w:hyperlink w:anchor="_Toc85066411" w:history="1">
            <w:r w:rsidR="009A2365" w:rsidRPr="000A0915">
              <w:rPr>
                <w:rStyle w:val="Hyperlink"/>
                <w:noProof/>
              </w:rPr>
              <w:t>Drivers for inter-organisational collaboration</w:t>
            </w:r>
            <w:r w:rsidR="009A2365">
              <w:rPr>
                <w:noProof/>
                <w:webHidden/>
              </w:rPr>
              <w:tab/>
            </w:r>
            <w:r w:rsidR="009A2365">
              <w:rPr>
                <w:noProof/>
                <w:webHidden/>
              </w:rPr>
              <w:fldChar w:fldCharType="begin"/>
            </w:r>
            <w:r w:rsidR="009A2365">
              <w:rPr>
                <w:noProof/>
                <w:webHidden/>
              </w:rPr>
              <w:instrText xml:space="preserve"> PAGEREF _Toc85066411 \h </w:instrText>
            </w:r>
            <w:r w:rsidR="009A2365">
              <w:rPr>
                <w:noProof/>
                <w:webHidden/>
              </w:rPr>
            </w:r>
            <w:r w:rsidR="009A2365">
              <w:rPr>
                <w:noProof/>
                <w:webHidden/>
              </w:rPr>
              <w:fldChar w:fldCharType="separate"/>
            </w:r>
            <w:r w:rsidR="009A2365">
              <w:rPr>
                <w:noProof/>
                <w:webHidden/>
              </w:rPr>
              <w:t>32</w:t>
            </w:r>
            <w:r w:rsidR="009A2365">
              <w:rPr>
                <w:noProof/>
                <w:webHidden/>
              </w:rPr>
              <w:fldChar w:fldCharType="end"/>
            </w:r>
          </w:hyperlink>
        </w:p>
        <w:p w14:paraId="12193F0F" w14:textId="69ACE955" w:rsidR="009A2365" w:rsidRDefault="008802A5">
          <w:pPr>
            <w:pStyle w:val="TOC3"/>
            <w:tabs>
              <w:tab w:val="right" w:leader="dot" w:pos="9016"/>
            </w:tabs>
            <w:rPr>
              <w:rFonts w:eastAsiaTheme="minorEastAsia" w:cstheme="minorBidi"/>
              <w:noProof/>
              <w:sz w:val="22"/>
              <w:szCs w:val="22"/>
              <w:lang w:eastAsia="en-GB"/>
            </w:rPr>
          </w:pPr>
          <w:hyperlink w:anchor="_Toc85066412" w:history="1">
            <w:r w:rsidR="009A2365" w:rsidRPr="000A0915">
              <w:rPr>
                <w:rStyle w:val="Hyperlink"/>
                <w:noProof/>
              </w:rPr>
              <w:t>Expansion</w:t>
            </w:r>
            <w:r w:rsidR="009A2365">
              <w:rPr>
                <w:noProof/>
                <w:webHidden/>
              </w:rPr>
              <w:tab/>
            </w:r>
            <w:r w:rsidR="009A2365">
              <w:rPr>
                <w:noProof/>
                <w:webHidden/>
              </w:rPr>
              <w:fldChar w:fldCharType="begin"/>
            </w:r>
            <w:r w:rsidR="009A2365">
              <w:rPr>
                <w:noProof/>
                <w:webHidden/>
              </w:rPr>
              <w:instrText xml:space="preserve"> PAGEREF _Toc85066412 \h </w:instrText>
            </w:r>
            <w:r w:rsidR="009A2365">
              <w:rPr>
                <w:noProof/>
                <w:webHidden/>
              </w:rPr>
            </w:r>
            <w:r w:rsidR="009A2365">
              <w:rPr>
                <w:noProof/>
                <w:webHidden/>
              </w:rPr>
              <w:fldChar w:fldCharType="separate"/>
            </w:r>
            <w:r w:rsidR="009A2365">
              <w:rPr>
                <w:noProof/>
                <w:webHidden/>
              </w:rPr>
              <w:t>33</w:t>
            </w:r>
            <w:r w:rsidR="009A2365">
              <w:rPr>
                <w:noProof/>
                <w:webHidden/>
              </w:rPr>
              <w:fldChar w:fldCharType="end"/>
            </w:r>
          </w:hyperlink>
        </w:p>
        <w:p w14:paraId="6D94EE80" w14:textId="44510438" w:rsidR="009A2365" w:rsidRDefault="008802A5">
          <w:pPr>
            <w:pStyle w:val="TOC3"/>
            <w:tabs>
              <w:tab w:val="right" w:leader="dot" w:pos="9016"/>
            </w:tabs>
            <w:rPr>
              <w:rFonts w:eastAsiaTheme="minorEastAsia" w:cstheme="minorBidi"/>
              <w:noProof/>
              <w:sz w:val="22"/>
              <w:szCs w:val="22"/>
              <w:lang w:eastAsia="en-GB"/>
            </w:rPr>
          </w:pPr>
          <w:hyperlink w:anchor="_Toc85066413" w:history="1">
            <w:r w:rsidR="009A2365" w:rsidRPr="000A0915">
              <w:rPr>
                <w:rStyle w:val="Hyperlink"/>
                <w:noProof/>
              </w:rPr>
              <w:t>Consolidation</w:t>
            </w:r>
            <w:r w:rsidR="009A2365">
              <w:rPr>
                <w:noProof/>
                <w:webHidden/>
              </w:rPr>
              <w:tab/>
            </w:r>
            <w:r w:rsidR="009A2365">
              <w:rPr>
                <w:noProof/>
                <w:webHidden/>
              </w:rPr>
              <w:fldChar w:fldCharType="begin"/>
            </w:r>
            <w:r w:rsidR="009A2365">
              <w:rPr>
                <w:noProof/>
                <w:webHidden/>
              </w:rPr>
              <w:instrText xml:space="preserve"> PAGEREF _Toc85066413 \h </w:instrText>
            </w:r>
            <w:r w:rsidR="009A2365">
              <w:rPr>
                <w:noProof/>
                <w:webHidden/>
              </w:rPr>
            </w:r>
            <w:r w:rsidR="009A2365">
              <w:rPr>
                <w:noProof/>
                <w:webHidden/>
              </w:rPr>
              <w:fldChar w:fldCharType="separate"/>
            </w:r>
            <w:r w:rsidR="009A2365">
              <w:rPr>
                <w:noProof/>
                <w:webHidden/>
              </w:rPr>
              <w:t>34</w:t>
            </w:r>
            <w:r w:rsidR="009A2365">
              <w:rPr>
                <w:noProof/>
                <w:webHidden/>
              </w:rPr>
              <w:fldChar w:fldCharType="end"/>
            </w:r>
          </w:hyperlink>
        </w:p>
        <w:p w14:paraId="058E8C5B" w14:textId="78075AAC" w:rsidR="009A2365" w:rsidRDefault="008802A5">
          <w:pPr>
            <w:pStyle w:val="TOC3"/>
            <w:tabs>
              <w:tab w:val="right" w:leader="dot" w:pos="9016"/>
            </w:tabs>
            <w:rPr>
              <w:rFonts w:eastAsiaTheme="minorEastAsia" w:cstheme="minorBidi"/>
              <w:noProof/>
              <w:sz w:val="22"/>
              <w:szCs w:val="22"/>
              <w:lang w:eastAsia="en-GB"/>
            </w:rPr>
          </w:pPr>
          <w:hyperlink w:anchor="_Toc85066414" w:history="1">
            <w:r w:rsidR="009A2365" w:rsidRPr="000A0915">
              <w:rPr>
                <w:rStyle w:val="Hyperlink"/>
                <w:noProof/>
              </w:rPr>
              <w:t>Participation</w:t>
            </w:r>
            <w:r w:rsidR="009A2365">
              <w:rPr>
                <w:noProof/>
                <w:webHidden/>
              </w:rPr>
              <w:tab/>
            </w:r>
            <w:r w:rsidR="009A2365">
              <w:rPr>
                <w:noProof/>
                <w:webHidden/>
              </w:rPr>
              <w:fldChar w:fldCharType="begin"/>
            </w:r>
            <w:r w:rsidR="009A2365">
              <w:rPr>
                <w:noProof/>
                <w:webHidden/>
              </w:rPr>
              <w:instrText xml:space="preserve"> PAGEREF _Toc85066414 \h </w:instrText>
            </w:r>
            <w:r w:rsidR="009A2365">
              <w:rPr>
                <w:noProof/>
                <w:webHidden/>
              </w:rPr>
            </w:r>
            <w:r w:rsidR="009A2365">
              <w:rPr>
                <w:noProof/>
                <w:webHidden/>
              </w:rPr>
              <w:fldChar w:fldCharType="separate"/>
            </w:r>
            <w:r w:rsidR="009A2365">
              <w:rPr>
                <w:noProof/>
                <w:webHidden/>
              </w:rPr>
              <w:t>34</w:t>
            </w:r>
            <w:r w:rsidR="009A2365">
              <w:rPr>
                <w:noProof/>
                <w:webHidden/>
              </w:rPr>
              <w:fldChar w:fldCharType="end"/>
            </w:r>
          </w:hyperlink>
        </w:p>
        <w:p w14:paraId="48AB293E" w14:textId="5D6D3618" w:rsidR="009A2365" w:rsidRDefault="008802A5">
          <w:pPr>
            <w:pStyle w:val="TOC3"/>
            <w:tabs>
              <w:tab w:val="right" w:leader="dot" w:pos="9016"/>
            </w:tabs>
            <w:rPr>
              <w:rFonts w:eastAsiaTheme="minorEastAsia" w:cstheme="minorBidi"/>
              <w:noProof/>
              <w:sz w:val="22"/>
              <w:szCs w:val="22"/>
              <w:lang w:eastAsia="en-GB"/>
            </w:rPr>
          </w:pPr>
          <w:hyperlink w:anchor="_Toc85066415" w:history="1">
            <w:r w:rsidR="009A2365" w:rsidRPr="000A0915">
              <w:rPr>
                <w:rStyle w:val="Hyperlink"/>
                <w:noProof/>
              </w:rPr>
              <w:t>Learning</w:t>
            </w:r>
            <w:r w:rsidR="009A2365">
              <w:rPr>
                <w:noProof/>
                <w:webHidden/>
              </w:rPr>
              <w:tab/>
            </w:r>
            <w:r w:rsidR="009A2365">
              <w:rPr>
                <w:noProof/>
                <w:webHidden/>
              </w:rPr>
              <w:fldChar w:fldCharType="begin"/>
            </w:r>
            <w:r w:rsidR="009A2365">
              <w:rPr>
                <w:noProof/>
                <w:webHidden/>
              </w:rPr>
              <w:instrText xml:space="preserve"> PAGEREF _Toc85066415 \h </w:instrText>
            </w:r>
            <w:r w:rsidR="009A2365">
              <w:rPr>
                <w:noProof/>
                <w:webHidden/>
              </w:rPr>
            </w:r>
            <w:r w:rsidR="009A2365">
              <w:rPr>
                <w:noProof/>
                <w:webHidden/>
              </w:rPr>
              <w:fldChar w:fldCharType="separate"/>
            </w:r>
            <w:r w:rsidR="009A2365">
              <w:rPr>
                <w:noProof/>
                <w:webHidden/>
              </w:rPr>
              <w:t>35</w:t>
            </w:r>
            <w:r w:rsidR="009A2365">
              <w:rPr>
                <w:noProof/>
                <w:webHidden/>
              </w:rPr>
              <w:fldChar w:fldCharType="end"/>
            </w:r>
          </w:hyperlink>
        </w:p>
        <w:p w14:paraId="695A137A" w14:textId="35BC4C7D" w:rsidR="009A2365" w:rsidRDefault="008802A5">
          <w:pPr>
            <w:pStyle w:val="TOC3"/>
            <w:tabs>
              <w:tab w:val="right" w:leader="dot" w:pos="9016"/>
            </w:tabs>
            <w:rPr>
              <w:rFonts w:eastAsiaTheme="minorEastAsia" w:cstheme="minorBidi"/>
              <w:noProof/>
              <w:sz w:val="22"/>
              <w:szCs w:val="22"/>
              <w:lang w:eastAsia="en-GB"/>
            </w:rPr>
          </w:pPr>
          <w:hyperlink w:anchor="_Toc85066416" w:history="1">
            <w:r w:rsidR="009A2365" w:rsidRPr="000A0915">
              <w:rPr>
                <w:rStyle w:val="Hyperlink"/>
                <w:noProof/>
              </w:rPr>
              <w:t>Sustenance</w:t>
            </w:r>
            <w:r w:rsidR="009A2365">
              <w:rPr>
                <w:noProof/>
                <w:webHidden/>
              </w:rPr>
              <w:tab/>
            </w:r>
            <w:r w:rsidR="009A2365">
              <w:rPr>
                <w:noProof/>
                <w:webHidden/>
              </w:rPr>
              <w:fldChar w:fldCharType="begin"/>
            </w:r>
            <w:r w:rsidR="009A2365">
              <w:rPr>
                <w:noProof/>
                <w:webHidden/>
              </w:rPr>
              <w:instrText xml:space="preserve"> PAGEREF _Toc85066416 \h </w:instrText>
            </w:r>
            <w:r w:rsidR="009A2365">
              <w:rPr>
                <w:noProof/>
                <w:webHidden/>
              </w:rPr>
            </w:r>
            <w:r w:rsidR="009A2365">
              <w:rPr>
                <w:noProof/>
                <w:webHidden/>
              </w:rPr>
              <w:fldChar w:fldCharType="separate"/>
            </w:r>
            <w:r w:rsidR="009A2365">
              <w:rPr>
                <w:noProof/>
                <w:webHidden/>
              </w:rPr>
              <w:t>35</w:t>
            </w:r>
            <w:r w:rsidR="009A2365">
              <w:rPr>
                <w:noProof/>
                <w:webHidden/>
              </w:rPr>
              <w:fldChar w:fldCharType="end"/>
            </w:r>
          </w:hyperlink>
        </w:p>
        <w:p w14:paraId="3FAA1500" w14:textId="08DE06A3" w:rsidR="009A2365" w:rsidRDefault="008802A5">
          <w:pPr>
            <w:pStyle w:val="TOC3"/>
            <w:tabs>
              <w:tab w:val="right" w:leader="dot" w:pos="9016"/>
            </w:tabs>
            <w:rPr>
              <w:rFonts w:eastAsiaTheme="minorEastAsia" w:cstheme="minorBidi"/>
              <w:noProof/>
              <w:sz w:val="22"/>
              <w:szCs w:val="22"/>
              <w:lang w:eastAsia="en-GB"/>
            </w:rPr>
          </w:pPr>
          <w:hyperlink w:anchor="_Toc85066417" w:history="1">
            <w:r w:rsidR="009A2365" w:rsidRPr="000A0915">
              <w:rPr>
                <w:rStyle w:val="Hyperlink"/>
                <w:noProof/>
              </w:rPr>
              <w:t>Mimicry</w:t>
            </w:r>
            <w:r w:rsidR="009A2365">
              <w:rPr>
                <w:noProof/>
                <w:webHidden/>
              </w:rPr>
              <w:tab/>
            </w:r>
            <w:r w:rsidR="009A2365">
              <w:rPr>
                <w:noProof/>
                <w:webHidden/>
              </w:rPr>
              <w:fldChar w:fldCharType="begin"/>
            </w:r>
            <w:r w:rsidR="009A2365">
              <w:rPr>
                <w:noProof/>
                <w:webHidden/>
              </w:rPr>
              <w:instrText xml:space="preserve"> PAGEREF _Toc85066417 \h </w:instrText>
            </w:r>
            <w:r w:rsidR="009A2365">
              <w:rPr>
                <w:noProof/>
                <w:webHidden/>
              </w:rPr>
            </w:r>
            <w:r w:rsidR="009A2365">
              <w:rPr>
                <w:noProof/>
                <w:webHidden/>
              </w:rPr>
              <w:fldChar w:fldCharType="separate"/>
            </w:r>
            <w:r w:rsidR="009A2365">
              <w:rPr>
                <w:noProof/>
                <w:webHidden/>
              </w:rPr>
              <w:t>36</w:t>
            </w:r>
            <w:r w:rsidR="009A2365">
              <w:rPr>
                <w:noProof/>
                <w:webHidden/>
              </w:rPr>
              <w:fldChar w:fldCharType="end"/>
            </w:r>
          </w:hyperlink>
        </w:p>
        <w:p w14:paraId="7AF46721" w14:textId="33AFC774" w:rsidR="009A2365" w:rsidRDefault="008802A5">
          <w:pPr>
            <w:pStyle w:val="TOC3"/>
            <w:tabs>
              <w:tab w:val="right" w:leader="dot" w:pos="9016"/>
            </w:tabs>
            <w:rPr>
              <w:rFonts w:eastAsiaTheme="minorEastAsia" w:cstheme="minorBidi"/>
              <w:noProof/>
              <w:sz w:val="22"/>
              <w:szCs w:val="22"/>
              <w:lang w:eastAsia="en-GB"/>
            </w:rPr>
          </w:pPr>
          <w:hyperlink w:anchor="_Toc85066418" w:history="1">
            <w:r w:rsidR="009A2365" w:rsidRPr="000A0915">
              <w:rPr>
                <w:rStyle w:val="Hyperlink"/>
                <w:noProof/>
              </w:rPr>
              <w:t>Coercion</w:t>
            </w:r>
            <w:r w:rsidR="009A2365">
              <w:rPr>
                <w:noProof/>
                <w:webHidden/>
              </w:rPr>
              <w:tab/>
            </w:r>
            <w:r w:rsidR="009A2365">
              <w:rPr>
                <w:noProof/>
                <w:webHidden/>
              </w:rPr>
              <w:fldChar w:fldCharType="begin"/>
            </w:r>
            <w:r w:rsidR="009A2365">
              <w:rPr>
                <w:noProof/>
                <w:webHidden/>
              </w:rPr>
              <w:instrText xml:space="preserve"> PAGEREF _Toc85066418 \h </w:instrText>
            </w:r>
            <w:r w:rsidR="009A2365">
              <w:rPr>
                <w:noProof/>
                <w:webHidden/>
              </w:rPr>
            </w:r>
            <w:r w:rsidR="009A2365">
              <w:rPr>
                <w:noProof/>
                <w:webHidden/>
              </w:rPr>
              <w:fldChar w:fldCharType="separate"/>
            </w:r>
            <w:r w:rsidR="009A2365">
              <w:rPr>
                <w:noProof/>
                <w:webHidden/>
              </w:rPr>
              <w:t>37</w:t>
            </w:r>
            <w:r w:rsidR="009A2365">
              <w:rPr>
                <w:noProof/>
                <w:webHidden/>
              </w:rPr>
              <w:fldChar w:fldCharType="end"/>
            </w:r>
          </w:hyperlink>
        </w:p>
        <w:p w14:paraId="6CC24138" w14:textId="3B39F39F" w:rsidR="009A2365" w:rsidRDefault="008802A5">
          <w:pPr>
            <w:pStyle w:val="TOC2"/>
            <w:tabs>
              <w:tab w:val="right" w:leader="dot" w:pos="9016"/>
            </w:tabs>
            <w:rPr>
              <w:rFonts w:eastAsiaTheme="minorEastAsia" w:cstheme="minorBidi"/>
              <w:b w:val="0"/>
              <w:bCs w:val="0"/>
              <w:noProof/>
              <w:lang w:eastAsia="en-GB"/>
            </w:rPr>
          </w:pPr>
          <w:hyperlink w:anchor="_Toc85066422" w:history="1">
            <w:r w:rsidR="009A2365" w:rsidRPr="000A0915">
              <w:rPr>
                <w:rStyle w:val="Hyperlink"/>
                <w:noProof/>
              </w:rPr>
              <w:t>Initial ‘ingredients’ for success</w:t>
            </w:r>
            <w:r w:rsidR="009A2365">
              <w:rPr>
                <w:noProof/>
                <w:webHidden/>
              </w:rPr>
              <w:tab/>
            </w:r>
            <w:r w:rsidR="009A2365">
              <w:rPr>
                <w:noProof/>
                <w:webHidden/>
              </w:rPr>
              <w:fldChar w:fldCharType="begin"/>
            </w:r>
            <w:r w:rsidR="009A2365">
              <w:rPr>
                <w:noProof/>
                <w:webHidden/>
              </w:rPr>
              <w:instrText xml:space="preserve"> PAGEREF _Toc85066422 \h </w:instrText>
            </w:r>
            <w:r w:rsidR="009A2365">
              <w:rPr>
                <w:noProof/>
                <w:webHidden/>
              </w:rPr>
            </w:r>
            <w:r w:rsidR="009A2365">
              <w:rPr>
                <w:noProof/>
                <w:webHidden/>
              </w:rPr>
              <w:fldChar w:fldCharType="separate"/>
            </w:r>
            <w:r w:rsidR="009A2365">
              <w:rPr>
                <w:noProof/>
                <w:webHidden/>
              </w:rPr>
              <w:t>38</w:t>
            </w:r>
            <w:r w:rsidR="009A2365">
              <w:rPr>
                <w:noProof/>
                <w:webHidden/>
              </w:rPr>
              <w:fldChar w:fldCharType="end"/>
            </w:r>
          </w:hyperlink>
        </w:p>
        <w:p w14:paraId="734CE598" w14:textId="0227D563" w:rsidR="009A2365" w:rsidRDefault="008802A5">
          <w:pPr>
            <w:pStyle w:val="TOC2"/>
            <w:tabs>
              <w:tab w:val="right" w:leader="dot" w:pos="9016"/>
            </w:tabs>
            <w:rPr>
              <w:rFonts w:eastAsiaTheme="minorEastAsia" w:cstheme="minorBidi"/>
              <w:b w:val="0"/>
              <w:bCs w:val="0"/>
              <w:noProof/>
              <w:lang w:eastAsia="en-GB"/>
            </w:rPr>
          </w:pPr>
          <w:hyperlink w:anchor="_Toc85066423" w:history="1">
            <w:r w:rsidR="009A2365" w:rsidRPr="000A0915">
              <w:rPr>
                <w:rStyle w:val="Hyperlink"/>
                <w:noProof/>
              </w:rPr>
              <w:t>Stages of the collaboration life cycle</w:t>
            </w:r>
            <w:r w:rsidR="009A2365">
              <w:rPr>
                <w:noProof/>
                <w:webHidden/>
              </w:rPr>
              <w:tab/>
            </w:r>
            <w:r w:rsidR="009A2365">
              <w:rPr>
                <w:noProof/>
                <w:webHidden/>
              </w:rPr>
              <w:fldChar w:fldCharType="begin"/>
            </w:r>
            <w:r w:rsidR="009A2365">
              <w:rPr>
                <w:noProof/>
                <w:webHidden/>
              </w:rPr>
              <w:instrText xml:space="preserve"> PAGEREF _Toc85066423 \h </w:instrText>
            </w:r>
            <w:r w:rsidR="009A2365">
              <w:rPr>
                <w:noProof/>
                <w:webHidden/>
              </w:rPr>
            </w:r>
            <w:r w:rsidR="009A2365">
              <w:rPr>
                <w:noProof/>
                <w:webHidden/>
              </w:rPr>
              <w:fldChar w:fldCharType="separate"/>
            </w:r>
            <w:r w:rsidR="009A2365">
              <w:rPr>
                <w:noProof/>
                <w:webHidden/>
              </w:rPr>
              <w:t>42</w:t>
            </w:r>
            <w:r w:rsidR="009A2365">
              <w:rPr>
                <w:noProof/>
                <w:webHidden/>
              </w:rPr>
              <w:fldChar w:fldCharType="end"/>
            </w:r>
          </w:hyperlink>
        </w:p>
        <w:p w14:paraId="6810F9EB" w14:textId="7334EB8F" w:rsidR="009A2365" w:rsidRDefault="008802A5">
          <w:pPr>
            <w:pStyle w:val="TOC2"/>
            <w:tabs>
              <w:tab w:val="right" w:leader="dot" w:pos="9016"/>
            </w:tabs>
            <w:rPr>
              <w:rFonts w:eastAsiaTheme="minorEastAsia" w:cstheme="minorBidi"/>
              <w:b w:val="0"/>
              <w:bCs w:val="0"/>
              <w:noProof/>
              <w:lang w:eastAsia="en-GB"/>
            </w:rPr>
          </w:pPr>
          <w:hyperlink w:anchor="_Toc85066424" w:history="1">
            <w:r w:rsidR="009A2365" w:rsidRPr="000A0915">
              <w:rPr>
                <w:rStyle w:val="Hyperlink"/>
                <w:noProof/>
              </w:rPr>
              <w:t>Conclusion</w:t>
            </w:r>
            <w:r w:rsidR="009A2365">
              <w:rPr>
                <w:noProof/>
                <w:webHidden/>
              </w:rPr>
              <w:tab/>
            </w:r>
            <w:r w:rsidR="009A2365">
              <w:rPr>
                <w:noProof/>
                <w:webHidden/>
              </w:rPr>
              <w:fldChar w:fldCharType="begin"/>
            </w:r>
            <w:r w:rsidR="009A2365">
              <w:rPr>
                <w:noProof/>
                <w:webHidden/>
              </w:rPr>
              <w:instrText xml:space="preserve"> PAGEREF _Toc85066424 \h </w:instrText>
            </w:r>
            <w:r w:rsidR="009A2365">
              <w:rPr>
                <w:noProof/>
                <w:webHidden/>
              </w:rPr>
            </w:r>
            <w:r w:rsidR="009A2365">
              <w:rPr>
                <w:noProof/>
                <w:webHidden/>
              </w:rPr>
              <w:fldChar w:fldCharType="separate"/>
            </w:r>
            <w:r w:rsidR="009A2365">
              <w:rPr>
                <w:noProof/>
                <w:webHidden/>
              </w:rPr>
              <w:t>45</w:t>
            </w:r>
            <w:r w:rsidR="009A2365">
              <w:rPr>
                <w:noProof/>
                <w:webHidden/>
              </w:rPr>
              <w:fldChar w:fldCharType="end"/>
            </w:r>
          </w:hyperlink>
        </w:p>
        <w:p w14:paraId="6E509664" w14:textId="3D0C0115"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25" w:history="1">
            <w:r w:rsidR="009A2365" w:rsidRPr="000A0915">
              <w:rPr>
                <w:rStyle w:val="Hyperlink"/>
                <w:noProof/>
              </w:rPr>
              <w:t>Chapter 3 Methodology</w:t>
            </w:r>
            <w:r w:rsidR="009A2365">
              <w:rPr>
                <w:noProof/>
                <w:webHidden/>
              </w:rPr>
              <w:tab/>
            </w:r>
            <w:r w:rsidR="009A2365">
              <w:rPr>
                <w:noProof/>
                <w:webHidden/>
              </w:rPr>
              <w:fldChar w:fldCharType="begin"/>
            </w:r>
            <w:r w:rsidR="009A2365">
              <w:rPr>
                <w:noProof/>
                <w:webHidden/>
              </w:rPr>
              <w:instrText xml:space="preserve"> PAGEREF _Toc85066425 \h </w:instrText>
            </w:r>
            <w:r w:rsidR="009A2365">
              <w:rPr>
                <w:noProof/>
                <w:webHidden/>
              </w:rPr>
            </w:r>
            <w:r w:rsidR="009A2365">
              <w:rPr>
                <w:noProof/>
                <w:webHidden/>
              </w:rPr>
              <w:fldChar w:fldCharType="separate"/>
            </w:r>
            <w:r w:rsidR="009A2365">
              <w:rPr>
                <w:noProof/>
                <w:webHidden/>
              </w:rPr>
              <w:t>46</w:t>
            </w:r>
            <w:r w:rsidR="009A2365">
              <w:rPr>
                <w:noProof/>
                <w:webHidden/>
              </w:rPr>
              <w:fldChar w:fldCharType="end"/>
            </w:r>
          </w:hyperlink>
        </w:p>
        <w:p w14:paraId="24A67B5B" w14:textId="4448033B" w:rsidR="009A2365" w:rsidRDefault="008802A5">
          <w:pPr>
            <w:pStyle w:val="TOC2"/>
            <w:tabs>
              <w:tab w:val="right" w:leader="dot" w:pos="9016"/>
            </w:tabs>
            <w:rPr>
              <w:rFonts w:eastAsiaTheme="minorEastAsia" w:cstheme="minorBidi"/>
              <w:b w:val="0"/>
              <w:bCs w:val="0"/>
              <w:noProof/>
              <w:lang w:eastAsia="en-GB"/>
            </w:rPr>
          </w:pPr>
          <w:hyperlink w:anchor="_Toc85066426" w:history="1">
            <w:r w:rsidR="009A2365" w:rsidRPr="000A0915">
              <w:rPr>
                <w:rStyle w:val="Hyperlink"/>
                <w:noProof/>
              </w:rPr>
              <w:t>Taking a realist perspective</w:t>
            </w:r>
            <w:r w:rsidR="009A2365">
              <w:rPr>
                <w:noProof/>
                <w:webHidden/>
              </w:rPr>
              <w:tab/>
            </w:r>
            <w:r w:rsidR="009A2365">
              <w:rPr>
                <w:noProof/>
                <w:webHidden/>
              </w:rPr>
              <w:fldChar w:fldCharType="begin"/>
            </w:r>
            <w:r w:rsidR="009A2365">
              <w:rPr>
                <w:noProof/>
                <w:webHidden/>
              </w:rPr>
              <w:instrText xml:space="preserve"> PAGEREF _Toc85066426 \h </w:instrText>
            </w:r>
            <w:r w:rsidR="009A2365">
              <w:rPr>
                <w:noProof/>
                <w:webHidden/>
              </w:rPr>
            </w:r>
            <w:r w:rsidR="009A2365">
              <w:rPr>
                <w:noProof/>
                <w:webHidden/>
              </w:rPr>
              <w:fldChar w:fldCharType="separate"/>
            </w:r>
            <w:r w:rsidR="009A2365">
              <w:rPr>
                <w:noProof/>
                <w:webHidden/>
              </w:rPr>
              <w:t>46</w:t>
            </w:r>
            <w:r w:rsidR="009A2365">
              <w:rPr>
                <w:noProof/>
                <w:webHidden/>
              </w:rPr>
              <w:fldChar w:fldCharType="end"/>
            </w:r>
          </w:hyperlink>
        </w:p>
        <w:p w14:paraId="21D723CF" w14:textId="70FA5B10" w:rsidR="009A2365" w:rsidRDefault="008802A5">
          <w:pPr>
            <w:pStyle w:val="TOC2"/>
            <w:tabs>
              <w:tab w:val="right" w:leader="dot" w:pos="9016"/>
            </w:tabs>
            <w:rPr>
              <w:rFonts w:eastAsiaTheme="minorEastAsia" w:cstheme="minorBidi"/>
              <w:b w:val="0"/>
              <w:bCs w:val="0"/>
              <w:noProof/>
              <w:lang w:eastAsia="en-GB"/>
            </w:rPr>
          </w:pPr>
          <w:hyperlink w:anchor="_Toc85066427" w:history="1">
            <w:r w:rsidR="009A2365" w:rsidRPr="000A0915">
              <w:rPr>
                <w:rStyle w:val="Hyperlink"/>
                <w:noProof/>
              </w:rPr>
              <w:t>Methods: Realist Synthesis</w:t>
            </w:r>
            <w:r w:rsidR="009A2365">
              <w:rPr>
                <w:noProof/>
                <w:webHidden/>
              </w:rPr>
              <w:tab/>
            </w:r>
            <w:r w:rsidR="009A2365">
              <w:rPr>
                <w:noProof/>
                <w:webHidden/>
              </w:rPr>
              <w:fldChar w:fldCharType="begin"/>
            </w:r>
            <w:r w:rsidR="009A2365">
              <w:rPr>
                <w:noProof/>
                <w:webHidden/>
              </w:rPr>
              <w:instrText xml:space="preserve"> PAGEREF _Toc85066427 \h </w:instrText>
            </w:r>
            <w:r w:rsidR="009A2365">
              <w:rPr>
                <w:noProof/>
                <w:webHidden/>
              </w:rPr>
            </w:r>
            <w:r w:rsidR="009A2365">
              <w:rPr>
                <w:noProof/>
                <w:webHidden/>
              </w:rPr>
              <w:fldChar w:fldCharType="separate"/>
            </w:r>
            <w:r w:rsidR="009A2365">
              <w:rPr>
                <w:noProof/>
                <w:webHidden/>
              </w:rPr>
              <w:t>47</w:t>
            </w:r>
            <w:r w:rsidR="009A2365">
              <w:rPr>
                <w:noProof/>
                <w:webHidden/>
              </w:rPr>
              <w:fldChar w:fldCharType="end"/>
            </w:r>
          </w:hyperlink>
        </w:p>
        <w:p w14:paraId="55857631" w14:textId="28E361DA" w:rsidR="009A2365" w:rsidRDefault="008802A5">
          <w:pPr>
            <w:pStyle w:val="TOC3"/>
            <w:tabs>
              <w:tab w:val="right" w:leader="dot" w:pos="9016"/>
            </w:tabs>
            <w:rPr>
              <w:rFonts w:eastAsiaTheme="minorEastAsia" w:cstheme="minorBidi"/>
              <w:noProof/>
              <w:sz w:val="22"/>
              <w:szCs w:val="22"/>
              <w:lang w:eastAsia="en-GB"/>
            </w:rPr>
          </w:pPr>
          <w:hyperlink w:anchor="_Toc85066428" w:history="1">
            <w:r w:rsidR="009A2365" w:rsidRPr="000A0915">
              <w:rPr>
                <w:rStyle w:val="Hyperlink"/>
                <w:noProof/>
              </w:rPr>
              <w:t>Details of search strategies</w:t>
            </w:r>
            <w:r w:rsidR="009A2365">
              <w:rPr>
                <w:noProof/>
                <w:webHidden/>
              </w:rPr>
              <w:tab/>
            </w:r>
            <w:r w:rsidR="009A2365">
              <w:rPr>
                <w:noProof/>
                <w:webHidden/>
              </w:rPr>
              <w:fldChar w:fldCharType="begin"/>
            </w:r>
            <w:r w:rsidR="009A2365">
              <w:rPr>
                <w:noProof/>
                <w:webHidden/>
              </w:rPr>
              <w:instrText xml:space="preserve"> PAGEREF _Toc85066428 \h </w:instrText>
            </w:r>
            <w:r w:rsidR="009A2365">
              <w:rPr>
                <w:noProof/>
                <w:webHidden/>
              </w:rPr>
            </w:r>
            <w:r w:rsidR="009A2365">
              <w:rPr>
                <w:noProof/>
                <w:webHidden/>
              </w:rPr>
              <w:fldChar w:fldCharType="separate"/>
            </w:r>
            <w:r w:rsidR="009A2365">
              <w:rPr>
                <w:noProof/>
                <w:webHidden/>
              </w:rPr>
              <w:t>47</w:t>
            </w:r>
            <w:r w:rsidR="009A2365">
              <w:rPr>
                <w:noProof/>
                <w:webHidden/>
              </w:rPr>
              <w:fldChar w:fldCharType="end"/>
            </w:r>
          </w:hyperlink>
        </w:p>
        <w:p w14:paraId="7C142644" w14:textId="2A450C48" w:rsidR="009A2365" w:rsidRDefault="008802A5">
          <w:pPr>
            <w:pStyle w:val="TOC3"/>
            <w:tabs>
              <w:tab w:val="right" w:leader="dot" w:pos="9016"/>
            </w:tabs>
            <w:rPr>
              <w:rFonts w:eastAsiaTheme="minorEastAsia" w:cstheme="minorBidi"/>
              <w:noProof/>
              <w:sz w:val="22"/>
              <w:szCs w:val="22"/>
              <w:lang w:eastAsia="en-GB"/>
            </w:rPr>
          </w:pPr>
          <w:hyperlink w:anchor="_Toc85066429" w:history="1">
            <w:r w:rsidR="009A2365" w:rsidRPr="000A0915">
              <w:rPr>
                <w:rStyle w:val="Hyperlink"/>
                <w:noProof/>
              </w:rPr>
              <w:t>Inclusion criteria</w:t>
            </w:r>
            <w:r w:rsidR="009A2365">
              <w:rPr>
                <w:noProof/>
                <w:webHidden/>
              </w:rPr>
              <w:tab/>
            </w:r>
            <w:r w:rsidR="009A2365">
              <w:rPr>
                <w:noProof/>
                <w:webHidden/>
              </w:rPr>
              <w:fldChar w:fldCharType="begin"/>
            </w:r>
            <w:r w:rsidR="009A2365">
              <w:rPr>
                <w:noProof/>
                <w:webHidden/>
              </w:rPr>
              <w:instrText xml:space="preserve"> PAGEREF _Toc85066429 \h </w:instrText>
            </w:r>
            <w:r w:rsidR="009A2365">
              <w:rPr>
                <w:noProof/>
                <w:webHidden/>
              </w:rPr>
            </w:r>
            <w:r w:rsidR="009A2365">
              <w:rPr>
                <w:noProof/>
                <w:webHidden/>
              </w:rPr>
              <w:fldChar w:fldCharType="separate"/>
            </w:r>
            <w:r w:rsidR="009A2365">
              <w:rPr>
                <w:noProof/>
                <w:webHidden/>
              </w:rPr>
              <w:t>49</w:t>
            </w:r>
            <w:r w:rsidR="009A2365">
              <w:rPr>
                <w:noProof/>
                <w:webHidden/>
              </w:rPr>
              <w:fldChar w:fldCharType="end"/>
            </w:r>
          </w:hyperlink>
        </w:p>
        <w:p w14:paraId="2C0CF132" w14:textId="2E59BE54" w:rsidR="009A2365" w:rsidRDefault="008802A5">
          <w:pPr>
            <w:pStyle w:val="TOC3"/>
            <w:tabs>
              <w:tab w:val="right" w:leader="dot" w:pos="9016"/>
            </w:tabs>
            <w:rPr>
              <w:rFonts w:eastAsiaTheme="minorEastAsia" w:cstheme="minorBidi"/>
              <w:noProof/>
              <w:sz w:val="22"/>
              <w:szCs w:val="22"/>
              <w:lang w:eastAsia="en-GB"/>
            </w:rPr>
          </w:pPr>
          <w:hyperlink w:anchor="_Toc85066430" w:history="1">
            <w:r w:rsidR="009A2365" w:rsidRPr="000A0915">
              <w:rPr>
                <w:rStyle w:val="Hyperlink"/>
                <w:noProof/>
              </w:rPr>
              <w:t>Rigour and relevance screening</w:t>
            </w:r>
            <w:r w:rsidR="009A2365">
              <w:rPr>
                <w:noProof/>
                <w:webHidden/>
              </w:rPr>
              <w:tab/>
            </w:r>
            <w:r w:rsidR="009A2365">
              <w:rPr>
                <w:noProof/>
                <w:webHidden/>
              </w:rPr>
              <w:fldChar w:fldCharType="begin"/>
            </w:r>
            <w:r w:rsidR="009A2365">
              <w:rPr>
                <w:noProof/>
                <w:webHidden/>
              </w:rPr>
              <w:instrText xml:space="preserve"> PAGEREF _Toc85066430 \h </w:instrText>
            </w:r>
            <w:r w:rsidR="009A2365">
              <w:rPr>
                <w:noProof/>
                <w:webHidden/>
              </w:rPr>
            </w:r>
            <w:r w:rsidR="009A2365">
              <w:rPr>
                <w:noProof/>
                <w:webHidden/>
              </w:rPr>
              <w:fldChar w:fldCharType="separate"/>
            </w:r>
            <w:r w:rsidR="009A2365">
              <w:rPr>
                <w:noProof/>
                <w:webHidden/>
              </w:rPr>
              <w:t>50</w:t>
            </w:r>
            <w:r w:rsidR="009A2365">
              <w:rPr>
                <w:noProof/>
                <w:webHidden/>
              </w:rPr>
              <w:fldChar w:fldCharType="end"/>
            </w:r>
          </w:hyperlink>
        </w:p>
        <w:p w14:paraId="078DD3A0" w14:textId="3135CB92" w:rsidR="009A2365" w:rsidRDefault="008802A5">
          <w:pPr>
            <w:pStyle w:val="TOC3"/>
            <w:tabs>
              <w:tab w:val="right" w:leader="dot" w:pos="9016"/>
            </w:tabs>
            <w:rPr>
              <w:rFonts w:eastAsiaTheme="minorEastAsia" w:cstheme="minorBidi"/>
              <w:noProof/>
              <w:sz w:val="22"/>
              <w:szCs w:val="22"/>
              <w:lang w:eastAsia="en-GB"/>
            </w:rPr>
          </w:pPr>
          <w:hyperlink w:anchor="_Toc85066431" w:history="1">
            <w:r w:rsidR="009A2365" w:rsidRPr="000A0915">
              <w:rPr>
                <w:rStyle w:val="Hyperlink"/>
                <w:noProof/>
              </w:rPr>
              <w:t>Data extraction</w:t>
            </w:r>
            <w:r w:rsidR="009A2365">
              <w:rPr>
                <w:noProof/>
                <w:webHidden/>
              </w:rPr>
              <w:tab/>
            </w:r>
            <w:r w:rsidR="009A2365">
              <w:rPr>
                <w:noProof/>
                <w:webHidden/>
              </w:rPr>
              <w:fldChar w:fldCharType="begin"/>
            </w:r>
            <w:r w:rsidR="009A2365">
              <w:rPr>
                <w:noProof/>
                <w:webHidden/>
              </w:rPr>
              <w:instrText xml:space="preserve"> PAGEREF _Toc85066431 \h </w:instrText>
            </w:r>
            <w:r w:rsidR="009A2365">
              <w:rPr>
                <w:noProof/>
                <w:webHidden/>
              </w:rPr>
            </w:r>
            <w:r w:rsidR="009A2365">
              <w:rPr>
                <w:noProof/>
                <w:webHidden/>
              </w:rPr>
              <w:fldChar w:fldCharType="separate"/>
            </w:r>
            <w:r w:rsidR="009A2365">
              <w:rPr>
                <w:noProof/>
                <w:webHidden/>
              </w:rPr>
              <w:t>50</w:t>
            </w:r>
            <w:r w:rsidR="009A2365">
              <w:rPr>
                <w:noProof/>
                <w:webHidden/>
              </w:rPr>
              <w:fldChar w:fldCharType="end"/>
            </w:r>
          </w:hyperlink>
        </w:p>
        <w:p w14:paraId="66FC4709" w14:textId="5607B85C" w:rsidR="009A2365" w:rsidRDefault="008802A5">
          <w:pPr>
            <w:pStyle w:val="TOC3"/>
            <w:tabs>
              <w:tab w:val="right" w:leader="dot" w:pos="9016"/>
            </w:tabs>
            <w:rPr>
              <w:rFonts w:eastAsiaTheme="minorEastAsia" w:cstheme="minorBidi"/>
              <w:noProof/>
              <w:sz w:val="22"/>
              <w:szCs w:val="22"/>
              <w:lang w:eastAsia="en-GB"/>
            </w:rPr>
          </w:pPr>
          <w:hyperlink w:anchor="_Toc85066432" w:history="1">
            <w:r w:rsidR="009A2365" w:rsidRPr="000A0915">
              <w:rPr>
                <w:rStyle w:val="Hyperlink"/>
                <w:noProof/>
              </w:rPr>
              <w:t>Realist synthesis methods</w:t>
            </w:r>
            <w:r w:rsidR="009A2365">
              <w:rPr>
                <w:noProof/>
                <w:webHidden/>
              </w:rPr>
              <w:tab/>
            </w:r>
            <w:r w:rsidR="009A2365">
              <w:rPr>
                <w:noProof/>
                <w:webHidden/>
              </w:rPr>
              <w:fldChar w:fldCharType="begin"/>
            </w:r>
            <w:r w:rsidR="009A2365">
              <w:rPr>
                <w:noProof/>
                <w:webHidden/>
              </w:rPr>
              <w:instrText xml:space="preserve"> PAGEREF _Toc85066432 \h </w:instrText>
            </w:r>
            <w:r w:rsidR="009A2365">
              <w:rPr>
                <w:noProof/>
                <w:webHidden/>
              </w:rPr>
            </w:r>
            <w:r w:rsidR="009A2365">
              <w:rPr>
                <w:noProof/>
                <w:webHidden/>
              </w:rPr>
              <w:fldChar w:fldCharType="separate"/>
            </w:r>
            <w:r w:rsidR="009A2365">
              <w:rPr>
                <w:noProof/>
                <w:webHidden/>
              </w:rPr>
              <w:t>51</w:t>
            </w:r>
            <w:r w:rsidR="009A2365">
              <w:rPr>
                <w:noProof/>
                <w:webHidden/>
              </w:rPr>
              <w:fldChar w:fldCharType="end"/>
            </w:r>
          </w:hyperlink>
        </w:p>
        <w:p w14:paraId="773E2106" w14:textId="1A136DA8" w:rsidR="009A2365" w:rsidRDefault="008802A5">
          <w:pPr>
            <w:pStyle w:val="TOC2"/>
            <w:tabs>
              <w:tab w:val="right" w:leader="dot" w:pos="9016"/>
            </w:tabs>
            <w:rPr>
              <w:rFonts w:eastAsiaTheme="minorEastAsia" w:cstheme="minorBidi"/>
              <w:b w:val="0"/>
              <w:bCs w:val="0"/>
              <w:noProof/>
              <w:lang w:eastAsia="en-GB"/>
            </w:rPr>
          </w:pPr>
          <w:hyperlink w:anchor="_Toc85066433" w:history="1">
            <w:r w:rsidR="009A2365" w:rsidRPr="000A0915">
              <w:rPr>
                <w:rStyle w:val="Hyperlink"/>
                <w:noProof/>
              </w:rPr>
              <w:t>Methods: Realist Evaluation</w:t>
            </w:r>
            <w:r w:rsidR="009A2365">
              <w:rPr>
                <w:noProof/>
                <w:webHidden/>
              </w:rPr>
              <w:tab/>
            </w:r>
            <w:r w:rsidR="009A2365">
              <w:rPr>
                <w:noProof/>
                <w:webHidden/>
              </w:rPr>
              <w:fldChar w:fldCharType="begin"/>
            </w:r>
            <w:r w:rsidR="009A2365">
              <w:rPr>
                <w:noProof/>
                <w:webHidden/>
              </w:rPr>
              <w:instrText xml:space="preserve"> PAGEREF _Toc85066433 \h </w:instrText>
            </w:r>
            <w:r w:rsidR="009A2365">
              <w:rPr>
                <w:noProof/>
                <w:webHidden/>
              </w:rPr>
            </w:r>
            <w:r w:rsidR="009A2365">
              <w:rPr>
                <w:noProof/>
                <w:webHidden/>
              </w:rPr>
              <w:fldChar w:fldCharType="separate"/>
            </w:r>
            <w:r w:rsidR="009A2365">
              <w:rPr>
                <w:noProof/>
                <w:webHidden/>
              </w:rPr>
              <w:t>52</w:t>
            </w:r>
            <w:r w:rsidR="009A2365">
              <w:rPr>
                <w:noProof/>
                <w:webHidden/>
              </w:rPr>
              <w:fldChar w:fldCharType="end"/>
            </w:r>
          </w:hyperlink>
        </w:p>
        <w:p w14:paraId="2585CD94" w14:textId="465793BF" w:rsidR="009A2365" w:rsidRDefault="008802A5">
          <w:pPr>
            <w:pStyle w:val="TOC3"/>
            <w:tabs>
              <w:tab w:val="right" w:leader="dot" w:pos="9016"/>
            </w:tabs>
            <w:rPr>
              <w:rFonts w:eastAsiaTheme="minorEastAsia" w:cstheme="minorBidi"/>
              <w:noProof/>
              <w:sz w:val="22"/>
              <w:szCs w:val="22"/>
              <w:lang w:eastAsia="en-GB"/>
            </w:rPr>
          </w:pPr>
          <w:hyperlink w:anchor="_Toc85066434" w:history="1">
            <w:r w:rsidR="009A2365" w:rsidRPr="000A0915">
              <w:rPr>
                <w:rStyle w:val="Hyperlink"/>
                <w:noProof/>
              </w:rPr>
              <w:t>Objectives</w:t>
            </w:r>
            <w:r w:rsidR="009A2365">
              <w:rPr>
                <w:noProof/>
                <w:webHidden/>
              </w:rPr>
              <w:tab/>
            </w:r>
            <w:r w:rsidR="009A2365">
              <w:rPr>
                <w:noProof/>
                <w:webHidden/>
              </w:rPr>
              <w:fldChar w:fldCharType="begin"/>
            </w:r>
            <w:r w:rsidR="009A2365">
              <w:rPr>
                <w:noProof/>
                <w:webHidden/>
              </w:rPr>
              <w:instrText xml:space="preserve"> PAGEREF _Toc85066434 \h </w:instrText>
            </w:r>
            <w:r w:rsidR="009A2365">
              <w:rPr>
                <w:noProof/>
                <w:webHidden/>
              </w:rPr>
            </w:r>
            <w:r w:rsidR="009A2365">
              <w:rPr>
                <w:noProof/>
                <w:webHidden/>
              </w:rPr>
              <w:fldChar w:fldCharType="separate"/>
            </w:r>
            <w:r w:rsidR="009A2365">
              <w:rPr>
                <w:noProof/>
                <w:webHidden/>
              </w:rPr>
              <w:t>52</w:t>
            </w:r>
            <w:r w:rsidR="009A2365">
              <w:rPr>
                <w:noProof/>
                <w:webHidden/>
              </w:rPr>
              <w:fldChar w:fldCharType="end"/>
            </w:r>
          </w:hyperlink>
        </w:p>
        <w:p w14:paraId="192C7DE9" w14:textId="590A2AB1" w:rsidR="009A2365" w:rsidRDefault="008802A5">
          <w:pPr>
            <w:pStyle w:val="TOC3"/>
            <w:tabs>
              <w:tab w:val="right" w:leader="dot" w:pos="9016"/>
            </w:tabs>
            <w:rPr>
              <w:rFonts w:eastAsiaTheme="minorEastAsia" w:cstheme="minorBidi"/>
              <w:noProof/>
              <w:sz w:val="22"/>
              <w:szCs w:val="22"/>
              <w:lang w:eastAsia="en-GB"/>
            </w:rPr>
          </w:pPr>
          <w:hyperlink w:anchor="_Toc85066435" w:history="1">
            <w:r w:rsidR="009A2365" w:rsidRPr="000A0915">
              <w:rPr>
                <w:rStyle w:val="Hyperlink"/>
                <w:noProof/>
              </w:rPr>
              <w:t>Details on programmes evaluated</w:t>
            </w:r>
            <w:r w:rsidR="009A2365">
              <w:rPr>
                <w:noProof/>
                <w:webHidden/>
              </w:rPr>
              <w:tab/>
            </w:r>
            <w:r w:rsidR="009A2365">
              <w:rPr>
                <w:noProof/>
                <w:webHidden/>
              </w:rPr>
              <w:fldChar w:fldCharType="begin"/>
            </w:r>
            <w:r w:rsidR="009A2365">
              <w:rPr>
                <w:noProof/>
                <w:webHidden/>
              </w:rPr>
              <w:instrText xml:space="preserve"> PAGEREF _Toc85066435 \h </w:instrText>
            </w:r>
            <w:r w:rsidR="009A2365">
              <w:rPr>
                <w:noProof/>
                <w:webHidden/>
              </w:rPr>
            </w:r>
            <w:r w:rsidR="009A2365">
              <w:rPr>
                <w:noProof/>
                <w:webHidden/>
              </w:rPr>
              <w:fldChar w:fldCharType="separate"/>
            </w:r>
            <w:r w:rsidR="009A2365">
              <w:rPr>
                <w:noProof/>
                <w:webHidden/>
              </w:rPr>
              <w:t>53</w:t>
            </w:r>
            <w:r w:rsidR="009A2365">
              <w:rPr>
                <w:noProof/>
                <w:webHidden/>
              </w:rPr>
              <w:fldChar w:fldCharType="end"/>
            </w:r>
          </w:hyperlink>
        </w:p>
        <w:p w14:paraId="5AE710A3" w14:textId="725AD23C" w:rsidR="009A2365" w:rsidRDefault="008802A5">
          <w:pPr>
            <w:pStyle w:val="TOC3"/>
            <w:tabs>
              <w:tab w:val="right" w:leader="dot" w:pos="9016"/>
            </w:tabs>
            <w:rPr>
              <w:rFonts w:eastAsiaTheme="minorEastAsia" w:cstheme="minorBidi"/>
              <w:noProof/>
              <w:sz w:val="22"/>
              <w:szCs w:val="22"/>
              <w:lang w:eastAsia="en-GB"/>
            </w:rPr>
          </w:pPr>
          <w:hyperlink w:anchor="_Toc85066436" w:history="1">
            <w:r w:rsidR="009A2365" w:rsidRPr="000A0915">
              <w:rPr>
                <w:rStyle w:val="Hyperlink"/>
                <w:noProof/>
              </w:rPr>
              <w:t>Data collection methods</w:t>
            </w:r>
            <w:r w:rsidR="009A2365">
              <w:rPr>
                <w:noProof/>
                <w:webHidden/>
              </w:rPr>
              <w:tab/>
            </w:r>
            <w:r w:rsidR="009A2365">
              <w:rPr>
                <w:noProof/>
                <w:webHidden/>
              </w:rPr>
              <w:fldChar w:fldCharType="begin"/>
            </w:r>
            <w:r w:rsidR="009A2365">
              <w:rPr>
                <w:noProof/>
                <w:webHidden/>
              </w:rPr>
              <w:instrText xml:space="preserve"> PAGEREF _Toc85066436 \h </w:instrText>
            </w:r>
            <w:r w:rsidR="009A2365">
              <w:rPr>
                <w:noProof/>
                <w:webHidden/>
              </w:rPr>
            </w:r>
            <w:r w:rsidR="009A2365">
              <w:rPr>
                <w:noProof/>
                <w:webHidden/>
              </w:rPr>
              <w:fldChar w:fldCharType="separate"/>
            </w:r>
            <w:r w:rsidR="009A2365">
              <w:rPr>
                <w:noProof/>
                <w:webHidden/>
              </w:rPr>
              <w:t>54</w:t>
            </w:r>
            <w:r w:rsidR="009A2365">
              <w:rPr>
                <w:noProof/>
                <w:webHidden/>
              </w:rPr>
              <w:fldChar w:fldCharType="end"/>
            </w:r>
          </w:hyperlink>
        </w:p>
        <w:p w14:paraId="6D761182" w14:textId="5CAB7B69" w:rsidR="009A2365" w:rsidRDefault="008802A5">
          <w:pPr>
            <w:pStyle w:val="TOC3"/>
            <w:tabs>
              <w:tab w:val="right" w:leader="dot" w:pos="9016"/>
            </w:tabs>
            <w:rPr>
              <w:rFonts w:eastAsiaTheme="minorEastAsia" w:cstheme="minorBidi"/>
              <w:noProof/>
              <w:sz w:val="22"/>
              <w:szCs w:val="22"/>
              <w:lang w:eastAsia="en-GB"/>
            </w:rPr>
          </w:pPr>
          <w:hyperlink w:anchor="_Toc85066437" w:history="1">
            <w:r w:rsidR="009A2365" w:rsidRPr="000A0915">
              <w:rPr>
                <w:rStyle w:val="Hyperlink"/>
                <w:noProof/>
              </w:rPr>
              <w:t>Recruitment process and sampling strategy</w:t>
            </w:r>
            <w:r w:rsidR="009A2365">
              <w:rPr>
                <w:noProof/>
                <w:webHidden/>
              </w:rPr>
              <w:tab/>
            </w:r>
            <w:r w:rsidR="009A2365">
              <w:rPr>
                <w:noProof/>
                <w:webHidden/>
              </w:rPr>
              <w:fldChar w:fldCharType="begin"/>
            </w:r>
            <w:r w:rsidR="009A2365">
              <w:rPr>
                <w:noProof/>
                <w:webHidden/>
              </w:rPr>
              <w:instrText xml:space="preserve"> PAGEREF _Toc85066437 \h </w:instrText>
            </w:r>
            <w:r w:rsidR="009A2365">
              <w:rPr>
                <w:noProof/>
                <w:webHidden/>
              </w:rPr>
            </w:r>
            <w:r w:rsidR="009A2365">
              <w:rPr>
                <w:noProof/>
                <w:webHidden/>
              </w:rPr>
              <w:fldChar w:fldCharType="separate"/>
            </w:r>
            <w:r w:rsidR="009A2365">
              <w:rPr>
                <w:noProof/>
                <w:webHidden/>
              </w:rPr>
              <w:t>54</w:t>
            </w:r>
            <w:r w:rsidR="009A2365">
              <w:rPr>
                <w:noProof/>
                <w:webHidden/>
              </w:rPr>
              <w:fldChar w:fldCharType="end"/>
            </w:r>
          </w:hyperlink>
        </w:p>
        <w:p w14:paraId="658A8F53" w14:textId="70CA5EA8" w:rsidR="009A2365" w:rsidRDefault="008802A5">
          <w:pPr>
            <w:pStyle w:val="TOC3"/>
            <w:tabs>
              <w:tab w:val="right" w:leader="dot" w:pos="9016"/>
            </w:tabs>
            <w:rPr>
              <w:rFonts w:eastAsiaTheme="minorEastAsia" w:cstheme="minorBidi"/>
              <w:noProof/>
              <w:sz w:val="22"/>
              <w:szCs w:val="22"/>
              <w:lang w:eastAsia="en-GB"/>
            </w:rPr>
          </w:pPr>
          <w:hyperlink w:anchor="_Toc85066438" w:history="1">
            <w:r w:rsidR="009A2365" w:rsidRPr="000A0915">
              <w:rPr>
                <w:rStyle w:val="Hyperlink"/>
                <w:noProof/>
              </w:rPr>
              <w:t>Interviews and Setting</w:t>
            </w:r>
            <w:r w:rsidR="009A2365">
              <w:rPr>
                <w:noProof/>
                <w:webHidden/>
              </w:rPr>
              <w:tab/>
            </w:r>
            <w:r w:rsidR="009A2365">
              <w:rPr>
                <w:noProof/>
                <w:webHidden/>
              </w:rPr>
              <w:fldChar w:fldCharType="begin"/>
            </w:r>
            <w:r w:rsidR="009A2365">
              <w:rPr>
                <w:noProof/>
                <w:webHidden/>
              </w:rPr>
              <w:instrText xml:space="preserve"> PAGEREF _Toc85066438 \h </w:instrText>
            </w:r>
            <w:r w:rsidR="009A2365">
              <w:rPr>
                <w:noProof/>
                <w:webHidden/>
              </w:rPr>
            </w:r>
            <w:r w:rsidR="009A2365">
              <w:rPr>
                <w:noProof/>
                <w:webHidden/>
              </w:rPr>
              <w:fldChar w:fldCharType="separate"/>
            </w:r>
            <w:r w:rsidR="009A2365">
              <w:rPr>
                <w:noProof/>
                <w:webHidden/>
              </w:rPr>
              <w:t>55</w:t>
            </w:r>
            <w:r w:rsidR="009A2365">
              <w:rPr>
                <w:noProof/>
                <w:webHidden/>
              </w:rPr>
              <w:fldChar w:fldCharType="end"/>
            </w:r>
          </w:hyperlink>
        </w:p>
        <w:p w14:paraId="0FA960F6" w14:textId="77A998EA" w:rsidR="009A2365" w:rsidRDefault="008802A5">
          <w:pPr>
            <w:pStyle w:val="TOC3"/>
            <w:tabs>
              <w:tab w:val="right" w:leader="dot" w:pos="9016"/>
            </w:tabs>
            <w:rPr>
              <w:rFonts w:eastAsiaTheme="minorEastAsia" w:cstheme="minorBidi"/>
              <w:noProof/>
              <w:sz w:val="22"/>
              <w:szCs w:val="22"/>
              <w:lang w:eastAsia="en-GB"/>
            </w:rPr>
          </w:pPr>
          <w:hyperlink w:anchor="_Toc85066439" w:history="1">
            <w:r w:rsidR="009A2365" w:rsidRPr="000A0915">
              <w:rPr>
                <w:rStyle w:val="Hyperlink"/>
                <w:noProof/>
              </w:rPr>
              <w:t>Data Analysis</w:t>
            </w:r>
            <w:r w:rsidR="009A2365">
              <w:rPr>
                <w:noProof/>
                <w:webHidden/>
              </w:rPr>
              <w:tab/>
            </w:r>
            <w:r w:rsidR="009A2365">
              <w:rPr>
                <w:noProof/>
                <w:webHidden/>
              </w:rPr>
              <w:fldChar w:fldCharType="begin"/>
            </w:r>
            <w:r w:rsidR="009A2365">
              <w:rPr>
                <w:noProof/>
                <w:webHidden/>
              </w:rPr>
              <w:instrText xml:space="preserve"> PAGEREF _Toc85066439 \h </w:instrText>
            </w:r>
            <w:r w:rsidR="009A2365">
              <w:rPr>
                <w:noProof/>
                <w:webHidden/>
              </w:rPr>
            </w:r>
            <w:r w:rsidR="009A2365">
              <w:rPr>
                <w:noProof/>
                <w:webHidden/>
              </w:rPr>
              <w:fldChar w:fldCharType="separate"/>
            </w:r>
            <w:r w:rsidR="009A2365">
              <w:rPr>
                <w:noProof/>
                <w:webHidden/>
              </w:rPr>
              <w:t>56</w:t>
            </w:r>
            <w:r w:rsidR="009A2365">
              <w:rPr>
                <w:noProof/>
                <w:webHidden/>
              </w:rPr>
              <w:fldChar w:fldCharType="end"/>
            </w:r>
          </w:hyperlink>
        </w:p>
        <w:p w14:paraId="6FF96FDE" w14:textId="4FFE4126"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40" w:history="1">
            <w:r w:rsidR="009A2365" w:rsidRPr="000A0915">
              <w:rPr>
                <w:rStyle w:val="Hyperlink"/>
                <w:noProof/>
              </w:rPr>
              <w:t>Chapter 4: How do inter-organisational collaborations in healthcare work, why, and whom do they benefit? A realist synthesis</w:t>
            </w:r>
            <w:r w:rsidR="009A2365">
              <w:rPr>
                <w:noProof/>
                <w:webHidden/>
              </w:rPr>
              <w:tab/>
            </w:r>
            <w:r w:rsidR="009A2365">
              <w:rPr>
                <w:noProof/>
                <w:webHidden/>
              </w:rPr>
              <w:fldChar w:fldCharType="begin"/>
            </w:r>
            <w:r w:rsidR="009A2365">
              <w:rPr>
                <w:noProof/>
                <w:webHidden/>
              </w:rPr>
              <w:instrText xml:space="preserve"> PAGEREF _Toc85066440 \h </w:instrText>
            </w:r>
            <w:r w:rsidR="009A2365">
              <w:rPr>
                <w:noProof/>
                <w:webHidden/>
              </w:rPr>
            </w:r>
            <w:r w:rsidR="009A2365">
              <w:rPr>
                <w:noProof/>
                <w:webHidden/>
              </w:rPr>
              <w:fldChar w:fldCharType="separate"/>
            </w:r>
            <w:r w:rsidR="009A2365">
              <w:rPr>
                <w:noProof/>
                <w:webHidden/>
              </w:rPr>
              <w:t>57</w:t>
            </w:r>
            <w:r w:rsidR="009A2365">
              <w:rPr>
                <w:noProof/>
                <w:webHidden/>
              </w:rPr>
              <w:fldChar w:fldCharType="end"/>
            </w:r>
          </w:hyperlink>
        </w:p>
        <w:p w14:paraId="4F4581D2" w14:textId="25BD7EB2" w:rsidR="009A2365" w:rsidRDefault="008802A5">
          <w:pPr>
            <w:pStyle w:val="TOC3"/>
            <w:tabs>
              <w:tab w:val="right" w:leader="dot" w:pos="9016"/>
            </w:tabs>
            <w:rPr>
              <w:rFonts w:eastAsiaTheme="minorEastAsia" w:cstheme="minorBidi"/>
              <w:noProof/>
              <w:sz w:val="22"/>
              <w:szCs w:val="22"/>
              <w:lang w:eastAsia="en-GB"/>
            </w:rPr>
          </w:pPr>
          <w:hyperlink w:anchor="_Toc85066441" w:history="1">
            <w:r w:rsidR="009A2365" w:rsidRPr="000A0915">
              <w:rPr>
                <w:rStyle w:val="Hyperlink"/>
                <w:noProof/>
              </w:rPr>
              <w:t>Paper selection</w:t>
            </w:r>
            <w:r w:rsidR="009A2365">
              <w:rPr>
                <w:noProof/>
                <w:webHidden/>
              </w:rPr>
              <w:tab/>
            </w:r>
            <w:r w:rsidR="009A2365">
              <w:rPr>
                <w:noProof/>
                <w:webHidden/>
              </w:rPr>
              <w:fldChar w:fldCharType="begin"/>
            </w:r>
            <w:r w:rsidR="009A2365">
              <w:rPr>
                <w:noProof/>
                <w:webHidden/>
              </w:rPr>
              <w:instrText xml:space="preserve"> PAGEREF _Toc85066441 \h </w:instrText>
            </w:r>
            <w:r w:rsidR="009A2365">
              <w:rPr>
                <w:noProof/>
                <w:webHidden/>
              </w:rPr>
            </w:r>
            <w:r w:rsidR="009A2365">
              <w:rPr>
                <w:noProof/>
                <w:webHidden/>
              </w:rPr>
              <w:fldChar w:fldCharType="separate"/>
            </w:r>
            <w:r w:rsidR="009A2365">
              <w:rPr>
                <w:noProof/>
                <w:webHidden/>
              </w:rPr>
              <w:t>57</w:t>
            </w:r>
            <w:r w:rsidR="009A2365">
              <w:rPr>
                <w:noProof/>
                <w:webHidden/>
              </w:rPr>
              <w:fldChar w:fldCharType="end"/>
            </w:r>
          </w:hyperlink>
        </w:p>
        <w:p w14:paraId="38923DF7" w14:textId="55F93850" w:rsidR="009A2365" w:rsidRDefault="008802A5">
          <w:pPr>
            <w:pStyle w:val="TOC3"/>
            <w:tabs>
              <w:tab w:val="right" w:leader="dot" w:pos="9016"/>
            </w:tabs>
            <w:rPr>
              <w:rFonts w:eastAsiaTheme="minorEastAsia" w:cstheme="minorBidi"/>
              <w:noProof/>
              <w:sz w:val="22"/>
              <w:szCs w:val="22"/>
              <w:lang w:eastAsia="en-GB"/>
            </w:rPr>
          </w:pPr>
          <w:hyperlink w:anchor="_Toc85066442" w:history="1">
            <w:r w:rsidR="009A2365" w:rsidRPr="000A0915">
              <w:rPr>
                <w:rStyle w:val="Hyperlink"/>
                <w:noProof/>
              </w:rPr>
              <w:t>Literature characteristics</w:t>
            </w:r>
            <w:r w:rsidR="009A2365">
              <w:rPr>
                <w:noProof/>
                <w:webHidden/>
              </w:rPr>
              <w:tab/>
            </w:r>
            <w:r w:rsidR="009A2365">
              <w:rPr>
                <w:noProof/>
                <w:webHidden/>
              </w:rPr>
              <w:fldChar w:fldCharType="begin"/>
            </w:r>
            <w:r w:rsidR="009A2365">
              <w:rPr>
                <w:noProof/>
                <w:webHidden/>
              </w:rPr>
              <w:instrText xml:space="preserve"> PAGEREF _Toc85066442 \h </w:instrText>
            </w:r>
            <w:r w:rsidR="009A2365">
              <w:rPr>
                <w:noProof/>
                <w:webHidden/>
              </w:rPr>
            </w:r>
            <w:r w:rsidR="009A2365">
              <w:rPr>
                <w:noProof/>
                <w:webHidden/>
              </w:rPr>
              <w:fldChar w:fldCharType="separate"/>
            </w:r>
            <w:r w:rsidR="009A2365">
              <w:rPr>
                <w:noProof/>
                <w:webHidden/>
              </w:rPr>
              <w:t>58</w:t>
            </w:r>
            <w:r w:rsidR="009A2365">
              <w:rPr>
                <w:noProof/>
                <w:webHidden/>
              </w:rPr>
              <w:fldChar w:fldCharType="end"/>
            </w:r>
          </w:hyperlink>
        </w:p>
        <w:p w14:paraId="5D5FFD0D" w14:textId="23F4BB64" w:rsidR="009A2365" w:rsidRDefault="008802A5">
          <w:pPr>
            <w:pStyle w:val="TOC2"/>
            <w:tabs>
              <w:tab w:val="right" w:leader="dot" w:pos="9016"/>
            </w:tabs>
            <w:rPr>
              <w:rFonts w:eastAsiaTheme="minorEastAsia" w:cstheme="minorBidi"/>
              <w:b w:val="0"/>
              <w:bCs w:val="0"/>
              <w:noProof/>
              <w:lang w:eastAsia="en-GB"/>
            </w:rPr>
          </w:pPr>
          <w:hyperlink w:anchor="_Toc85066443" w:history="1">
            <w:r w:rsidR="009A2365" w:rsidRPr="000A0915">
              <w:rPr>
                <w:rStyle w:val="Hyperlink"/>
                <w:noProof/>
              </w:rPr>
              <w:t>Theory gleaning</w:t>
            </w:r>
            <w:r w:rsidR="009A2365">
              <w:rPr>
                <w:noProof/>
                <w:webHidden/>
              </w:rPr>
              <w:tab/>
            </w:r>
            <w:r w:rsidR="009A2365">
              <w:rPr>
                <w:noProof/>
                <w:webHidden/>
              </w:rPr>
              <w:fldChar w:fldCharType="begin"/>
            </w:r>
            <w:r w:rsidR="009A2365">
              <w:rPr>
                <w:noProof/>
                <w:webHidden/>
              </w:rPr>
              <w:instrText xml:space="preserve"> PAGEREF _Toc85066443 \h </w:instrText>
            </w:r>
            <w:r w:rsidR="009A2365">
              <w:rPr>
                <w:noProof/>
                <w:webHidden/>
              </w:rPr>
            </w:r>
            <w:r w:rsidR="009A2365">
              <w:rPr>
                <w:noProof/>
                <w:webHidden/>
              </w:rPr>
              <w:fldChar w:fldCharType="separate"/>
            </w:r>
            <w:r w:rsidR="009A2365">
              <w:rPr>
                <w:noProof/>
                <w:webHidden/>
              </w:rPr>
              <w:t>70</w:t>
            </w:r>
            <w:r w:rsidR="009A2365">
              <w:rPr>
                <w:noProof/>
                <w:webHidden/>
              </w:rPr>
              <w:fldChar w:fldCharType="end"/>
            </w:r>
          </w:hyperlink>
        </w:p>
        <w:p w14:paraId="467BD123" w14:textId="4417E0D5" w:rsidR="009A2365" w:rsidRDefault="008802A5">
          <w:pPr>
            <w:pStyle w:val="TOC3"/>
            <w:tabs>
              <w:tab w:val="right" w:leader="dot" w:pos="9016"/>
            </w:tabs>
            <w:rPr>
              <w:rFonts w:eastAsiaTheme="minorEastAsia" w:cstheme="minorBidi"/>
              <w:noProof/>
              <w:sz w:val="22"/>
              <w:szCs w:val="22"/>
              <w:lang w:eastAsia="en-GB"/>
            </w:rPr>
          </w:pPr>
          <w:hyperlink w:anchor="_Toc85066444" w:history="1">
            <w:r w:rsidR="009A2365" w:rsidRPr="000A0915">
              <w:rPr>
                <w:rStyle w:val="Hyperlink"/>
                <w:noProof/>
              </w:rPr>
              <w:t>Partnership Synergy as a Middle Range Theory</w:t>
            </w:r>
            <w:r w:rsidR="009A2365">
              <w:rPr>
                <w:noProof/>
                <w:webHidden/>
              </w:rPr>
              <w:tab/>
            </w:r>
            <w:r w:rsidR="009A2365">
              <w:rPr>
                <w:noProof/>
                <w:webHidden/>
              </w:rPr>
              <w:fldChar w:fldCharType="begin"/>
            </w:r>
            <w:r w:rsidR="009A2365">
              <w:rPr>
                <w:noProof/>
                <w:webHidden/>
              </w:rPr>
              <w:instrText xml:space="preserve"> PAGEREF _Toc85066444 \h </w:instrText>
            </w:r>
            <w:r w:rsidR="009A2365">
              <w:rPr>
                <w:noProof/>
                <w:webHidden/>
              </w:rPr>
            </w:r>
            <w:r w:rsidR="009A2365">
              <w:rPr>
                <w:noProof/>
                <w:webHidden/>
              </w:rPr>
              <w:fldChar w:fldCharType="separate"/>
            </w:r>
            <w:r w:rsidR="009A2365">
              <w:rPr>
                <w:noProof/>
                <w:webHidden/>
              </w:rPr>
              <w:t>70</w:t>
            </w:r>
            <w:r w:rsidR="009A2365">
              <w:rPr>
                <w:noProof/>
                <w:webHidden/>
              </w:rPr>
              <w:fldChar w:fldCharType="end"/>
            </w:r>
          </w:hyperlink>
        </w:p>
        <w:p w14:paraId="1712F765" w14:textId="6F3DAB16" w:rsidR="009A2365" w:rsidRDefault="008802A5">
          <w:pPr>
            <w:pStyle w:val="TOC3"/>
            <w:tabs>
              <w:tab w:val="right" w:leader="dot" w:pos="9016"/>
            </w:tabs>
            <w:rPr>
              <w:rFonts w:eastAsiaTheme="minorEastAsia" w:cstheme="minorBidi"/>
              <w:noProof/>
              <w:sz w:val="22"/>
              <w:szCs w:val="22"/>
              <w:lang w:eastAsia="en-GB"/>
            </w:rPr>
          </w:pPr>
          <w:hyperlink w:anchor="_Toc85066445" w:history="1">
            <w:r w:rsidR="009A2365" w:rsidRPr="000A0915">
              <w:rPr>
                <w:rStyle w:val="Hyperlink"/>
                <w:noProof/>
                <w:lang w:val="en"/>
              </w:rPr>
              <w:t>Gleaning initial CMOCs</w:t>
            </w:r>
            <w:r w:rsidR="009A2365">
              <w:rPr>
                <w:noProof/>
                <w:webHidden/>
              </w:rPr>
              <w:tab/>
            </w:r>
            <w:r w:rsidR="009A2365">
              <w:rPr>
                <w:noProof/>
                <w:webHidden/>
              </w:rPr>
              <w:fldChar w:fldCharType="begin"/>
            </w:r>
            <w:r w:rsidR="009A2365">
              <w:rPr>
                <w:noProof/>
                <w:webHidden/>
              </w:rPr>
              <w:instrText xml:space="preserve"> PAGEREF _Toc85066445 \h </w:instrText>
            </w:r>
            <w:r w:rsidR="009A2365">
              <w:rPr>
                <w:noProof/>
                <w:webHidden/>
              </w:rPr>
            </w:r>
            <w:r w:rsidR="009A2365">
              <w:rPr>
                <w:noProof/>
                <w:webHidden/>
              </w:rPr>
              <w:fldChar w:fldCharType="separate"/>
            </w:r>
            <w:r w:rsidR="009A2365">
              <w:rPr>
                <w:noProof/>
                <w:webHidden/>
              </w:rPr>
              <w:t>71</w:t>
            </w:r>
            <w:r w:rsidR="009A2365">
              <w:rPr>
                <w:noProof/>
                <w:webHidden/>
              </w:rPr>
              <w:fldChar w:fldCharType="end"/>
            </w:r>
          </w:hyperlink>
        </w:p>
        <w:p w14:paraId="4DA9A2B3" w14:textId="050AFA32" w:rsidR="009A2365" w:rsidRDefault="008802A5">
          <w:pPr>
            <w:pStyle w:val="TOC2"/>
            <w:tabs>
              <w:tab w:val="right" w:leader="dot" w:pos="9016"/>
            </w:tabs>
            <w:rPr>
              <w:rFonts w:eastAsiaTheme="minorEastAsia" w:cstheme="minorBidi"/>
              <w:b w:val="0"/>
              <w:bCs w:val="0"/>
              <w:noProof/>
              <w:lang w:eastAsia="en-GB"/>
            </w:rPr>
          </w:pPr>
          <w:hyperlink w:anchor="_Toc85066446" w:history="1">
            <w:r w:rsidR="009A2365" w:rsidRPr="000A0915">
              <w:rPr>
                <w:rStyle w:val="Hyperlink"/>
                <w:noProof/>
              </w:rPr>
              <w:t>Theory refinement</w:t>
            </w:r>
            <w:r w:rsidR="009A2365">
              <w:rPr>
                <w:noProof/>
                <w:webHidden/>
              </w:rPr>
              <w:tab/>
            </w:r>
            <w:r w:rsidR="009A2365">
              <w:rPr>
                <w:noProof/>
                <w:webHidden/>
              </w:rPr>
              <w:fldChar w:fldCharType="begin"/>
            </w:r>
            <w:r w:rsidR="009A2365">
              <w:rPr>
                <w:noProof/>
                <w:webHidden/>
              </w:rPr>
              <w:instrText xml:space="preserve"> PAGEREF _Toc85066446 \h </w:instrText>
            </w:r>
            <w:r w:rsidR="009A2365">
              <w:rPr>
                <w:noProof/>
                <w:webHidden/>
              </w:rPr>
            </w:r>
            <w:r w:rsidR="009A2365">
              <w:rPr>
                <w:noProof/>
                <w:webHidden/>
              </w:rPr>
              <w:fldChar w:fldCharType="separate"/>
            </w:r>
            <w:r w:rsidR="009A2365">
              <w:rPr>
                <w:noProof/>
                <w:webHidden/>
              </w:rPr>
              <w:t>77</w:t>
            </w:r>
            <w:r w:rsidR="009A2365">
              <w:rPr>
                <w:noProof/>
                <w:webHidden/>
              </w:rPr>
              <w:fldChar w:fldCharType="end"/>
            </w:r>
          </w:hyperlink>
        </w:p>
        <w:p w14:paraId="7FD39207" w14:textId="1642B9FD" w:rsidR="009A2365" w:rsidRDefault="008802A5">
          <w:pPr>
            <w:pStyle w:val="TOC3"/>
            <w:tabs>
              <w:tab w:val="right" w:leader="dot" w:pos="9016"/>
            </w:tabs>
            <w:rPr>
              <w:rFonts w:eastAsiaTheme="minorEastAsia" w:cstheme="minorBidi"/>
              <w:noProof/>
              <w:sz w:val="22"/>
              <w:szCs w:val="22"/>
              <w:lang w:eastAsia="en-GB"/>
            </w:rPr>
          </w:pPr>
          <w:hyperlink w:anchor="_Toc85066447" w:history="1">
            <w:r w:rsidR="009A2365" w:rsidRPr="000A0915">
              <w:rPr>
                <w:rStyle w:val="Hyperlink"/>
                <w:noProof/>
              </w:rPr>
              <w:t>Refining the CMOCs of collaborative functioning</w:t>
            </w:r>
            <w:r w:rsidR="009A2365">
              <w:rPr>
                <w:noProof/>
                <w:webHidden/>
              </w:rPr>
              <w:tab/>
            </w:r>
            <w:r w:rsidR="009A2365">
              <w:rPr>
                <w:noProof/>
                <w:webHidden/>
              </w:rPr>
              <w:fldChar w:fldCharType="begin"/>
            </w:r>
            <w:r w:rsidR="009A2365">
              <w:rPr>
                <w:noProof/>
                <w:webHidden/>
              </w:rPr>
              <w:instrText xml:space="preserve"> PAGEREF _Toc85066447 \h </w:instrText>
            </w:r>
            <w:r w:rsidR="009A2365">
              <w:rPr>
                <w:noProof/>
                <w:webHidden/>
              </w:rPr>
            </w:r>
            <w:r w:rsidR="009A2365">
              <w:rPr>
                <w:noProof/>
                <w:webHidden/>
              </w:rPr>
              <w:fldChar w:fldCharType="separate"/>
            </w:r>
            <w:r w:rsidR="009A2365">
              <w:rPr>
                <w:noProof/>
                <w:webHidden/>
              </w:rPr>
              <w:t>77</w:t>
            </w:r>
            <w:r w:rsidR="009A2365">
              <w:rPr>
                <w:noProof/>
                <w:webHidden/>
              </w:rPr>
              <w:fldChar w:fldCharType="end"/>
            </w:r>
          </w:hyperlink>
        </w:p>
        <w:p w14:paraId="7296110C" w14:textId="1639E744" w:rsidR="009A2365" w:rsidRDefault="008802A5">
          <w:pPr>
            <w:pStyle w:val="TOC3"/>
            <w:tabs>
              <w:tab w:val="right" w:leader="dot" w:pos="9016"/>
            </w:tabs>
            <w:rPr>
              <w:rFonts w:eastAsiaTheme="minorEastAsia" w:cstheme="minorBidi"/>
              <w:noProof/>
              <w:sz w:val="22"/>
              <w:szCs w:val="22"/>
              <w:lang w:eastAsia="en-GB"/>
            </w:rPr>
          </w:pPr>
          <w:hyperlink w:anchor="_Toc85066448" w:history="1">
            <w:r w:rsidR="009A2365" w:rsidRPr="000A0915">
              <w:rPr>
                <w:rStyle w:val="Hyperlink"/>
                <w:noProof/>
              </w:rPr>
              <w:t>Refining CMOCs driving partnership performance</w:t>
            </w:r>
            <w:r w:rsidR="009A2365">
              <w:rPr>
                <w:noProof/>
                <w:webHidden/>
              </w:rPr>
              <w:tab/>
            </w:r>
            <w:r w:rsidR="009A2365">
              <w:rPr>
                <w:noProof/>
                <w:webHidden/>
              </w:rPr>
              <w:fldChar w:fldCharType="begin"/>
            </w:r>
            <w:r w:rsidR="009A2365">
              <w:rPr>
                <w:noProof/>
                <w:webHidden/>
              </w:rPr>
              <w:instrText xml:space="preserve"> PAGEREF _Toc85066448 \h </w:instrText>
            </w:r>
            <w:r w:rsidR="009A2365">
              <w:rPr>
                <w:noProof/>
                <w:webHidden/>
              </w:rPr>
            </w:r>
            <w:r w:rsidR="009A2365">
              <w:rPr>
                <w:noProof/>
                <w:webHidden/>
              </w:rPr>
              <w:fldChar w:fldCharType="separate"/>
            </w:r>
            <w:r w:rsidR="009A2365">
              <w:rPr>
                <w:noProof/>
                <w:webHidden/>
              </w:rPr>
              <w:t>82</w:t>
            </w:r>
            <w:r w:rsidR="009A2365">
              <w:rPr>
                <w:noProof/>
                <w:webHidden/>
              </w:rPr>
              <w:fldChar w:fldCharType="end"/>
            </w:r>
          </w:hyperlink>
        </w:p>
        <w:p w14:paraId="0218F8F7" w14:textId="2407CCDF" w:rsidR="009A2365" w:rsidRDefault="008802A5">
          <w:pPr>
            <w:pStyle w:val="TOC3"/>
            <w:tabs>
              <w:tab w:val="right" w:leader="dot" w:pos="9016"/>
            </w:tabs>
            <w:rPr>
              <w:rFonts w:eastAsiaTheme="minorEastAsia" w:cstheme="minorBidi"/>
              <w:noProof/>
              <w:sz w:val="22"/>
              <w:szCs w:val="22"/>
              <w:lang w:eastAsia="en-GB"/>
            </w:rPr>
          </w:pPr>
          <w:hyperlink w:anchor="_Toc85066449" w:history="1">
            <w:r w:rsidR="009A2365" w:rsidRPr="000A0915">
              <w:rPr>
                <w:rStyle w:val="Hyperlink"/>
                <w:noProof/>
              </w:rPr>
              <w:t>Refinements by collaboration type and collaborative functioning</w:t>
            </w:r>
            <w:r w:rsidR="009A2365">
              <w:rPr>
                <w:noProof/>
                <w:webHidden/>
              </w:rPr>
              <w:tab/>
            </w:r>
            <w:r w:rsidR="009A2365">
              <w:rPr>
                <w:noProof/>
                <w:webHidden/>
              </w:rPr>
              <w:fldChar w:fldCharType="begin"/>
            </w:r>
            <w:r w:rsidR="009A2365">
              <w:rPr>
                <w:noProof/>
                <w:webHidden/>
              </w:rPr>
              <w:instrText xml:space="preserve"> PAGEREF _Toc85066449 \h </w:instrText>
            </w:r>
            <w:r w:rsidR="009A2365">
              <w:rPr>
                <w:noProof/>
                <w:webHidden/>
              </w:rPr>
            </w:r>
            <w:r w:rsidR="009A2365">
              <w:rPr>
                <w:noProof/>
                <w:webHidden/>
              </w:rPr>
              <w:fldChar w:fldCharType="separate"/>
            </w:r>
            <w:r w:rsidR="009A2365">
              <w:rPr>
                <w:noProof/>
                <w:webHidden/>
              </w:rPr>
              <w:t>84</w:t>
            </w:r>
            <w:r w:rsidR="009A2365">
              <w:rPr>
                <w:noProof/>
                <w:webHidden/>
              </w:rPr>
              <w:fldChar w:fldCharType="end"/>
            </w:r>
          </w:hyperlink>
        </w:p>
        <w:p w14:paraId="1313DC19" w14:textId="6138EC90" w:rsidR="009A2365" w:rsidRDefault="008802A5">
          <w:pPr>
            <w:pStyle w:val="TOC3"/>
            <w:tabs>
              <w:tab w:val="right" w:leader="dot" w:pos="9016"/>
            </w:tabs>
            <w:rPr>
              <w:rFonts w:eastAsiaTheme="minorEastAsia" w:cstheme="minorBidi"/>
              <w:noProof/>
              <w:sz w:val="22"/>
              <w:szCs w:val="22"/>
              <w:lang w:eastAsia="en-GB"/>
            </w:rPr>
          </w:pPr>
          <w:hyperlink w:anchor="_Toc85066450" w:history="1">
            <w:r w:rsidR="009A2365" w:rsidRPr="000A0915">
              <w:rPr>
                <w:rStyle w:val="Hyperlink"/>
                <w:noProof/>
              </w:rPr>
              <w:t>A novel means of depicting CMOC chains: ‘causal webs’</w:t>
            </w:r>
            <w:r w:rsidR="009A2365">
              <w:rPr>
                <w:noProof/>
                <w:webHidden/>
              </w:rPr>
              <w:tab/>
            </w:r>
            <w:r w:rsidR="009A2365">
              <w:rPr>
                <w:noProof/>
                <w:webHidden/>
              </w:rPr>
              <w:fldChar w:fldCharType="begin"/>
            </w:r>
            <w:r w:rsidR="009A2365">
              <w:rPr>
                <w:noProof/>
                <w:webHidden/>
              </w:rPr>
              <w:instrText xml:space="preserve"> PAGEREF _Toc85066450 \h </w:instrText>
            </w:r>
            <w:r w:rsidR="009A2365">
              <w:rPr>
                <w:noProof/>
                <w:webHidden/>
              </w:rPr>
            </w:r>
            <w:r w:rsidR="009A2365">
              <w:rPr>
                <w:noProof/>
                <w:webHidden/>
              </w:rPr>
              <w:fldChar w:fldCharType="separate"/>
            </w:r>
            <w:r w:rsidR="009A2365">
              <w:rPr>
                <w:noProof/>
                <w:webHidden/>
              </w:rPr>
              <w:t>86</w:t>
            </w:r>
            <w:r w:rsidR="009A2365">
              <w:rPr>
                <w:noProof/>
                <w:webHidden/>
              </w:rPr>
              <w:fldChar w:fldCharType="end"/>
            </w:r>
          </w:hyperlink>
        </w:p>
        <w:p w14:paraId="7BEF5FAE" w14:textId="49B33B48" w:rsidR="009A2365" w:rsidRDefault="008802A5">
          <w:pPr>
            <w:pStyle w:val="TOC2"/>
            <w:tabs>
              <w:tab w:val="right" w:leader="dot" w:pos="9016"/>
            </w:tabs>
            <w:rPr>
              <w:rFonts w:eastAsiaTheme="minorEastAsia" w:cstheme="minorBidi"/>
              <w:b w:val="0"/>
              <w:bCs w:val="0"/>
              <w:noProof/>
              <w:lang w:eastAsia="en-GB"/>
            </w:rPr>
          </w:pPr>
          <w:hyperlink w:anchor="_Toc85066451" w:history="1">
            <w:r w:rsidR="009A2365" w:rsidRPr="000A0915">
              <w:rPr>
                <w:rStyle w:val="Hyperlink"/>
                <w:noProof/>
              </w:rPr>
              <w:t>Conclusion</w:t>
            </w:r>
            <w:r w:rsidR="009A2365">
              <w:rPr>
                <w:noProof/>
                <w:webHidden/>
              </w:rPr>
              <w:tab/>
            </w:r>
            <w:r w:rsidR="009A2365">
              <w:rPr>
                <w:noProof/>
                <w:webHidden/>
              </w:rPr>
              <w:fldChar w:fldCharType="begin"/>
            </w:r>
            <w:r w:rsidR="009A2365">
              <w:rPr>
                <w:noProof/>
                <w:webHidden/>
              </w:rPr>
              <w:instrText xml:space="preserve"> PAGEREF _Toc85066451 \h </w:instrText>
            </w:r>
            <w:r w:rsidR="009A2365">
              <w:rPr>
                <w:noProof/>
                <w:webHidden/>
              </w:rPr>
            </w:r>
            <w:r w:rsidR="009A2365">
              <w:rPr>
                <w:noProof/>
                <w:webHidden/>
              </w:rPr>
              <w:fldChar w:fldCharType="separate"/>
            </w:r>
            <w:r w:rsidR="009A2365">
              <w:rPr>
                <w:noProof/>
                <w:webHidden/>
              </w:rPr>
              <w:t>88</w:t>
            </w:r>
            <w:r w:rsidR="009A2365">
              <w:rPr>
                <w:noProof/>
                <w:webHidden/>
              </w:rPr>
              <w:fldChar w:fldCharType="end"/>
            </w:r>
          </w:hyperlink>
        </w:p>
        <w:p w14:paraId="29369AB0" w14:textId="6EBD87EE"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52" w:history="1">
            <w:r w:rsidR="009A2365" w:rsidRPr="000A0915">
              <w:rPr>
                <w:rStyle w:val="Hyperlink"/>
                <w:noProof/>
              </w:rPr>
              <w:t>Chapter 5: How do stakeholders understand the ‘functioning’ of inter organisational collaboration?</w:t>
            </w:r>
            <w:r w:rsidR="009A2365">
              <w:rPr>
                <w:noProof/>
                <w:webHidden/>
              </w:rPr>
              <w:tab/>
            </w:r>
            <w:r w:rsidR="009A2365">
              <w:rPr>
                <w:noProof/>
                <w:webHidden/>
              </w:rPr>
              <w:fldChar w:fldCharType="begin"/>
            </w:r>
            <w:r w:rsidR="009A2365">
              <w:rPr>
                <w:noProof/>
                <w:webHidden/>
              </w:rPr>
              <w:instrText xml:space="preserve"> PAGEREF _Toc85066452 \h </w:instrText>
            </w:r>
            <w:r w:rsidR="009A2365">
              <w:rPr>
                <w:noProof/>
                <w:webHidden/>
              </w:rPr>
            </w:r>
            <w:r w:rsidR="009A2365">
              <w:rPr>
                <w:noProof/>
                <w:webHidden/>
              </w:rPr>
              <w:fldChar w:fldCharType="separate"/>
            </w:r>
            <w:r w:rsidR="009A2365">
              <w:rPr>
                <w:noProof/>
                <w:webHidden/>
              </w:rPr>
              <w:t>89</w:t>
            </w:r>
            <w:r w:rsidR="009A2365">
              <w:rPr>
                <w:noProof/>
                <w:webHidden/>
              </w:rPr>
              <w:fldChar w:fldCharType="end"/>
            </w:r>
          </w:hyperlink>
        </w:p>
        <w:p w14:paraId="2ED90ACF" w14:textId="036DCFD9" w:rsidR="009A2365" w:rsidRDefault="008802A5">
          <w:pPr>
            <w:pStyle w:val="TOC2"/>
            <w:tabs>
              <w:tab w:val="right" w:leader="dot" w:pos="9016"/>
            </w:tabs>
            <w:rPr>
              <w:rFonts w:eastAsiaTheme="minorEastAsia" w:cstheme="minorBidi"/>
              <w:b w:val="0"/>
              <w:bCs w:val="0"/>
              <w:noProof/>
              <w:lang w:eastAsia="en-GB"/>
            </w:rPr>
          </w:pPr>
          <w:hyperlink w:anchor="_Toc85066453" w:history="1">
            <w:r w:rsidR="009A2365" w:rsidRPr="000A0915">
              <w:rPr>
                <w:rStyle w:val="Hyperlink"/>
                <w:noProof/>
              </w:rPr>
              <w:t>Building and sustaining trust in collaboration</w:t>
            </w:r>
            <w:r w:rsidR="009A2365">
              <w:rPr>
                <w:noProof/>
                <w:webHidden/>
              </w:rPr>
              <w:tab/>
            </w:r>
            <w:r w:rsidR="009A2365">
              <w:rPr>
                <w:noProof/>
                <w:webHidden/>
              </w:rPr>
              <w:fldChar w:fldCharType="begin"/>
            </w:r>
            <w:r w:rsidR="009A2365">
              <w:rPr>
                <w:noProof/>
                <w:webHidden/>
              </w:rPr>
              <w:instrText xml:space="preserve"> PAGEREF _Toc85066453 \h </w:instrText>
            </w:r>
            <w:r w:rsidR="009A2365">
              <w:rPr>
                <w:noProof/>
                <w:webHidden/>
              </w:rPr>
            </w:r>
            <w:r w:rsidR="009A2365">
              <w:rPr>
                <w:noProof/>
                <w:webHidden/>
              </w:rPr>
              <w:fldChar w:fldCharType="separate"/>
            </w:r>
            <w:r w:rsidR="009A2365">
              <w:rPr>
                <w:noProof/>
                <w:webHidden/>
              </w:rPr>
              <w:t>89</w:t>
            </w:r>
            <w:r w:rsidR="009A2365">
              <w:rPr>
                <w:noProof/>
                <w:webHidden/>
              </w:rPr>
              <w:fldChar w:fldCharType="end"/>
            </w:r>
          </w:hyperlink>
        </w:p>
        <w:p w14:paraId="57807BDE" w14:textId="3514AA7A" w:rsidR="009A2365" w:rsidRDefault="008802A5">
          <w:pPr>
            <w:pStyle w:val="TOC3"/>
            <w:tabs>
              <w:tab w:val="right" w:leader="dot" w:pos="9016"/>
            </w:tabs>
            <w:rPr>
              <w:rFonts w:eastAsiaTheme="minorEastAsia" w:cstheme="minorBidi"/>
              <w:noProof/>
              <w:sz w:val="22"/>
              <w:szCs w:val="22"/>
              <w:lang w:eastAsia="en-GB"/>
            </w:rPr>
          </w:pPr>
          <w:hyperlink w:anchor="_Toc85066454" w:history="1">
            <w:r w:rsidR="009A2365" w:rsidRPr="000A0915">
              <w:rPr>
                <w:rStyle w:val="Hyperlink"/>
                <w:noProof/>
              </w:rPr>
              <w:t>Interpersonal communication</w:t>
            </w:r>
            <w:r w:rsidR="009A2365">
              <w:rPr>
                <w:noProof/>
                <w:webHidden/>
              </w:rPr>
              <w:tab/>
            </w:r>
            <w:r w:rsidR="009A2365">
              <w:rPr>
                <w:noProof/>
                <w:webHidden/>
              </w:rPr>
              <w:fldChar w:fldCharType="begin"/>
            </w:r>
            <w:r w:rsidR="009A2365">
              <w:rPr>
                <w:noProof/>
                <w:webHidden/>
              </w:rPr>
              <w:instrText xml:space="preserve"> PAGEREF _Toc85066454 \h </w:instrText>
            </w:r>
            <w:r w:rsidR="009A2365">
              <w:rPr>
                <w:noProof/>
                <w:webHidden/>
              </w:rPr>
            </w:r>
            <w:r w:rsidR="009A2365">
              <w:rPr>
                <w:noProof/>
                <w:webHidden/>
              </w:rPr>
              <w:fldChar w:fldCharType="separate"/>
            </w:r>
            <w:r w:rsidR="009A2365">
              <w:rPr>
                <w:noProof/>
                <w:webHidden/>
              </w:rPr>
              <w:t>91</w:t>
            </w:r>
            <w:r w:rsidR="009A2365">
              <w:rPr>
                <w:noProof/>
                <w:webHidden/>
              </w:rPr>
              <w:fldChar w:fldCharType="end"/>
            </w:r>
          </w:hyperlink>
        </w:p>
        <w:p w14:paraId="771CD73A" w14:textId="4BB4DA3E" w:rsidR="009A2365" w:rsidRDefault="008802A5">
          <w:pPr>
            <w:pStyle w:val="TOC3"/>
            <w:tabs>
              <w:tab w:val="right" w:leader="dot" w:pos="9016"/>
            </w:tabs>
            <w:rPr>
              <w:rFonts w:eastAsiaTheme="minorEastAsia" w:cstheme="minorBidi"/>
              <w:noProof/>
              <w:sz w:val="22"/>
              <w:szCs w:val="22"/>
              <w:lang w:eastAsia="en-GB"/>
            </w:rPr>
          </w:pPr>
          <w:hyperlink w:anchor="_Toc85066455" w:history="1">
            <w:r w:rsidR="009A2365" w:rsidRPr="000A0915">
              <w:rPr>
                <w:rStyle w:val="Hyperlink"/>
                <w:noProof/>
              </w:rPr>
              <w:t>Cultural integration</w:t>
            </w:r>
            <w:r w:rsidR="009A2365">
              <w:rPr>
                <w:noProof/>
                <w:webHidden/>
              </w:rPr>
              <w:tab/>
            </w:r>
            <w:r w:rsidR="009A2365">
              <w:rPr>
                <w:noProof/>
                <w:webHidden/>
              </w:rPr>
              <w:fldChar w:fldCharType="begin"/>
            </w:r>
            <w:r w:rsidR="009A2365">
              <w:rPr>
                <w:noProof/>
                <w:webHidden/>
              </w:rPr>
              <w:instrText xml:space="preserve"> PAGEREF _Toc85066455 \h </w:instrText>
            </w:r>
            <w:r w:rsidR="009A2365">
              <w:rPr>
                <w:noProof/>
                <w:webHidden/>
              </w:rPr>
            </w:r>
            <w:r w:rsidR="009A2365">
              <w:rPr>
                <w:noProof/>
                <w:webHidden/>
              </w:rPr>
              <w:fldChar w:fldCharType="separate"/>
            </w:r>
            <w:r w:rsidR="009A2365">
              <w:rPr>
                <w:noProof/>
                <w:webHidden/>
              </w:rPr>
              <w:t>92</w:t>
            </w:r>
            <w:r w:rsidR="009A2365">
              <w:rPr>
                <w:noProof/>
                <w:webHidden/>
              </w:rPr>
              <w:fldChar w:fldCharType="end"/>
            </w:r>
          </w:hyperlink>
        </w:p>
        <w:p w14:paraId="2879B545" w14:textId="125FD729" w:rsidR="009A2365" w:rsidRDefault="008802A5">
          <w:pPr>
            <w:pStyle w:val="TOC3"/>
            <w:tabs>
              <w:tab w:val="right" w:leader="dot" w:pos="9016"/>
            </w:tabs>
            <w:rPr>
              <w:rFonts w:eastAsiaTheme="minorEastAsia" w:cstheme="minorBidi"/>
              <w:noProof/>
              <w:sz w:val="22"/>
              <w:szCs w:val="22"/>
              <w:lang w:eastAsia="en-GB"/>
            </w:rPr>
          </w:pPr>
          <w:hyperlink w:anchor="_Toc85066456" w:history="1">
            <w:r w:rsidR="009A2365" w:rsidRPr="000A0915">
              <w:rPr>
                <w:rStyle w:val="Hyperlink"/>
                <w:noProof/>
              </w:rPr>
              <w:t>The limits of trust and risk tolerance</w:t>
            </w:r>
            <w:r w:rsidR="009A2365">
              <w:rPr>
                <w:noProof/>
                <w:webHidden/>
              </w:rPr>
              <w:tab/>
            </w:r>
            <w:r w:rsidR="009A2365">
              <w:rPr>
                <w:noProof/>
                <w:webHidden/>
              </w:rPr>
              <w:fldChar w:fldCharType="begin"/>
            </w:r>
            <w:r w:rsidR="009A2365">
              <w:rPr>
                <w:noProof/>
                <w:webHidden/>
              </w:rPr>
              <w:instrText xml:space="preserve"> PAGEREF _Toc85066456 \h </w:instrText>
            </w:r>
            <w:r w:rsidR="009A2365">
              <w:rPr>
                <w:noProof/>
                <w:webHidden/>
              </w:rPr>
            </w:r>
            <w:r w:rsidR="009A2365">
              <w:rPr>
                <w:noProof/>
                <w:webHidden/>
              </w:rPr>
              <w:fldChar w:fldCharType="separate"/>
            </w:r>
            <w:r w:rsidR="009A2365">
              <w:rPr>
                <w:noProof/>
                <w:webHidden/>
              </w:rPr>
              <w:t>93</w:t>
            </w:r>
            <w:r w:rsidR="009A2365">
              <w:rPr>
                <w:noProof/>
                <w:webHidden/>
              </w:rPr>
              <w:fldChar w:fldCharType="end"/>
            </w:r>
          </w:hyperlink>
        </w:p>
        <w:p w14:paraId="602BF2CE" w14:textId="2BCA6B33" w:rsidR="009A2365" w:rsidRDefault="008802A5">
          <w:pPr>
            <w:pStyle w:val="TOC2"/>
            <w:tabs>
              <w:tab w:val="right" w:leader="dot" w:pos="9016"/>
            </w:tabs>
            <w:rPr>
              <w:rFonts w:eastAsiaTheme="minorEastAsia" w:cstheme="minorBidi"/>
              <w:b w:val="0"/>
              <w:bCs w:val="0"/>
              <w:noProof/>
              <w:lang w:eastAsia="en-GB"/>
            </w:rPr>
          </w:pPr>
          <w:hyperlink w:anchor="_Toc85066457" w:history="1">
            <w:r w:rsidR="009A2365" w:rsidRPr="000A0915">
              <w:rPr>
                <w:rStyle w:val="Hyperlink"/>
                <w:noProof/>
              </w:rPr>
              <w:t>Building and sustaining faith in collaboration</w:t>
            </w:r>
            <w:r w:rsidR="009A2365">
              <w:rPr>
                <w:noProof/>
                <w:webHidden/>
              </w:rPr>
              <w:tab/>
            </w:r>
            <w:r w:rsidR="009A2365">
              <w:rPr>
                <w:noProof/>
                <w:webHidden/>
              </w:rPr>
              <w:fldChar w:fldCharType="begin"/>
            </w:r>
            <w:r w:rsidR="009A2365">
              <w:rPr>
                <w:noProof/>
                <w:webHidden/>
              </w:rPr>
              <w:instrText xml:space="preserve"> PAGEREF _Toc85066457 \h </w:instrText>
            </w:r>
            <w:r w:rsidR="009A2365">
              <w:rPr>
                <w:noProof/>
                <w:webHidden/>
              </w:rPr>
            </w:r>
            <w:r w:rsidR="009A2365">
              <w:rPr>
                <w:noProof/>
                <w:webHidden/>
              </w:rPr>
              <w:fldChar w:fldCharType="separate"/>
            </w:r>
            <w:r w:rsidR="009A2365">
              <w:rPr>
                <w:noProof/>
                <w:webHidden/>
              </w:rPr>
              <w:t>94</w:t>
            </w:r>
            <w:r w:rsidR="009A2365">
              <w:rPr>
                <w:noProof/>
                <w:webHidden/>
              </w:rPr>
              <w:fldChar w:fldCharType="end"/>
            </w:r>
          </w:hyperlink>
        </w:p>
        <w:p w14:paraId="110EA168" w14:textId="05E9B370" w:rsidR="009A2365" w:rsidRDefault="008802A5">
          <w:pPr>
            <w:pStyle w:val="TOC3"/>
            <w:tabs>
              <w:tab w:val="right" w:leader="dot" w:pos="9016"/>
            </w:tabs>
            <w:rPr>
              <w:rFonts w:eastAsiaTheme="minorEastAsia" w:cstheme="minorBidi"/>
              <w:noProof/>
              <w:sz w:val="22"/>
              <w:szCs w:val="22"/>
              <w:lang w:eastAsia="en-GB"/>
            </w:rPr>
          </w:pPr>
          <w:hyperlink w:anchor="_Toc85066458" w:history="1">
            <w:r w:rsidR="009A2365" w:rsidRPr="000A0915">
              <w:rPr>
                <w:rStyle w:val="Hyperlink"/>
                <w:noProof/>
              </w:rPr>
              <w:t>Capacity constraints</w:t>
            </w:r>
            <w:r w:rsidR="009A2365">
              <w:rPr>
                <w:noProof/>
                <w:webHidden/>
              </w:rPr>
              <w:tab/>
            </w:r>
            <w:r w:rsidR="009A2365">
              <w:rPr>
                <w:noProof/>
                <w:webHidden/>
              </w:rPr>
              <w:fldChar w:fldCharType="begin"/>
            </w:r>
            <w:r w:rsidR="009A2365">
              <w:rPr>
                <w:noProof/>
                <w:webHidden/>
              </w:rPr>
              <w:instrText xml:space="preserve"> PAGEREF _Toc85066458 \h </w:instrText>
            </w:r>
            <w:r w:rsidR="009A2365">
              <w:rPr>
                <w:noProof/>
                <w:webHidden/>
              </w:rPr>
            </w:r>
            <w:r w:rsidR="009A2365">
              <w:rPr>
                <w:noProof/>
                <w:webHidden/>
              </w:rPr>
              <w:fldChar w:fldCharType="separate"/>
            </w:r>
            <w:r w:rsidR="009A2365">
              <w:rPr>
                <w:noProof/>
                <w:webHidden/>
              </w:rPr>
              <w:t>96</w:t>
            </w:r>
            <w:r w:rsidR="009A2365">
              <w:rPr>
                <w:noProof/>
                <w:webHidden/>
              </w:rPr>
              <w:fldChar w:fldCharType="end"/>
            </w:r>
          </w:hyperlink>
        </w:p>
        <w:p w14:paraId="7952BAB7" w14:textId="45664A8A" w:rsidR="009A2365" w:rsidRDefault="008802A5">
          <w:pPr>
            <w:pStyle w:val="TOC3"/>
            <w:tabs>
              <w:tab w:val="right" w:leader="dot" w:pos="9016"/>
            </w:tabs>
            <w:rPr>
              <w:rFonts w:eastAsiaTheme="minorEastAsia" w:cstheme="minorBidi"/>
              <w:noProof/>
              <w:sz w:val="22"/>
              <w:szCs w:val="22"/>
              <w:lang w:eastAsia="en-GB"/>
            </w:rPr>
          </w:pPr>
          <w:hyperlink w:anchor="_Toc85066459" w:history="1">
            <w:r w:rsidR="009A2365" w:rsidRPr="000A0915">
              <w:rPr>
                <w:rStyle w:val="Hyperlink"/>
                <w:noProof/>
              </w:rPr>
              <w:t>Task complexity</w:t>
            </w:r>
            <w:r w:rsidR="009A2365">
              <w:rPr>
                <w:noProof/>
                <w:webHidden/>
              </w:rPr>
              <w:tab/>
            </w:r>
            <w:r w:rsidR="009A2365">
              <w:rPr>
                <w:noProof/>
                <w:webHidden/>
              </w:rPr>
              <w:fldChar w:fldCharType="begin"/>
            </w:r>
            <w:r w:rsidR="009A2365">
              <w:rPr>
                <w:noProof/>
                <w:webHidden/>
              </w:rPr>
              <w:instrText xml:space="preserve"> PAGEREF _Toc85066459 \h </w:instrText>
            </w:r>
            <w:r w:rsidR="009A2365">
              <w:rPr>
                <w:noProof/>
                <w:webHidden/>
              </w:rPr>
            </w:r>
            <w:r w:rsidR="009A2365">
              <w:rPr>
                <w:noProof/>
                <w:webHidden/>
              </w:rPr>
              <w:fldChar w:fldCharType="separate"/>
            </w:r>
            <w:r w:rsidR="009A2365">
              <w:rPr>
                <w:noProof/>
                <w:webHidden/>
              </w:rPr>
              <w:t>98</w:t>
            </w:r>
            <w:r w:rsidR="009A2365">
              <w:rPr>
                <w:noProof/>
                <w:webHidden/>
              </w:rPr>
              <w:fldChar w:fldCharType="end"/>
            </w:r>
          </w:hyperlink>
        </w:p>
        <w:p w14:paraId="75D1F790" w14:textId="22361D82" w:rsidR="009A2365" w:rsidRDefault="008802A5">
          <w:pPr>
            <w:pStyle w:val="TOC3"/>
            <w:tabs>
              <w:tab w:val="right" w:leader="dot" w:pos="9016"/>
            </w:tabs>
            <w:rPr>
              <w:rFonts w:eastAsiaTheme="minorEastAsia" w:cstheme="minorBidi"/>
              <w:noProof/>
              <w:sz w:val="22"/>
              <w:szCs w:val="22"/>
              <w:lang w:eastAsia="en-GB"/>
            </w:rPr>
          </w:pPr>
          <w:hyperlink w:anchor="_Toc85066460" w:history="1">
            <w:r w:rsidR="009A2365" w:rsidRPr="000A0915">
              <w:rPr>
                <w:rStyle w:val="Hyperlink"/>
                <w:noProof/>
              </w:rPr>
              <w:t>Legitimacy</w:t>
            </w:r>
            <w:r w:rsidR="009A2365">
              <w:rPr>
                <w:noProof/>
                <w:webHidden/>
              </w:rPr>
              <w:tab/>
            </w:r>
            <w:r w:rsidR="009A2365">
              <w:rPr>
                <w:noProof/>
                <w:webHidden/>
              </w:rPr>
              <w:fldChar w:fldCharType="begin"/>
            </w:r>
            <w:r w:rsidR="009A2365">
              <w:rPr>
                <w:noProof/>
                <w:webHidden/>
              </w:rPr>
              <w:instrText xml:space="preserve"> PAGEREF _Toc85066460 \h </w:instrText>
            </w:r>
            <w:r w:rsidR="009A2365">
              <w:rPr>
                <w:noProof/>
                <w:webHidden/>
              </w:rPr>
            </w:r>
            <w:r w:rsidR="009A2365">
              <w:rPr>
                <w:noProof/>
                <w:webHidden/>
              </w:rPr>
              <w:fldChar w:fldCharType="separate"/>
            </w:r>
            <w:r w:rsidR="009A2365">
              <w:rPr>
                <w:noProof/>
                <w:webHidden/>
              </w:rPr>
              <w:t>99</w:t>
            </w:r>
            <w:r w:rsidR="009A2365">
              <w:rPr>
                <w:noProof/>
                <w:webHidden/>
              </w:rPr>
              <w:fldChar w:fldCharType="end"/>
            </w:r>
          </w:hyperlink>
        </w:p>
        <w:p w14:paraId="13133D89" w14:textId="758B6389" w:rsidR="009A2365" w:rsidRDefault="008802A5">
          <w:pPr>
            <w:pStyle w:val="TOC3"/>
            <w:tabs>
              <w:tab w:val="right" w:leader="dot" w:pos="9016"/>
            </w:tabs>
            <w:rPr>
              <w:rFonts w:eastAsiaTheme="minorEastAsia" w:cstheme="minorBidi"/>
              <w:noProof/>
              <w:sz w:val="22"/>
              <w:szCs w:val="22"/>
              <w:lang w:eastAsia="en-GB"/>
            </w:rPr>
          </w:pPr>
          <w:hyperlink w:anchor="_Toc85066461" w:history="1">
            <w:r w:rsidR="009A2365" w:rsidRPr="000A0915">
              <w:rPr>
                <w:rStyle w:val="Hyperlink"/>
                <w:noProof/>
              </w:rPr>
              <w:t>Demonstrating progress</w:t>
            </w:r>
            <w:r w:rsidR="009A2365">
              <w:rPr>
                <w:noProof/>
                <w:webHidden/>
              </w:rPr>
              <w:tab/>
            </w:r>
            <w:r w:rsidR="009A2365">
              <w:rPr>
                <w:noProof/>
                <w:webHidden/>
              </w:rPr>
              <w:fldChar w:fldCharType="begin"/>
            </w:r>
            <w:r w:rsidR="009A2365">
              <w:rPr>
                <w:noProof/>
                <w:webHidden/>
              </w:rPr>
              <w:instrText xml:space="preserve"> PAGEREF _Toc85066461 \h </w:instrText>
            </w:r>
            <w:r w:rsidR="009A2365">
              <w:rPr>
                <w:noProof/>
                <w:webHidden/>
              </w:rPr>
            </w:r>
            <w:r w:rsidR="009A2365">
              <w:rPr>
                <w:noProof/>
                <w:webHidden/>
              </w:rPr>
              <w:fldChar w:fldCharType="separate"/>
            </w:r>
            <w:r w:rsidR="009A2365">
              <w:rPr>
                <w:noProof/>
                <w:webHidden/>
              </w:rPr>
              <w:t>102</w:t>
            </w:r>
            <w:r w:rsidR="009A2365">
              <w:rPr>
                <w:noProof/>
                <w:webHidden/>
              </w:rPr>
              <w:fldChar w:fldCharType="end"/>
            </w:r>
          </w:hyperlink>
        </w:p>
        <w:p w14:paraId="642C6BBC" w14:textId="106AF080" w:rsidR="009A2365" w:rsidRDefault="008802A5">
          <w:pPr>
            <w:pStyle w:val="TOC3"/>
            <w:tabs>
              <w:tab w:val="right" w:leader="dot" w:pos="9016"/>
            </w:tabs>
            <w:rPr>
              <w:rFonts w:eastAsiaTheme="minorEastAsia" w:cstheme="minorBidi"/>
              <w:noProof/>
              <w:sz w:val="22"/>
              <w:szCs w:val="22"/>
              <w:lang w:eastAsia="en-GB"/>
            </w:rPr>
          </w:pPr>
          <w:hyperlink w:anchor="_Toc85066462" w:history="1">
            <w:r w:rsidR="009A2365" w:rsidRPr="000A0915">
              <w:rPr>
                <w:rStyle w:val="Hyperlink"/>
                <w:noProof/>
              </w:rPr>
              <w:t>Clarity of vision</w:t>
            </w:r>
            <w:r w:rsidR="009A2365">
              <w:rPr>
                <w:noProof/>
                <w:webHidden/>
              </w:rPr>
              <w:tab/>
            </w:r>
            <w:r w:rsidR="009A2365">
              <w:rPr>
                <w:noProof/>
                <w:webHidden/>
              </w:rPr>
              <w:fldChar w:fldCharType="begin"/>
            </w:r>
            <w:r w:rsidR="009A2365">
              <w:rPr>
                <w:noProof/>
                <w:webHidden/>
              </w:rPr>
              <w:instrText xml:space="preserve"> PAGEREF _Toc85066462 \h </w:instrText>
            </w:r>
            <w:r w:rsidR="009A2365">
              <w:rPr>
                <w:noProof/>
                <w:webHidden/>
              </w:rPr>
            </w:r>
            <w:r w:rsidR="009A2365">
              <w:rPr>
                <w:noProof/>
                <w:webHidden/>
              </w:rPr>
              <w:fldChar w:fldCharType="separate"/>
            </w:r>
            <w:r w:rsidR="009A2365">
              <w:rPr>
                <w:noProof/>
                <w:webHidden/>
              </w:rPr>
              <w:t>103</w:t>
            </w:r>
            <w:r w:rsidR="009A2365">
              <w:rPr>
                <w:noProof/>
                <w:webHidden/>
              </w:rPr>
              <w:fldChar w:fldCharType="end"/>
            </w:r>
          </w:hyperlink>
        </w:p>
        <w:p w14:paraId="172E09A1" w14:textId="2EEAD758" w:rsidR="009A2365" w:rsidRDefault="008802A5">
          <w:pPr>
            <w:pStyle w:val="TOC3"/>
            <w:tabs>
              <w:tab w:val="right" w:leader="dot" w:pos="9016"/>
            </w:tabs>
            <w:rPr>
              <w:rFonts w:eastAsiaTheme="minorEastAsia" w:cstheme="minorBidi"/>
              <w:noProof/>
              <w:sz w:val="22"/>
              <w:szCs w:val="22"/>
              <w:lang w:eastAsia="en-GB"/>
            </w:rPr>
          </w:pPr>
          <w:hyperlink w:anchor="_Toc85066463" w:history="1">
            <w:r w:rsidR="009A2365" w:rsidRPr="000A0915">
              <w:rPr>
                <w:rStyle w:val="Hyperlink"/>
                <w:noProof/>
              </w:rPr>
              <w:t>Environmental influences on faith</w:t>
            </w:r>
            <w:r w:rsidR="009A2365">
              <w:rPr>
                <w:noProof/>
                <w:webHidden/>
              </w:rPr>
              <w:tab/>
            </w:r>
            <w:r w:rsidR="009A2365">
              <w:rPr>
                <w:noProof/>
                <w:webHidden/>
              </w:rPr>
              <w:fldChar w:fldCharType="begin"/>
            </w:r>
            <w:r w:rsidR="009A2365">
              <w:rPr>
                <w:noProof/>
                <w:webHidden/>
              </w:rPr>
              <w:instrText xml:space="preserve"> PAGEREF _Toc85066463 \h </w:instrText>
            </w:r>
            <w:r w:rsidR="009A2365">
              <w:rPr>
                <w:noProof/>
                <w:webHidden/>
              </w:rPr>
            </w:r>
            <w:r w:rsidR="009A2365">
              <w:rPr>
                <w:noProof/>
                <w:webHidden/>
              </w:rPr>
              <w:fldChar w:fldCharType="separate"/>
            </w:r>
            <w:r w:rsidR="009A2365">
              <w:rPr>
                <w:noProof/>
                <w:webHidden/>
              </w:rPr>
              <w:t>104</w:t>
            </w:r>
            <w:r w:rsidR="009A2365">
              <w:rPr>
                <w:noProof/>
                <w:webHidden/>
              </w:rPr>
              <w:fldChar w:fldCharType="end"/>
            </w:r>
          </w:hyperlink>
        </w:p>
        <w:p w14:paraId="5C342267" w14:textId="7E8C2402" w:rsidR="009A2365" w:rsidRDefault="008802A5">
          <w:pPr>
            <w:pStyle w:val="TOC2"/>
            <w:tabs>
              <w:tab w:val="right" w:leader="dot" w:pos="9016"/>
            </w:tabs>
            <w:rPr>
              <w:rFonts w:eastAsiaTheme="minorEastAsia" w:cstheme="minorBidi"/>
              <w:b w:val="0"/>
              <w:bCs w:val="0"/>
              <w:noProof/>
              <w:lang w:eastAsia="en-GB"/>
            </w:rPr>
          </w:pPr>
          <w:hyperlink w:anchor="_Toc85066464" w:history="1">
            <w:r w:rsidR="009A2365" w:rsidRPr="000A0915">
              <w:rPr>
                <w:rStyle w:val="Hyperlink"/>
                <w:noProof/>
              </w:rPr>
              <w:t>The presence of conflict</w:t>
            </w:r>
            <w:r w:rsidR="009A2365">
              <w:rPr>
                <w:noProof/>
                <w:webHidden/>
              </w:rPr>
              <w:tab/>
            </w:r>
            <w:r w:rsidR="009A2365">
              <w:rPr>
                <w:noProof/>
                <w:webHidden/>
              </w:rPr>
              <w:fldChar w:fldCharType="begin"/>
            </w:r>
            <w:r w:rsidR="009A2365">
              <w:rPr>
                <w:noProof/>
                <w:webHidden/>
              </w:rPr>
              <w:instrText xml:space="preserve"> PAGEREF _Toc85066464 \h </w:instrText>
            </w:r>
            <w:r w:rsidR="009A2365">
              <w:rPr>
                <w:noProof/>
                <w:webHidden/>
              </w:rPr>
            </w:r>
            <w:r w:rsidR="009A2365">
              <w:rPr>
                <w:noProof/>
                <w:webHidden/>
              </w:rPr>
              <w:fldChar w:fldCharType="separate"/>
            </w:r>
            <w:r w:rsidR="009A2365">
              <w:rPr>
                <w:noProof/>
                <w:webHidden/>
              </w:rPr>
              <w:t>107</w:t>
            </w:r>
            <w:r w:rsidR="009A2365">
              <w:rPr>
                <w:noProof/>
                <w:webHidden/>
              </w:rPr>
              <w:fldChar w:fldCharType="end"/>
            </w:r>
          </w:hyperlink>
        </w:p>
        <w:p w14:paraId="5718BD1B" w14:textId="100FFD59" w:rsidR="009A2365" w:rsidRDefault="008802A5">
          <w:pPr>
            <w:pStyle w:val="TOC2"/>
            <w:tabs>
              <w:tab w:val="right" w:leader="dot" w:pos="9016"/>
            </w:tabs>
            <w:rPr>
              <w:rFonts w:eastAsiaTheme="minorEastAsia" w:cstheme="minorBidi"/>
              <w:b w:val="0"/>
              <w:bCs w:val="0"/>
              <w:noProof/>
              <w:lang w:eastAsia="en-GB"/>
            </w:rPr>
          </w:pPr>
          <w:hyperlink w:anchor="_Toc85066465" w:history="1">
            <w:r w:rsidR="009A2365" w:rsidRPr="000A0915">
              <w:rPr>
                <w:rStyle w:val="Hyperlink"/>
                <w:noProof/>
              </w:rPr>
              <w:t>Building confidence</w:t>
            </w:r>
            <w:r w:rsidR="009A2365">
              <w:rPr>
                <w:noProof/>
                <w:webHidden/>
              </w:rPr>
              <w:tab/>
            </w:r>
            <w:r w:rsidR="009A2365">
              <w:rPr>
                <w:noProof/>
                <w:webHidden/>
              </w:rPr>
              <w:fldChar w:fldCharType="begin"/>
            </w:r>
            <w:r w:rsidR="009A2365">
              <w:rPr>
                <w:noProof/>
                <w:webHidden/>
              </w:rPr>
              <w:instrText xml:space="preserve"> PAGEREF _Toc85066465 \h </w:instrText>
            </w:r>
            <w:r w:rsidR="009A2365">
              <w:rPr>
                <w:noProof/>
                <w:webHidden/>
              </w:rPr>
            </w:r>
            <w:r w:rsidR="009A2365">
              <w:rPr>
                <w:noProof/>
                <w:webHidden/>
              </w:rPr>
              <w:fldChar w:fldCharType="separate"/>
            </w:r>
            <w:r w:rsidR="009A2365">
              <w:rPr>
                <w:noProof/>
                <w:webHidden/>
              </w:rPr>
              <w:t>108</w:t>
            </w:r>
            <w:r w:rsidR="009A2365">
              <w:rPr>
                <w:noProof/>
                <w:webHidden/>
              </w:rPr>
              <w:fldChar w:fldCharType="end"/>
            </w:r>
          </w:hyperlink>
        </w:p>
        <w:p w14:paraId="6B1BA007" w14:textId="158BD999" w:rsidR="009A2365" w:rsidRDefault="008802A5">
          <w:pPr>
            <w:pStyle w:val="TOC2"/>
            <w:tabs>
              <w:tab w:val="right" w:leader="dot" w:pos="9016"/>
            </w:tabs>
            <w:rPr>
              <w:rFonts w:eastAsiaTheme="minorEastAsia" w:cstheme="minorBidi"/>
              <w:b w:val="0"/>
              <w:bCs w:val="0"/>
              <w:noProof/>
              <w:lang w:eastAsia="en-GB"/>
            </w:rPr>
          </w:pPr>
          <w:hyperlink w:anchor="_Toc85066466" w:history="1">
            <w:r w:rsidR="009A2365" w:rsidRPr="000A0915">
              <w:rPr>
                <w:rStyle w:val="Hyperlink"/>
                <w:noProof/>
              </w:rPr>
              <w:t>Concluding summary</w:t>
            </w:r>
            <w:r w:rsidR="009A2365">
              <w:rPr>
                <w:noProof/>
                <w:webHidden/>
              </w:rPr>
              <w:tab/>
            </w:r>
            <w:r w:rsidR="009A2365">
              <w:rPr>
                <w:noProof/>
                <w:webHidden/>
              </w:rPr>
              <w:fldChar w:fldCharType="begin"/>
            </w:r>
            <w:r w:rsidR="009A2365">
              <w:rPr>
                <w:noProof/>
                <w:webHidden/>
              </w:rPr>
              <w:instrText xml:space="preserve"> PAGEREF _Toc85066466 \h </w:instrText>
            </w:r>
            <w:r w:rsidR="009A2365">
              <w:rPr>
                <w:noProof/>
                <w:webHidden/>
              </w:rPr>
            </w:r>
            <w:r w:rsidR="009A2365">
              <w:rPr>
                <w:noProof/>
                <w:webHidden/>
              </w:rPr>
              <w:fldChar w:fldCharType="separate"/>
            </w:r>
            <w:r w:rsidR="009A2365">
              <w:rPr>
                <w:noProof/>
                <w:webHidden/>
              </w:rPr>
              <w:t>109</w:t>
            </w:r>
            <w:r w:rsidR="009A2365">
              <w:rPr>
                <w:noProof/>
                <w:webHidden/>
              </w:rPr>
              <w:fldChar w:fldCharType="end"/>
            </w:r>
          </w:hyperlink>
        </w:p>
        <w:p w14:paraId="1DD729FA" w14:textId="4333D15C"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67" w:history="1">
            <w:r w:rsidR="009A2365" w:rsidRPr="000A0915">
              <w:rPr>
                <w:rStyle w:val="Hyperlink"/>
                <w:noProof/>
              </w:rPr>
              <w:t>Chapter 6: How do inter-organisational collaborations drive performance improvements?</w:t>
            </w:r>
          </w:hyperlink>
          <w:r w:rsidR="009A2365">
            <w:rPr>
              <w:rFonts w:eastAsiaTheme="minorEastAsia" w:cstheme="minorBidi"/>
              <w:b w:val="0"/>
              <w:bCs w:val="0"/>
              <w:i w:val="0"/>
              <w:iCs w:val="0"/>
              <w:noProof/>
              <w:sz w:val="22"/>
              <w:szCs w:val="22"/>
              <w:lang w:eastAsia="en-GB"/>
            </w:rPr>
            <w:t xml:space="preserve"> </w:t>
          </w:r>
        </w:p>
        <w:p w14:paraId="627211FE" w14:textId="4EF6CD0E" w:rsidR="009A2365" w:rsidRDefault="008802A5">
          <w:pPr>
            <w:pStyle w:val="TOC2"/>
            <w:tabs>
              <w:tab w:val="right" w:leader="dot" w:pos="9016"/>
            </w:tabs>
            <w:rPr>
              <w:rFonts w:eastAsiaTheme="minorEastAsia" w:cstheme="minorBidi"/>
              <w:b w:val="0"/>
              <w:bCs w:val="0"/>
              <w:noProof/>
              <w:lang w:eastAsia="en-GB"/>
            </w:rPr>
          </w:pPr>
          <w:hyperlink w:anchor="_Toc85066468" w:history="1">
            <w:r w:rsidR="009A2365" w:rsidRPr="000A0915">
              <w:rPr>
                <w:rStyle w:val="Hyperlink"/>
                <w:noProof/>
              </w:rPr>
              <w:t>Background</w:t>
            </w:r>
            <w:r w:rsidR="009A2365">
              <w:rPr>
                <w:noProof/>
                <w:webHidden/>
              </w:rPr>
              <w:tab/>
            </w:r>
            <w:r w:rsidR="009A2365">
              <w:rPr>
                <w:noProof/>
                <w:webHidden/>
              </w:rPr>
              <w:fldChar w:fldCharType="begin"/>
            </w:r>
            <w:r w:rsidR="009A2365">
              <w:rPr>
                <w:noProof/>
                <w:webHidden/>
              </w:rPr>
              <w:instrText xml:space="preserve"> PAGEREF _Toc85066468 \h </w:instrText>
            </w:r>
            <w:r w:rsidR="009A2365">
              <w:rPr>
                <w:noProof/>
                <w:webHidden/>
              </w:rPr>
            </w:r>
            <w:r w:rsidR="009A2365">
              <w:rPr>
                <w:noProof/>
                <w:webHidden/>
              </w:rPr>
              <w:fldChar w:fldCharType="separate"/>
            </w:r>
            <w:r w:rsidR="009A2365">
              <w:rPr>
                <w:noProof/>
                <w:webHidden/>
              </w:rPr>
              <w:t>111</w:t>
            </w:r>
            <w:r w:rsidR="009A2365">
              <w:rPr>
                <w:noProof/>
                <w:webHidden/>
              </w:rPr>
              <w:fldChar w:fldCharType="end"/>
            </w:r>
          </w:hyperlink>
        </w:p>
        <w:p w14:paraId="4D2923A0" w14:textId="2366495A" w:rsidR="009A2365" w:rsidRDefault="008802A5">
          <w:pPr>
            <w:pStyle w:val="TOC2"/>
            <w:tabs>
              <w:tab w:val="right" w:leader="dot" w:pos="9016"/>
            </w:tabs>
            <w:rPr>
              <w:rFonts w:eastAsiaTheme="minorEastAsia" w:cstheme="minorBidi"/>
              <w:b w:val="0"/>
              <w:bCs w:val="0"/>
              <w:noProof/>
              <w:lang w:eastAsia="en-GB"/>
            </w:rPr>
          </w:pPr>
          <w:hyperlink w:anchor="_Toc85066469" w:history="1">
            <w:r w:rsidR="009A2365" w:rsidRPr="000A0915">
              <w:rPr>
                <w:rStyle w:val="Hyperlink"/>
                <w:noProof/>
              </w:rPr>
              <w:t>Analysing intermediate performance mechanisms and outcomes</w:t>
            </w:r>
            <w:r w:rsidR="009A2365">
              <w:rPr>
                <w:noProof/>
                <w:webHidden/>
              </w:rPr>
              <w:tab/>
            </w:r>
            <w:r w:rsidR="009A2365">
              <w:rPr>
                <w:noProof/>
                <w:webHidden/>
              </w:rPr>
              <w:fldChar w:fldCharType="begin"/>
            </w:r>
            <w:r w:rsidR="009A2365">
              <w:rPr>
                <w:noProof/>
                <w:webHidden/>
              </w:rPr>
              <w:instrText xml:space="preserve"> PAGEREF _Toc85066469 \h </w:instrText>
            </w:r>
            <w:r w:rsidR="009A2365">
              <w:rPr>
                <w:noProof/>
                <w:webHidden/>
              </w:rPr>
            </w:r>
            <w:r w:rsidR="009A2365">
              <w:rPr>
                <w:noProof/>
                <w:webHidden/>
              </w:rPr>
              <w:fldChar w:fldCharType="separate"/>
            </w:r>
            <w:r w:rsidR="009A2365">
              <w:rPr>
                <w:noProof/>
                <w:webHidden/>
              </w:rPr>
              <w:t>113</w:t>
            </w:r>
            <w:r w:rsidR="009A2365">
              <w:rPr>
                <w:noProof/>
                <w:webHidden/>
              </w:rPr>
              <w:fldChar w:fldCharType="end"/>
            </w:r>
          </w:hyperlink>
        </w:p>
        <w:p w14:paraId="3E488F9C" w14:textId="2039DBEA" w:rsidR="009A2365" w:rsidRDefault="008802A5">
          <w:pPr>
            <w:pStyle w:val="TOC3"/>
            <w:tabs>
              <w:tab w:val="right" w:leader="dot" w:pos="9016"/>
            </w:tabs>
            <w:rPr>
              <w:rFonts w:eastAsiaTheme="minorEastAsia" w:cstheme="minorBidi"/>
              <w:noProof/>
              <w:sz w:val="22"/>
              <w:szCs w:val="22"/>
              <w:lang w:eastAsia="en-GB"/>
            </w:rPr>
          </w:pPr>
          <w:hyperlink w:anchor="_Toc85066470" w:history="1">
            <w:r w:rsidR="009A2365" w:rsidRPr="000A0915">
              <w:rPr>
                <w:rStyle w:val="Hyperlink"/>
                <w:noProof/>
              </w:rPr>
              <w:t>Cultural Efficacy</w:t>
            </w:r>
            <w:r w:rsidR="009A2365">
              <w:rPr>
                <w:noProof/>
                <w:webHidden/>
              </w:rPr>
              <w:tab/>
            </w:r>
            <w:r w:rsidR="009A2365">
              <w:rPr>
                <w:noProof/>
                <w:webHidden/>
              </w:rPr>
              <w:fldChar w:fldCharType="begin"/>
            </w:r>
            <w:r w:rsidR="009A2365">
              <w:rPr>
                <w:noProof/>
                <w:webHidden/>
              </w:rPr>
              <w:instrText xml:space="preserve"> PAGEREF _Toc85066470 \h </w:instrText>
            </w:r>
            <w:r w:rsidR="009A2365">
              <w:rPr>
                <w:noProof/>
                <w:webHidden/>
              </w:rPr>
            </w:r>
            <w:r w:rsidR="009A2365">
              <w:rPr>
                <w:noProof/>
                <w:webHidden/>
              </w:rPr>
              <w:fldChar w:fldCharType="separate"/>
            </w:r>
            <w:r w:rsidR="009A2365">
              <w:rPr>
                <w:noProof/>
                <w:webHidden/>
              </w:rPr>
              <w:t>113</w:t>
            </w:r>
            <w:r w:rsidR="009A2365">
              <w:rPr>
                <w:noProof/>
                <w:webHidden/>
              </w:rPr>
              <w:fldChar w:fldCharType="end"/>
            </w:r>
          </w:hyperlink>
        </w:p>
        <w:p w14:paraId="00BA2F63" w14:textId="61FFD130" w:rsidR="009A2365" w:rsidRDefault="008802A5">
          <w:pPr>
            <w:pStyle w:val="TOC3"/>
            <w:tabs>
              <w:tab w:val="right" w:leader="dot" w:pos="9016"/>
            </w:tabs>
            <w:rPr>
              <w:rFonts w:eastAsiaTheme="minorEastAsia" w:cstheme="minorBidi"/>
              <w:noProof/>
              <w:sz w:val="22"/>
              <w:szCs w:val="22"/>
              <w:lang w:eastAsia="en-GB"/>
            </w:rPr>
          </w:pPr>
          <w:hyperlink w:anchor="_Toc85066471" w:history="1">
            <w:r w:rsidR="009A2365" w:rsidRPr="000A0915">
              <w:rPr>
                <w:rStyle w:val="Hyperlink"/>
                <w:noProof/>
              </w:rPr>
              <w:t>Organisational Efficiency</w:t>
            </w:r>
            <w:r w:rsidR="009A2365">
              <w:rPr>
                <w:noProof/>
                <w:webHidden/>
              </w:rPr>
              <w:tab/>
            </w:r>
            <w:r w:rsidR="009A2365">
              <w:rPr>
                <w:noProof/>
                <w:webHidden/>
              </w:rPr>
              <w:fldChar w:fldCharType="begin"/>
            </w:r>
            <w:r w:rsidR="009A2365">
              <w:rPr>
                <w:noProof/>
                <w:webHidden/>
              </w:rPr>
              <w:instrText xml:space="preserve"> PAGEREF _Toc85066471 \h </w:instrText>
            </w:r>
            <w:r w:rsidR="009A2365">
              <w:rPr>
                <w:noProof/>
                <w:webHidden/>
              </w:rPr>
            </w:r>
            <w:r w:rsidR="009A2365">
              <w:rPr>
                <w:noProof/>
                <w:webHidden/>
              </w:rPr>
              <w:fldChar w:fldCharType="separate"/>
            </w:r>
            <w:r w:rsidR="009A2365">
              <w:rPr>
                <w:noProof/>
                <w:webHidden/>
              </w:rPr>
              <w:t>117</w:t>
            </w:r>
            <w:r w:rsidR="009A2365">
              <w:rPr>
                <w:noProof/>
                <w:webHidden/>
              </w:rPr>
              <w:fldChar w:fldCharType="end"/>
            </w:r>
          </w:hyperlink>
        </w:p>
        <w:p w14:paraId="01B8A908" w14:textId="42EFBE88" w:rsidR="009A2365" w:rsidRDefault="008802A5">
          <w:pPr>
            <w:pStyle w:val="TOC3"/>
            <w:tabs>
              <w:tab w:val="right" w:leader="dot" w:pos="9016"/>
            </w:tabs>
            <w:rPr>
              <w:rFonts w:eastAsiaTheme="minorEastAsia" w:cstheme="minorBidi"/>
              <w:noProof/>
              <w:sz w:val="22"/>
              <w:szCs w:val="22"/>
              <w:lang w:eastAsia="en-GB"/>
            </w:rPr>
          </w:pPr>
          <w:hyperlink w:anchor="_Toc85066472" w:history="1">
            <w:r w:rsidR="009A2365" w:rsidRPr="000A0915">
              <w:rPr>
                <w:rStyle w:val="Hyperlink"/>
                <w:noProof/>
              </w:rPr>
              <w:t>Technological Effectiveness</w:t>
            </w:r>
            <w:r w:rsidR="009A2365">
              <w:rPr>
                <w:noProof/>
                <w:webHidden/>
              </w:rPr>
              <w:tab/>
            </w:r>
            <w:r w:rsidR="009A2365">
              <w:rPr>
                <w:noProof/>
                <w:webHidden/>
              </w:rPr>
              <w:fldChar w:fldCharType="begin"/>
            </w:r>
            <w:r w:rsidR="009A2365">
              <w:rPr>
                <w:noProof/>
                <w:webHidden/>
              </w:rPr>
              <w:instrText xml:space="preserve"> PAGEREF _Toc85066472 \h </w:instrText>
            </w:r>
            <w:r w:rsidR="009A2365">
              <w:rPr>
                <w:noProof/>
                <w:webHidden/>
              </w:rPr>
            </w:r>
            <w:r w:rsidR="009A2365">
              <w:rPr>
                <w:noProof/>
                <w:webHidden/>
              </w:rPr>
              <w:fldChar w:fldCharType="separate"/>
            </w:r>
            <w:r w:rsidR="009A2365">
              <w:rPr>
                <w:noProof/>
                <w:webHidden/>
              </w:rPr>
              <w:t>120</w:t>
            </w:r>
            <w:r w:rsidR="009A2365">
              <w:rPr>
                <w:noProof/>
                <w:webHidden/>
              </w:rPr>
              <w:fldChar w:fldCharType="end"/>
            </w:r>
          </w:hyperlink>
        </w:p>
        <w:p w14:paraId="24395700" w14:textId="34948816" w:rsidR="009A2365" w:rsidRDefault="008802A5">
          <w:pPr>
            <w:pStyle w:val="TOC2"/>
            <w:tabs>
              <w:tab w:val="right" w:leader="dot" w:pos="9016"/>
            </w:tabs>
            <w:rPr>
              <w:rFonts w:eastAsiaTheme="minorEastAsia" w:cstheme="minorBidi"/>
              <w:b w:val="0"/>
              <w:bCs w:val="0"/>
              <w:noProof/>
              <w:lang w:eastAsia="en-GB"/>
            </w:rPr>
          </w:pPr>
          <w:hyperlink w:anchor="_Toc85066473" w:history="1">
            <w:r w:rsidR="009A2365" w:rsidRPr="000A0915">
              <w:rPr>
                <w:rStyle w:val="Hyperlink"/>
                <w:noProof/>
              </w:rPr>
              <w:t>Depicting the relationships between collaborative performance mechanisms</w:t>
            </w:r>
            <w:r w:rsidR="009A2365">
              <w:rPr>
                <w:noProof/>
                <w:webHidden/>
              </w:rPr>
              <w:tab/>
            </w:r>
            <w:r w:rsidR="009A2365">
              <w:rPr>
                <w:noProof/>
                <w:webHidden/>
              </w:rPr>
              <w:fldChar w:fldCharType="begin"/>
            </w:r>
            <w:r w:rsidR="009A2365">
              <w:rPr>
                <w:noProof/>
                <w:webHidden/>
              </w:rPr>
              <w:instrText xml:space="preserve"> PAGEREF _Toc85066473 \h </w:instrText>
            </w:r>
            <w:r w:rsidR="009A2365">
              <w:rPr>
                <w:noProof/>
                <w:webHidden/>
              </w:rPr>
            </w:r>
            <w:r w:rsidR="009A2365">
              <w:rPr>
                <w:noProof/>
                <w:webHidden/>
              </w:rPr>
              <w:fldChar w:fldCharType="separate"/>
            </w:r>
            <w:r w:rsidR="009A2365">
              <w:rPr>
                <w:noProof/>
                <w:webHidden/>
              </w:rPr>
              <w:t>121</w:t>
            </w:r>
            <w:r w:rsidR="009A2365">
              <w:rPr>
                <w:noProof/>
                <w:webHidden/>
              </w:rPr>
              <w:fldChar w:fldCharType="end"/>
            </w:r>
          </w:hyperlink>
        </w:p>
        <w:p w14:paraId="46CB57BA" w14:textId="5323209C" w:rsidR="009A2365" w:rsidRDefault="008802A5">
          <w:pPr>
            <w:pStyle w:val="TOC3"/>
            <w:tabs>
              <w:tab w:val="right" w:leader="dot" w:pos="9016"/>
            </w:tabs>
            <w:rPr>
              <w:rFonts w:eastAsiaTheme="minorEastAsia" w:cstheme="minorBidi"/>
              <w:noProof/>
              <w:sz w:val="22"/>
              <w:szCs w:val="22"/>
              <w:lang w:eastAsia="en-GB"/>
            </w:rPr>
          </w:pPr>
          <w:hyperlink w:anchor="_Toc85066474" w:history="1">
            <w:r w:rsidR="009A2365" w:rsidRPr="000A0915">
              <w:rPr>
                <w:rStyle w:val="Hyperlink"/>
                <w:noProof/>
              </w:rPr>
              <w:t>Long-term outcomes</w:t>
            </w:r>
            <w:r w:rsidR="009A2365">
              <w:rPr>
                <w:noProof/>
                <w:webHidden/>
              </w:rPr>
              <w:tab/>
            </w:r>
            <w:r w:rsidR="009A2365">
              <w:rPr>
                <w:noProof/>
                <w:webHidden/>
              </w:rPr>
              <w:fldChar w:fldCharType="begin"/>
            </w:r>
            <w:r w:rsidR="009A2365">
              <w:rPr>
                <w:noProof/>
                <w:webHidden/>
              </w:rPr>
              <w:instrText xml:space="preserve"> PAGEREF _Toc85066474 \h </w:instrText>
            </w:r>
            <w:r w:rsidR="009A2365">
              <w:rPr>
                <w:noProof/>
                <w:webHidden/>
              </w:rPr>
            </w:r>
            <w:r w:rsidR="009A2365">
              <w:rPr>
                <w:noProof/>
                <w:webHidden/>
              </w:rPr>
              <w:fldChar w:fldCharType="separate"/>
            </w:r>
            <w:r w:rsidR="009A2365">
              <w:rPr>
                <w:noProof/>
                <w:webHidden/>
              </w:rPr>
              <w:t>123</w:t>
            </w:r>
            <w:r w:rsidR="009A2365">
              <w:rPr>
                <w:noProof/>
                <w:webHidden/>
              </w:rPr>
              <w:fldChar w:fldCharType="end"/>
            </w:r>
          </w:hyperlink>
        </w:p>
        <w:p w14:paraId="01F15906" w14:textId="1E847CD7" w:rsidR="009A2365" w:rsidRDefault="008802A5">
          <w:pPr>
            <w:pStyle w:val="TOC3"/>
            <w:tabs>
              <w:tab w:val="right" w:leader="dot" w:pos="9016"/>
            </w:tabs>
            <w:rPr>
              <w:rFonts w:eastAsiaTheme="minorEastAsia" w:cstheme="minorBidi"/>
              <w:noProof/>
              <w:sz w:val="22"/>
              <w:szCs w:val="22"/>
              <w:lang w:eastAsia="en-GB"/>
            </w:rPr>
          </w:pPr>
          <w:hyperlink w:anchor="_Toc85066475" w:history="1">
            <w:r w:rsidR="009A2365" w:rsidRPr="000A0915">
              <w:rPr>
                <w:rStyle w:val="Hyperlink"/>
                <w:noProof/>
              </w:rPr>
              <w:t>Patient perspectives on outcomes</w:t>
            </w:r>
            <w:r w:rsidR="009A2365">
              <w:rPr>
                <w:noProof/>
                <w:webHidden/>
              </w:rPr>
              <w:tab/>
            </w:r>
            <w:r w:rsidR="009A2365">
              <w:rPr>
                <w:noProof/>
                <w:webHidden/>
              </w:rPr>
              <w:fldChar w:fldCharType="begin"/>
            </w:r>
            <w:r w:rsidR="009A2365">
              <w:rPr>
                <w:noProof/>
                <w:webHidden/>
              </w:rPr>
              <w:instrText xml:space="preserve"> PAGEREF _Toc85066475 \h </w:instrText>
            </w:r>
            <w:r w:rsidR="009A2365">
              <w:rPr>
                <w:noProof/>
                <w:webHidden/>
              </w:rPr>
            </w:r>
            <w:r w:rsidR="009A2365">
              <w:rPr>
                <w:noProof/>
                <w:webHidden/>
              </w:rPr>
              <w:fldChar w:fldCharType="separate"/>
            </w:r>
            <w:r w:rsidR="009A2365">
              <w:rPr>
                <w:noProof/>
                <w:webHidden/>
              </w:rPr>
              <w:t>125</w:t>
            </w:r>
            <w:r w:rsidR="009A2365">
              <w:rPr>
                <w:noProof/>
                <w:webHidden/>
              </w:rPr>
              <w:fldChar w:fldCharType="end"/>
            </w:r>
          </w:hyperlink>
        </w:p>
        <w:p w14:paraId="22F0D9E7" w14:textId="320BB3E2" w:rsidR="009A2365" w:rsidRDefault="008802A5">
          <w:pPr>
            <w:pStyle w:val="TOC2"/>
            <w:tabs>
              <w:tab w:val="right" w:leader="dot" w:pos="9016"/>
            </w:tabs>
            <w:rPr>
              <w:rFonts w:eastAsiaTheme="minorEastAsia" w:cstheme="minorBidi"/>
              <w:b w:val="0"/>
              <w:bCs w:val="0"/>
              <w:noProof/>
              <w:lang w:eastAsia="en-GB"/>
            </w:rPr>
          </w:pPr>
          <w:hyperlink w:anchor="_Toc85066476" w:history="1">
            <w:r w:rsidR="009A2365" w:rsidRPr="000A0915">
              <w:rPr>
                <w:rStyle w:val="Hyperlink"/>
                <w:noProof/>
              </w:rPr>
              <w:t>Conclusion</w:t>
            </w:r>
            <w:r w:rsidR="009A2365">
              <w:rPr>
                <w:noProof/>
                <w:webHidden/>
              </w:rPr>
              <w:tab/>
            </w:r>
            <w:r w:rsidR="009A2365">
              <w:rPr>
                <w:noProof/>
                <w:webHidden/>
              </w:rPr>
              <w:fldChar w:fldCharType="begin"/>
            </w:r>
            <w:r w:rsidR="009A2365">
              <w:rPr>
                <w:noProof/>
                <w:webHidden/>
              </w:rPr>
              <w:instrText xml:space="preserve"> PAGEREF _Toc85066476 \h </w:instrText>
            </w:r>
            <w:r w:rsidR="009A2365">
              <w:rPr>
                <w:noProof/>
                <w:webHidden/>
              </w:rPr>
            </w:r>
            <w:r w:rsidR="009A2365">
              <w:rPr>
                <w:noProof/>
                <w:webHidden/>
              </w:rPr>
              <w:fldChar w:fldCharType="separate"/>
            </w:r>
            <w:r w:rsidR="009A2365">
              <w:rPr>
                <w:noProof/>
                <w:webHidden/>
              </w:rPr>
              <w:t>126</w:t>
            </w:r>
            <w:r w:rsidR="009A2365">
              <w:rPr>
                <w:noProof/>
                <w:webHidden/>
              </w:rPr>
              <w:fldChar w:fldCharType="end"/>
            </w:r>
          </w:hyperlink>
        </w:p>
        <w:p w14:paraId="0CE43888" w14:textId="102A1347"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77" w:history="1">
            <w:r w:rsidR="009A2365" w:rsidRPr="000A0915">
              <w:rPr>
                <w:rStyle w:val="Hyperlink"/>
                <w:noProof/>
              </w:rPr>
              <w:t>Chapter 7: Discussion and implications for translating realist theory into practice</w:t>
            </w:r>
            <w:r w:rsidR="009A2365">
              <w:rPr>
                <w:noProof/>
                <w:webHidden/>
              </w:rPr>
              <w:tab/>
            </w:r>
            <w:r w:rsidR="009A2365">
              <w:rPr>
                <w:noProof/>
                <w:webHidden/>
              </w:rPr>
              <w:fldChar w:fldCharType="begin"/>
            </w:r>
            <w:r w:rsidR="009A2365">
              <w:rPr>
                <w:noProof/>
                <w:webHidden/>
              </w:rPr>
              <w:instrText xml:space="preserve"> PAGEREF _Toc85066477 \h </w:instrText>
            </w:r>
            <w:r w:rsidR="009A2365">
              <w:rPr>
                <w:noProof/>
                <w:webHidden/>
              </w:rPr>
            </w:r>
            <w:r w:rsidR="009A2365">
              <w:rPr>
                <w:noProof/>
                <w:webHidden/>
              </w:rPr>
              <w:fldChar w:fldCharType="separate"/>
            </w:r>
            <w:r w:rsidR="009A2365">
              <w:rPr>
                <w:noProof/>
                <w:webHidden/>
              </w:rPr>
              <w:t>130</w:t>
            </w:r>
            <w:r w:rsidR="009A2365">
              <w:rPr>
                <w:noProof/>
                <w:webHidden/>
              </w:rPr>
              <w:fldChar w:fldCharType="end"/>
            </w:r>
          </w:hyperlink>
        </w:p>
        <w:p w14:paraId="2A597A12" w14:textId="4F11EFC3" w:rsidR="009A2365" w:rsidRDefault="008802A5">
          <w:pPr>
            <w:pStyle w:val="TOC2"/>
            <w:tabs>
              <w:tab w:val="right" w:leader="dot" w:pos="9016"/>
            </w:tabs>
            <w:rPr>
              <w:rFonts w:eastAsiaTheme="minorEastAsia" w:cstheme="minorBidi"/>
              <w:b w:val="0"/>
              <w:bCs w:val="0"/>
              <w:noProof/>
              <w:lang w:eastAsia="en-GB"/>
            </w:rPr>
          </w:pPr>
          <w:hyperlink w:anchor="_Toc85066478" w:history="1">
            <w:r w:rsidR="009A2365" w:rsidRPr="000A0915">
              <w:rPr>
                <w:rStyle w:val="Hyperlink"/>
                <w:noProof/>
              </w:rPr>
              <w:t>Developing a refined realist theory of inter-organisational collaboration</w:t>
            </w:r>
            <w:r w:rsidR="009A2365">
              <w:rPr>
                <w:noProof/>
                <w:webHidden/>
              </w:rPr>
              <w:tab/>
            </w:r>
            <w:r w:rsidR="009A2365">
              <w:rPr>
                <w:noProof/>
                <w:webHidden/>
              </w:rPr>
              <w:fldChar w:fldCharType="begin"/>
            </w:r>
            <w:r w:rsidR="009A2365">
              <w:rPr>
                <w:noProof/>
                <w:webHidden/>
              </w:rPr>
              <w:instrText xml:space="preserve"> PAGEREF _Toc85066478 \h </w:instrText>
            </w:r>
            <w:r w:rsidR="009A2365">
              <w:rPr>
                <w:noProof/>
                <w:webHidden/>
              </w:rPr>
            </w:r>
            <w:r w:rsidR="009A2365">
              <w:rPr>
                <w:noProof/>
                <w:webHidden/>
              </w:rPr>
              <w:fldChar w:fldCharType="separate"/>
            </w:r>
            <w:r w:rsidR="009A2365">
              <w:rPr>
                <w:noProof/>
                <w:webHidden/>
              </w:rPr>
              <w:t>130</w:t>
            </w:r>
            <w:r w:rsidR="009A2365">
              <w:rPr>
                <w:noProof/>
                <w:webHidden/>
              </w:rPr>
              <w:fldChar w:fldCharType="end"/>
            </w:r>
          </w:hyperlink>
        </w:p>
        <w:p w14:paraId="45ACD503" w14:textId="726D8B04" w:rsidR="009A2365" w:rsidRDefault="008802A5">
          <w:pPr>
            <w:pStyle w:val="TOC3"/>
            <w:tabs>
              <w:tab w:val="right" w:leader="dot" w:pos="9016"/>
            </w:tabs>
            <w:rPr>
              <w:rFonts w:eastAsiaTheme="minorEastAsia" w:cstheme="minorBidi"/>
              <w:noProof/>
              <w:sz w:val="22"/>
              <w:szCs w:val="22"/>
              <w:lang w:eastAsia="en-GB"/>
            </w:rPr>
          </w:pPr>
          <w:hyperlink w:anchor="_Toc85066479" w:history="1">
            <w:r w:rsidR="009A2365" w:rsidRPr="000A0915">
              <w:rPr>
                <w:rStyle w:val="Hyperlink"/>
                <w:noProof/>
              </w:rPr>
              <w:t>Theoretical implications</w:t>
            </w:r>
            <w:r w:rsidR="009A2365">
              <w:rPr>
                <w:noProof/>
                <w:webHidden/>
              </w:rPr>
              <w:tab/>
            </w:r>
            <w:r w:rsidR="009A2365">
              <w:rPr>
                <w:noProof/>
                <w:webHidden/>
              </w:rPr>
              <w:fldChar w:fldCharType="begin"/>
            </w:r>
            <w:r w:rsidR="009A2365">
              <w:rPr>
                <w:noProof/>
                <w:webHidden/>
              </w:rPr>
              <w:instrText xml:space="preserve"> PAGEREF _Toc85066479 \h </w:instrText>
            </w:r>
            <w:r w:rsidR="009A2365">
              <w:rPr>
                <w:noProof/>
                <w:webHidden/>
              </w:rPr>
            </w:r>
            <w:r w:rsidR="009A2365">
              <w:rPr>
                <w:noProof/>
                <w:webHidden/>
              </w:rPr>
              <w:fldChar w:fldCharType="separate"/>
            </w:r>
            <w:r w:rsidR="009A2365">
              <w:rPr>
                <w:noProof/>
                <w:webHidden/>
              </w:rPr>
              <w:t>132</w:t>
            </w:r>
            <w:r w:rsidR="009A2365">
              <w:rPr>
                <w:noProof/>
                <w:webHidden/>
              </w:rPr>
              <w:fldChar w:fldCharType="end"/>
            </w:r>
          </w:hyperlink>
        </w:p>
        <w:p w14:paraId="1274B114" w14:textId="1AA8F9F9" w:rsidR="009A2365" w:rsidRDefault="008802A5">
          <w:pPr>
            <w:pStyle w:val="TOC3"/>
            <w:tabs>
              <w:tab w:val="right" w:leader="dot" w:pos="9016"/>
            </w:tabs>
            <w:rPr>
              <w:rFonts w:eastAsiaTheme="minorEastAsia" w:cstheme="minorBidi"/>
              <w:noProof/>
              <w:sz w:val="22"/>
              <w:szCs w:val="22"/>
              <w:lang w:eastAsia="en-GB"/>
            </w:rPr>
          </w:pPr>
          <w:hyperlink w:anchor="_Toc85066480" w:history="1">
            <w:r w:rsidR="009A2365" w:rsidRPr="000A0915">
              <w:rPr>
                <w:rStyle w:val="Hyperlink"/>
                <w:noProof/>
              </w:rPr>
              <w:t>Empirical implications</w:t>
            </w:r>
            <w:r w:rsidR="009A2365">
              <w:rPr>
                <w:noProof/>
                <w:webHidden/>
              </w:rPr>
              <w:tab/>
            </w:r>
            <w:r w:rsidR="009A2365">
              <w:rPr>
                <w:noProof/>
                <w:webHidden/>
              </w:rPr>
              <w:fldChar w:fldCharType="begin"/>
            </w:r>
            <w:r w:rsidR="009A2365">
              <w:rPr>
                <w:noProof/>
                <w:webHidden/>
              </w:rPr>
              <w:instrText xml:space="preserve"> PAGEREF _Toc85066480 \h </w:instrText>
            </w:r>
            <w:r w:rsidR="009A2365">
              <w:rPr>
                <w:noProof/>
                <w:webHidden/>
              </w:rPr>
            </w:r>
            <w:r w:rsidR="009A2365">
              <w:rPr>
                <w:noProof/>
                <w:webHidden/>
              </w:rPr>
              <w:fldChar w:fldCharType="separate"/>
            </w:r>
            <w:r w:rsidR="009A2365">
              <w:rPr>
                <w:noProof/>
                <w:webHidden/>
              </w:rPr>
              <w:t>133</w:t>
            </w:r>
            <w:r w:rsidR="009A2365">
              <w:rPr>
                <w:noProof/>
                <w:webHidden/>
              </w:rPr>
              <w:fldChar w:fldCharType="end"/>
            </w:r>
          </w:hyperlink>
        </w:p>
        <w:p w14:paraId="21BA0FB4" w14:textId="49A85379" w:rsidR="009A2365" w:rsidRDefault="008802A5">
          <w:pPr>
            <w:pStyle w:val="TOC3"/>
            <w:tabs>
              <w:tab w:val="right" w:leader="dot" w:pos="9016"/>
            </w:tabs>
            <w:rPr>
              <w:rFonts w:eastAsiaTheme="minorEastAsia" w:cstheme="minorBidi"/>
              <w:noProof/>
              <w:sz w:val="22"/>
              <w:szCs w:val="22"/>
              <w:lang w:eastAsia="en-GB"/>
            </w:rPr>
          </w:pPr>
          <w:hyperlink w:anchor="_Toc85066481" w:history="1">
            <w:r w:rsidR="009A2365" w:rsidRPr="000A0915">
              <w:rPr>
                <w:rStyle w:val="Hyperlink"/>
                <w:noProof/>
              </w:rPr>
              <w:t>Policy implications</w:t>
            </w:r>
            <w:r w:rsidR="009A2365">
              <w:rPr>
                <w:noProof/>
                <w:webHidden/>
              </w:rPr>
              <w:tab/>
            </w:r>
            <w:r w:rsidR="009A2365">
              <w:rPr>
                <w:noProof/>
                <w:webHidden/>
              </w:rPr>
              <w:fldChar w:fldCharType="begin"/>
            </w:r>
            <w:r w:rsidR="009A2365">
              <w:rPr>
                <w:noProof/>
                <w:webHidden/>
              </w:rPr>
              <w:instrText xml:space="preserve"> PAGEREF _Toc85066481 \h </w:instrText>
            </w:r>
            <w:r w:rsidR="009A2365">
              <w:rPr>
                <w:noProof/>
                <w:webHidden/>
              </w:rPr>
            </w:r>
            <w:r w:rsidR="009A2365">
              <w:rPr>
                <w:noProof/>
                <w:webHidden/>
              </w:rPr>
              <w:fldChar w:fldCharType="separate"/>
            </w:r>
            <w:r w:rsidR="009A2365">
              <w:rPr>
                <w:noProof/>
                <w:webHidden/>
              </w:rPr>
              <w:t>134</w:t>
            </w:r>
            <w:r w:rsidR="009A2365">
              <w:rPr>
                <w:noProof/>
                <w:webHidden/>
              </w:rPr>
              <w:fldChar w:fldCharType="end"/>
            </w:r>
          </w:hyperlink>
        </w:p>
        <w:p w14:paraId="79F93225" w14:textId="626B1B99" w:rsidR="009A2365" w:rsidRDefault="008802A5">
          <w:pPr>
            <w:pStyle w:val="TOC2"/>
            <w:tabs>
              <w:tab w:val="right" w:leader="dot" w:pos="9016"/>
            </w:tabs>
            <w:rPr>
              <w:rFonts w:eastAsiaTheme="minorEastAsia" w:cstheme="minorBidi"/>
              <w:b w:val="0"/>
              <w:bCs w:val="0"/>
              <w:noProof/>
              <w:lang w:eastAsia="en-GB"/>
            </w:rPr>
          </w:pPr>
          <w:hyperlink w:anchor="_Toc85066482" w:history="1">
            <w:r w:rsidR="009A2365" w:rsidRPr="000A0915">
              <w:rPr>
                <w:rStyle w:val="Hyperlink"/>
                <w:noProof/>
              </w:rPr>
              <w:t>Developing Context Mechanism Outcome Configuration (CMOC) action statements for practice</w:t>
            </w:r>
          </w:hyperlink>
        </w:p>
        <w:p w14:paraId="6805B9C3" w14:textId="5E4F993C" w:rsidR="009A2365" w:rsidRDefault="008802A5">
          <w:pPr>
            <w:pStyle w:val="TOC2"/>
            <w:tabs>
              <w:tab w:val="right" w:leader="dot" w:pos="9016"/>
            </w:tabs>
            <w:rPr>
              <w:rFonts w:eastAsiaTheme="minorEastAsia" w:cstheme="minorBidi"/>
              <w:b w:val="0"/>
              <w:bCs w:val="0"/>
              <w:noProof/>
              <w:lang w:eastAsia="en-GB"/>
            </w:rPr>
          </w:pPr>
          <w:hyperlink w:anchor="_Toc85066483" w:history="1">
            <w:r w:rsidR="009A2365" w:rsidRPr="000A0915">
              <w:rPr>
                <w:rStyle w:val="Hyperlink"/>
                <w:noProof/>
              </w:rPr>
              <w:t>Designing diagnostic surveys for assessing collaboration</w:t>
            </w:r>
            <w:r w:rsidR="009A2365">
              <w:rPr>
                <w:noProof/>
                <w:webHidden/>
              </w:rPr>
              <w:tab/>
            </w:r>
            <w:r w:rsidR="009A2365">
              <w:rPr>
                <w:noProof/>
                <w:webHidden/>
              </w:rPr>
              <w:fldChar w:fldCharType="begin"/>
            </w:r>
            <w:r w:rsidR="009A2365">
              <w:rPr>
                <w:noProof/>
                <w:webHidden/>
              </w:rPr>
              <w:instrText xml:space="preserve"> PAGEREF _Toc85066483 \h </w:instrText>
            </w:r>
            <w:r w:rsidR="009A2365">
              <w:rPr>
                <w:noProof/>
                <w:webHidden/>
              </w:rPr>
            </w:r>
            <w:r w:rsidR="009A2365">
              <w:rPr>
                <w:noProof/>
                <w:webHidden/>
              </w:rPr>
              <w:fldChar w:fldCharType="separate"/>
            </w:r>
            <w:r w:rsidR="009A2365">
              <w:rPr>
                <w:noProof/>
                <w:webHidden/>
              </w:rPr>
              <w:t>138</w:t>
            </w:r>
            <w:r w:rsidR="009A2365">
              <w:rPr>
                <w:noProof/>
                <w:webHidden/>
              </w:rPr>
              <w:fldChar w:fldCharType="end"/>
            </w:r>
          </w:hyperlink>
        </w:p>
        <w:p w14:paraId="3EB465A7" w14:textId="11C28576" w:rsidR="009A2365" w:rsidRDefault="008802A5">
          <w:pPr>
            <w:pStyle w:val="TOC2"/>
            <w:tabs>
              <w:tab w:val="right" w:leader="dot" w:pos="9016"/>
            </w:tabs>
            <w:rPr>
              <w:rFonts w:eastAsiaTheme="minorEastAsia" w:cstheme="minorBidi"/>
              <w:b w:val="0"/>
              <w:bCs w:val="0"/>
              <w:noProof/>
              <w:lang w:eastAsia="en-GB"/>
            </w:rPr>
          </w:pPr>
          <w:hyperlink w:anchor="_Toc85066484" w:history="1">
            <w:r w:rsidR="009A2365" w:rsidRPr="000A0915">
              <w:rPr>
                <w:rStyle w:val="Hyperlink"/>
                <w:noProof/>
              </w:rPr>
              <w:t>Designing a maturity index for collaboration</w:t>
            </w:r>
            <w:r w:rsidR="009A2365">
              <w:rPr>
                <w:noProof/>
                <w:webHidden/>
              </w:rPr>
              <w:tab/>
            </w:r>
            <w:r w:rsidR="009A2365">
              <w:rPr>
                <w:noProof/>
                <w:webHidden/>
              </w:rPr>
              <w:fldChar w:fldCharType="begin"/>
            </w:r>
            <w:r w:rsidR="009A2365">
              <w:rPr>
                <w:noProof/>
                <w:webHidden/>
              </w:rPr>
              <w:instrText xml:space="preserve"> PAGEREF _Toc85066484 \h </w:instrText>
            </w:r>
            <w:r w:rsidR="009A2365">
              <w:rPr>
                <w:noProof/>
                <w:webHidden/>
              </w:rPr>
            </w:r>
            <w:r w:rsidR="009A2365">
              <w:rPr>
                <w:noProof/>
                <w:webHidden/>
              </w:rPr>
              <w:fldChar w:fldCharType="separate"/>
            </w:r>
            <w:r w:rsidR="009A2365">
              <w:rPr>
                <w:noProof/>
                <w:webHidden/>
              </w:rPr>
              <w:t>139</w:t>
            </w:r>
            <w:r w:rsidR="009A2365">
              <w:rPr>
                <w:noProof/>
                <w:webHidden/>
              </w:rPr>
              <w:fldChar w:fldCharType="end"/>
            </w:r>
          </w:hyperlink>
        </w:p>
        <w:p w14:paraId="29AC7C27" w14:textId="08757001"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85" w:history="1">
            <w:r w:rsidR="009A2365" w:rsidRPr="000A0915">
              <w:rPr>
                <w:rStyle w:val="Hyperlink"/>
                <w:noProof/>
              </w:rPr>
              <w:t>Limitations of the project</w:t>
            </w:r>
            <w:r w:rsidR="009A2365">
              <w:rPr>
                <w:noProof/>
                <w:webHidden/>
              </w:rPr>
              <w:tab/>
            </w:r>
            <w:r w:rsidR="009A2365">
              <w:rPr>
                <w:noProof/>
                <w:webHidden/>
              </w:rPr>
              <w:fldChar w:fldCharType="begin"/>
            </w:r>
            <w:r w:rsidR="009A2365">
              <w:rPr>
                <w:noProof/>
                <w:webHidden/>
              </w:rPr>
              <w:instrText xml:space="preserve"> PAGEREF _Toc85066485 \h </w:instrText>
            </w:r>
            <w:r w:rsidR="009A2365">
              <w:rPr>
                <w:noProof/>
                <w:webHidden/>
              </w:rPr>
            </w:r>
            <w:r w:rsidR="009A2365">
              <w:rPr>
                <w:noProof/>
                <w:webHidden/>
              </w:rPr>
              <w:fldChar w:fldCharType="separate"/>
            </w:r>
            <w:r w:rsidR="009A2365">
              <w:rPr>
                <w:noProof/>
                <w:webHidden/>
              </w:rPr>
              <w:t>145</w:t>
            </w:r>
            <w:r w:rsidR="009A2365">
              <w:rPr>
                <w:noProof/>
                <w:webHidden/>
              </w:rPr>
              <w:fldChar w:fldCharType="end"/>
            </w:r>
          </w:hyperlink>
        </w:p>
        <w:p w14:paraId="5923BEC1" w14:textId="3379B43A" w:rsidR="009A2365" w:rsidRDefault="008802A5">
          <w:pPr>
            <w:pStyle w:val="TOC2"/>
            <w:tabs>
              <w:tab w:val="right" w:leader="dot" w:pos="9016"/>
            </w:tabs>
            <w:rPr>
              <w:rFonts w:eastAsiaTheme="minorEastAsia" w:cstheme="minorBidi"/>
              <w:b w:val="0"/>
              <w:bCs w:val="0"/>
              <w:noProof/>
              <w:lang w:eastAsia="en-GB"/>
            </w:rPr>
          </w:pPr>
          <w:hyperlink w:anchor="_Toc85066486" w:history="1">
            <w:r w:rsidR="009A2365" w:rsidRPr="000A0915">
              <w:rPr>
                <w:rStyle w:val="Hyperlink"/>
                <w:noProof/>
              </w:rPr>
              <w:t>Literature component</w:t>
            </w:r>
            <w:r w:rsidR="009A2365">
              <w:rPr>
                <w:noProof/>
                <w:webHidden/>
              </w:rPr>
              <w:tab/>
            </w:r>
            <w:r w:rsidR="009A2365">
              <w:rPr>
                <w:noProof/>
                <w:webHidden/>
              </w:rPr>
              <w:fldChar w:fldCharType="begin"/>
            </w:r>
            <w:r w:rsidR="009A2365">
              <w:rPr>
                <w:noProof/>
                <w:webHidden/>
              </w:rPr>
              <w:instrText xml:space="preserve"> PAGEREF _Toc85066486 \h </w:instrText>
            </w:r>
            <w:r w:rsidR="009A2365">
              <w:rPr>
                <w:noProof/>
                <w:webHidden/>
              </w:rPr>
            </w:r>
            <w:r w:rsidR="009A2365">
              <w:rPr>
                <w:noProof/>
                <w:webHidden/>
              </w:rPr>
              <w:fldChar w:fldCharType="separate"/>
            </w:r>
            <w:r w:rsidR="009A2365">
              <w:rPr>
                <w:noProof/>
                <w:webHidden/>
              </w:rPr>
              <w:t>145</w:t>
            </w:r>
            <w:r w:rsidR="009A2365">
              <w:rPr>
                <w:noProof/>
                <w:webHidden/>
              </w:rPr>
              <w:fldChar w:fldCharType="end"/>
            </w:r>
          </w:hyperlink>
        </w:p>
        <w:p w14:paraId="4B59E31B" w14:textId="6EA55582" w:rsidR="009A2365" w:rsidRDefault="008802A5">
          <w:pPr>
            <w:pStyle w:val="TOC2"/>
            <w:tabs>
              <w:tab w:val="right" w:leader="dot" w:pos="9016"/>
            </w:tabs>
            <w:rPr>
              <w:rFonts w:eastAsiaTheme="minorEastAsia" w:cstheme="minorBidi"/>
              <w:b w:val="0"/>
              <w:bCs w:val="0"/>
              <w:noProof/>
              <w:lang w:eastAsia="en-GB"/>
            </w:rPr>
          </w:pPr>
          <w:hyperlink w:anchor="_Toc85066487" w:history="1">
            <w:r w:rsidR="009A2365" w:rsidRPr="000A0915">
              <w:rPr>
                <w:rStyle w:val="Hyperlink"/>
                <w:noProof/>
              </w:rPr>
              <w:t>Empirical component</w:t>
            </w:r>
            <w:r w:rsidR="009A2365">
              <w:rPr>
                <w:noProof/>
                <w:webHidden/>
              </w:rPr>
              <w:tab/>
            </w:r>
            <w:r w:rsidR="009A2365">
              <w:rPr>
                <w:noProof/>
                <w:webHidden/>
              </w:rPr>
              <w:fldChar w:fldCharType="begin"/>
            </w:r>
            <w:r w:rsidR="009A2365">
              <w:rPr>
                <w:noProof/>
                <w:webHidden/>
              </w:rPr>
              <w:instrText xml:space="preserve"> PAGEREF _Toc85066487 \h </w:instrText>
            </w:r>
            <w:r w:rsidR="009A2365">
              <w:rPr>
                <w:noProof/>
                <w:webHidden/>
              </w:rPr>
            </w:r>
            <w:r w:rsidR="009A2365">
              <w:rPr>
                <w:noProof/>
                <w:webHidden/>
              </w:rPr>
              <w:fldChar w:fldCharType="separate"/>
            </w:r>
            <w:r w:rsidR="009A2365">
              <w:rPr>
                <w:noProof/>
                <w:webHidden/>
              </w:rPr>
              <w:t>145</w:t>
            </w:r>
            <w:r w:rsidR="009A2365">
              <w:rPr>
                <w:noProof/>
                <w:webHidden/>
              </w:rPr>
              <w:fldChar w:fldCharType="end"/>
            </w:r>
          </w:hyperlink>
        </w:p>
        <w:p w14:paraId="526A595A" w14:textId="0475FF69" w:rsidR="009A2365" w:rsidRDefault="008802A5">
          <w:pPr>
            <w:pStyle w:val="TOC2"/>
            <w:tabs>
              <w:tab w:val="right" w:leader="dot" w:pos="9016"/>
            </w:tabs>
            <w:rPr>
              <w:rFonts w:eastAsiaTheme="minorEastAsia" w:cstheme="minorBidi"/>
              <w:b w:val="0"/>
              <w:bCs w:val="0"/>
              <w:noProof/>
              <w:lang w:eastAsia="en-GB"/>
            </w:rPr>
          </w:pPr>
          <w:hyperlink w:anchor="_Toc85066488" w:history="1">
            <w:r w:rsidR="009A2365" w:rsidRPr="000A0915">
              <w:rPr>
                <w:rStyle w:val="Hyperlink"/>
                <w:noProof/>
              </w:rPr>
              <w:t>Theoretical limitations</w:t>
            </w:r>
            <w:r w:rsidR="009A2365">
              <w:rPr>
                <w:noProof/>
                <w:webHidden/>
              </w:rPr>
              <w:tab/>
            </w:r>
            <w:r w:rsidR="009A2365">
              <w:rPr>
                <w:noProof/>
                <w:webHidden/>
              </w:rPr>
              <w:fldChar w:fldCharType="begin"/>
            </w:r>
            <w:r w:rsidR="009A2365">
              <w:rPr>
                <w:noProof/>
                <w:webHidden/>
              </w:rPr>
              <w:instrText xml:space="preserve"> PAGEREF _Toc85066488 \h </w:instrText>
            </w:r>
            <w:r w:rsidR="009A2365">
              <w:rPr>
                <w:noProof/>
                <w:webHidden/>
              </w:rPr>
            </w:r>
            <w:r w:rsidR="009A2365">
              <w:rPr>
                <w:noProof/>
                <w:webHidden/>
              </w:rPr>
              <w:fldChar w:fldCharType="separate"/>
            </w:r>
            <w:r w:rsidR="009A2365">
              <w:rPr>
                <w:noProof/>
                <w:webHidden/>
              </w:rPr>
              <w:t>146</w:t>
            </w:r>
            <w:r w:rsidR="009A2365">
              <w:rPr>
                <w:noProof/>
                <w:webHidden/>
              </w:rPr>
              <w:fldChar w:fldCharType="end"/>
            </w:r>
          </w:hyperlink>
        </w:p>
        <w:p w14:paraId="54F2A3AA" w14:textId="7B18A91C"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89" w:history="1">
            <w:r w:rsidR="009A2365" w:rsidRPr="000A0915">
              <w:rPr>
                <w:rStyle w:val="Hyperlink"/>
                <w:noProof/>
              </w:rPr>
              <w:t>Chapter 8 Conclusion and recommendations</w:t>
            </w:r>
            <w:r w:rsidR="009A2365">
              <w:rPr>
                <w:noProof/>
                <w:webHidden/>
              </w:rPr>
              <w:tab/>
            </w:r>
            <w:r w:rsidR="009A2365">
              <w:rPr>
                <w:noProof/>
                <w:webHidden/>
              </w:rPr>
              <w:fldChar w:fldCharType="begin"/>
            </w:r>
            <w:r w:rsidR="009A2365">
              <w:rPr>
                <w:noProof/>
                <w:webHidden/>
              </w:rPr>
              <w:instrText xml:space="preserve"> PAGEREF _Toc85066489 \h </w:instrText>
            </w:r>
            <w:r w:rsidR="009A2365">
              <w:rPr>
                <w:noProof/>
                <w:webHidden/>
              </w:rPr>
            </w:r>
            <w:r w:rsidR="009A2365">
              <w:rPr>
                <w:noProof/>
                <w:webHidden/>
              </w:rPr>
              <w:fldChar w:fldCharType="separate"/>
            </w:r>
            <w:r w:rsidR="009A2365">
              <w:rPr>
                <w:noProof/>
                <w:webHidden/>
              </w:rPr>
              <w:t>147</w:t>
            </w:r>
            <w:r w:rsidR="009A2365">
              <w:rPr>
                <w:noProof/>
                <w:webHidden/>
              </w:rPr>
              <w:fldChar w:fldCharType="end"/>
            </w:r>
          </w:hyperlink>
        </w:p>
        <w:p w14:paraId="7B7DA604" w14:textId="68E20CC6" w:rsidR="009A2365" w:rsidRDefault="008802A5">
          <w:pPr>
            <w:pStyle w:val="TOC2"/>
            <w:tabs>
              <w:tab w:val="right" w:leader="dot" w:pos="9016"/>
            </w:tabs>
            <w:rPr>
              <w:rFonts w:eastAsiaTheme="minorEastAsia" w:cstheme="minorBidi"/>
              <w:b w:val="0"/>
              <w:bCs w:val="0"/>
              <w:noProof/>
              <w:lang w:eastAsia="en-GB"/>
            </w:rPr>
          </w:pPr>
          <w:hyperlink w:anchor="_Toc85066490" w:history="1">
            <w:r w:rsidR="009A2365" w:rsidRPr="000A0915">
              <w:rPr>
                <w:rStyle w:val="Hyperlink"/>
                <w:noProof/>
              </w:rPr>
              <w:t>Achieving the research objectives</w:t>
            </w:r>
            <w:r w:rsidR="009A2365">
              <w:rPr>
                <w:noProof/>
                <w:webHidden/>
              </w:rPr>
              <w:tab/>
            </w:r>
            <w:r w:rsidR="009A2365">
              <w:rPr>
                <w:noProof/>
                <w:webHidden/>
              </w:rPr>
              <w:fldChar w:fldCharType="begin"/>
            </w:r>
            <w:r w:rsidR="009A2365">
              <w:rPr>
                <w:noProof/>
                <w:webHidden/>
              </w:rPr>
              <w:instrText xml:space="preserve"> PAGEREF _Toc85066490 \h </w:instrText>
            </w:r>
            <w:r w:rsidR="009A2365">
              <w:rPr>
                <w:noProof/>
                <w:webHidden/>
              </w:rPr>
            </w:r>
            <w:r w:rsidR="009A2365">
              <w:rPr>
                <w:noProof/>
                <w:webHidden/>
              </w:rPr>
              <w:fldChar w:fldCharType="separate"/>
            </w:r>
            <w:r w:rsidR="009A2365">
              <w:rPr>
                <w:noProof/>
                <w:webHidden/>
              </w:rPr>
              <w:t>147</w:t>
            </w:r>
            <w:r w:rsidR="009A2365">
              <w:rPr>
                <w:noProof/>
                <w:webHidden/>
              </w:rPr>
              <w:fldChar w:fldCharType="end"/>
            </w:r>
          </w:hyperlink>
        </w:p>
        <w:p w14:paraId="1E56F1EC" w14:textId="4919010A"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91" w:history="1">
            <w:r w:rsidR="009A2365" w:rsidRPr="000A0915">
              <w:rPr>
                <w:rStyle w:val="Hyperlink"/>
                <w:rFonts w:asciiTheme="majorHAnsi" w:eastAsiaTheme="majorEastAsia" w:hAnsiTheme="majorHAnsi" w:cstheme="majorBidi"/>
                <w:noProof/>
              </w:rPr>
              <w:t>Future research directions</w:t>
            </w:r>
            <w:r w:rsidR="009A2365">
              <w:rPr>
                <w:noProof/>
                <w:webHidden/>
              </w:rPr>
              <w:tab/>
            </w:r>
            <w:r w:rsidR="009A2365">
              <w:rPr>
                <w:noProof/>
                <w:webHidden/>
              </w:rPr>
              <w:fldChar w:fldCharType="begin"/>
            </w:r>
            <w:r w:rsidR="009A2365">
              <w:rPr>
                <w:noProof/>
                <w:webHidden/>
              </w:rPr>
              <w:instrText xml:space="preserve"> PAGEREF _Toc85066491 \h </w:instrText>
            </w:r>
            <w:r w:rsidR="009A2365">
              <w:rPr>
                <w:noProof/>
                <w:webHidden/>
              </w:rPr>
            </w:r>
            <w:r w:rsidR="009A2365">
              <w:rPr>
                <w:noProof/>
                <w:webHidden/>
              </w:rPr>
              <w:fldChar w:fldCharType="separate"/>
            </w:r>
            <w:r w:rsidR="009A2365">
              <w:rPr>
                <w:noProof/>
                <w:webHidden/>
              </w:rPr>
              <w:t>149</w:t>
            </w:r>
            <w:r w:rsidR="009A2365">
              <w:rPr>
                <w:noProof/>
                <w:webHidden/>
              </w:rPr>
              <w:fldChar w:fldCharType="end"/>
            </w:r>
          </w:hyperlink>
        </w:p>
        <w:p w14:paraId="088BB7FD" w14:textId="750C2717" w:rsidR="009A2365" w:rsidRDefault="008802A5">
          <w:pPr>
            <w:pStyle w:val="TOC2"/>
            <w:tabs>
              <w:tab w:val="right" w:leader="dot" w:pos="9016"/>
            </w:tabs>
            <w:rPr>
              <w:rFonts w:eastAsiaTheme="minorEastAsia" w:cstheme="minorBidi"/>
              <w:b w:val="0"/>
              <w:bCs w:val="0"/>
              <w:noProof/>
              <w:lang w:eastAsia="en-GB"/>
            </w:rPr>
          </w:pPr>
          <w:hyperlink w:anchor="_Toc85066492" w:history="1">
            <w:r w:rsidR="009A2365" w:rsidRPr="000A0915">
              <w:rPr>
                <w:rStyle w:val="Hyperlink"/>
                <w:noProof/>
              </w:rPr>
              <w:t>Acknowledgements</w:t>
            </w:r>
            <w:r w:rsidR="009A2365">
              <w:rPr>
                <w:noProof/>
                <w:webHidden/>
              </w:rPr>
              <w:tab/>
            </w:r>
            <w:r w:rsidR="009A2365">
              <w:rPr>
                <w:noProof/>
                <w:webHidden/>
              </w:rPr>
              <w:fldChar w:fldCharType="begin"/>
            </w:r>
            <w:r w:rsidR="009A2365">
              <w:rPr>
                <w:noProof/>
                <w:webHidden/>
              </w:rPr>
              <w:instrText xml:space="preserve"> PAGEREF _Toc85066492 \h </w:instrText>
            </w:r>
            <w:r w:rsidR="009A2365">
              <w:rPr>
                <w:noProof/>
                <w:webHidden/>
              </w:rPr>
            </w:r>
            <w:r w:rsidR="009A2365">
              <w:rPr>
                <w:noProof/>
                <w:webHidden/>
              </w:rPr>
              <w:fldChar w:fldCharType="separate"/>
            </w:r>
            <w:r w:rsidR="009A2365">
              <w:rPr>
                <w:noProof/>
                <w:webHidden/>
              </w:rPr>
              <w:t>151</w:t>
            </w:r>
            <w:r w:rsidR="009A2365">
              <w:rPr>
                <w:noProof/>
                <w:webHidden/>
              </w:rPr>
              <w:fldChar w:fldCharType="end"/>
            </w:r>
          </w:hyperlink>
        </w:p>
        <w:p w14:paraId="731E22CC" w14:textId="177DD950"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93" w:history="1">
            <w:r w:rsidR="009A2365" w:rsidRPr="000A0915">
              <w:rPr>
                <w:rStyle w:val="Hyperlink"/>
                <w:noProof/>
              </w:rPr>
              <w:t>References</w:t>
            </w:r>
            <w:r w:rsidR="009A2365">
              <w:rPr>
                <w:noProof/>
                <w:webHidden/>
              </w:rPr>
              <w:tab/>
            </w:r>
            <w:r w:rsidR="009A2365">
              <w:rPr>
                <w:noProof/>
                <w:webHidden/>
              </w:rPr>
              <w:fldChar w:fldCharType="begin"/>
            </w:r>
            <w:r w:rsidR="009A2365">
              <w:rPr>
                <w:noProof/>
                <w:webHidden/>
              </w:rPr>
              <w:instrText xml:space="preserve"> PAGEREF _Toc85066493 \h </w:instrText>
            </w:r>
            <w:r w:rsidR="009A2365">
              <w:rPr>
                <w:noProof/>
                <w:webHidden/>
              </w:rPr>
            </w:r>
            <w:r w:rsidR="009A2365">
              <w:rPr>
                <w:noProof/>
                <w:webHidden/>
              </w:rPr>
              <w:fldChar w:fldCharType="separate"/>
            </w:r>
            <w:r w:rsidR="009A2365">
              <w:rPr>
                <w:noProof/>
                <w:webHidden/>
              </w:rPr>
              <w:t>153</w:t>
            </w:r>
            <w:r w:rsidR="009A2365">
              <w:rPr>
                <w:noProof/>
                <w:webHidden/>
              </w:rPr>
              <w:fldChar w:fldCharType="end"/>
            </w:r>
          </w:hyperlink>
        </w:p>
        <w:p w14:paraId="6629EDA9" w14:textId="3BF8696F" w:rsidR="009A2365" w:rsidRDefault="008802A5">
          <w:pPr>
            <w:pStyle w:val="TOC1"/>
            <w:tabs>
              <w:tab w:val="right" w:leader="dot" w:pos="9016"/>
            </w:tabs>
            <w:rPr>
              <w:rFonts w:eastAsiaTheme="minorEastAsia" w:cstheme="minorBidi"/>
              <w:b w:val="0"/>
              <w:bCs w:val="0"/>
              <w:i w:val="0"/>
              <w:iCs w:val="0"/>
              <w:noProof/>
              <w:sz w:val="22"/>
              <w:szCs w:val="22"/>
              <w:lang w:eastAsia="en-GB"/>
            </w:rPr>
          </w:pPr>
          <w:hyperlink w:anchor="_Toc85066494" w:history="1">
            <w:r w:rsidR="009A2365" w:rsidRPr="000A0915">
              <w:rPr>
                <w:rStyle w:val="Hyperlink"/>
                <w:noProof/>
              </w:rPr>
              <w:t>Appendices</w:t>
            </w:r>
            <w:r w:rsidR="009A2365">
              <w:rPr>
                <w:noProof/>
                <w:webHidden/>
              </w:rPr>
              <w:tab/>
            </w:r>
            <w:r w:rsidR="009A2365">
              <w:rPr>
                <w:noProof/>
                <w:webHidden/>
              </w:rPr>
              <w:fldChar w:fldCharType="begin"/>
            </w:r>
            <w:r w:rsidR="009A2365">
              <w:rPr>
                <w:noProof/>
                <w:webHidden/>
              </w:rPr>
              <w:instrText xml:space="preserve"> PAGEREF _Toc85066494 \h </w:instrText>
            </w:r>
            <w:r w:rsidR="009A2365">
              <w:rPr>
                <w:noProof/>
                <w:webHidden/>
              </w:rPr>
            </w:r>
            <w:r w:rsidR="009A2365">
              <w:rPr>
                <w:noProof/>
                <w:webHidden/>
              </w:rPr>
              <w:fldChar w:fldCharType="separate"/>
            </w:r>
            <w:r w:rsidR="009A2365">
              <w:rPr>
                <w:noProof/>
                <w:webHidden/>
              </w:rPr>
              <w:t>174</w:t>
            </w:r>
            <w:r w:rsidR="009A2365">
              <w:rPr>
                <w:noProof/>
                <w:webHidden/>
              </w:rPr>
              <w:fldChar w:fldCharType="end"/>
            </w:r>
          </w:hyperlink>
        </w:p>
        <w:p w14:paraId="718F487B" w14:textId="1E55CC3A" w:rsidR="009A2365" w:rsidRDefault="008802A5">
          <w:pPr>
            <w:pStyle w:val="TOC2"/>
            <w:tabs>
              <w:tab w:val="right" w:leader="dot" w:pos="9016"/>
            </w:tabs>
            <w:rPr>
              <w:rFonts w:eastAsiaTheme="minorEastAsia" w:cstheme="minorBidi"/>
              <w:b w:val="0"/>
              <w:bCs w:val="0"/>
              <w:noProof/>
              <w:lang w:eastAsia="en-GB"/>
            </w:rPr>
          </w:pPr>
          <w:hyperlink w:anchor="_Toc85066495" w:history="1">
            <w:r w:rsidR="009A2365" w:rsidRPr="000A0915">
              <w:rPr>
                <w:rStyle w:val="Hyperlink"/>
                <w:noProof/>
              </w:rPr>
              <w:t>Appendix 1 – Initial Rough Theory Methodology</w:t>
            </w:r>
            <w:r w:rsidR="009A2365">
              <w:rPr>
                <w:noProof/>
                <w:webHidden/>
              </w:rPr>
              <w:tab/>
            </w:r>
            <w:r w:rsidR="009A2365">
              <w:rPr>
                <w:noProof/>
                <w:webHidden/>
              </w:rPr>
              <w:fldChar w:fldCharType="begin"/>
            </w:r>
            <w:r w:rsidR="009A2365">
              <w:rPr>
                <w:noProof/>
                <w:webHidden/>
              </w:rPr>
              <w:instrText xml:space="preserve"> PAGEREF _Toc85066495 \h </w:instrText>
            </w:r>
            <w:r w:rsidR="009A2365">
              <w:rPr>
                <w:noProof/>
                <w:webHidden/>
              </w:rPr>
            </w:r>
            <w:r w:rsidR="009A2365">
              <w:rPr>
                <w:noProof/>
                <w:webHidden/>
              </w:rPr>
              <w:fldChar w:fldCharType="separate"/>
            </w:r>
            <w:r w:rsidR="009A2365">
              <w:rPr>
                <w:noProof/>
                <w:webHidden/>
              </w:rPr>
              <w:t>174</w:t>
            </w:r>
            <w:r w:rsidR="009A2365">
              <w:rPr>
                <w:noProof/>
                <w:webHidden/>
              </w:rPr>
              <w:fldChar w:fldCharType="end"/>
            </w:r>
          </w:hyperlink>
        </w:p>
        <w:p w14:paraId="20DC7997" w14:textId="22E01B1B" w:rsidR="009A2365" w:rsidRDefault="008802A5">
          <w:pPr>
            <w:pStyle w:val="TOC2"/>
            <w:tabs>
              <w:tab w:val="right" w:leader="dot" w:pos="9016"/>
            </w:tabs>
            <w:rPr>
              <w:rFonts w:eastAsiaTheme="minorEastAsia" w:cstheme="minorBidi"/>
              <w:b w:val="0"/>
              <w:bCs w:val="0"/>
              <w:noProof/>
              <w:lang w:eastAsia="en-GB"/>
            </w:rPr>
          </w:pPr>
          <w:hyperlink w:anchor="_Toc85066496" w:history="1">
            <w:r w:rsidR="009A2365" w:rsidRPr="000A0915">
              <w:rPr>
                <w:rStyle w:val="Hyperlink"/>
                <w:noProof/>
              </w:rPr>
              <w:t>Appendix 2 – Life Cycle Methodology</w:t>
            </w:r>
            <w:r w:rsidR="009A2365">
              <w:rPr>
                <w:noProof/>
                <w:webHidden/>
              </w:rPr>
              <w:tab/>
            </w:r>
            <w:r w:rsidR="009A2365">
              <w:rPr>
                <w:noProof/>
                <w:webHidden/>
              </w:rPr>
              <w:fldChar w:fldCharType="begin"/>
            </w:r>
            <w:r w:rsidR="009A2365">
              <w:rPr>
                <w:noProof/>
                <w:webHidden/>
              </w:rPr>
              <w:instrText xml:space="preserve"> PAGEREF _Toc85066496 \h </w:instrText>
            </w:r>
            <w:r w:rsidR="009A2365">
              <w:rPr>
                <w:noProof/>
                <w:webHidden/>
              </w:rPr>
            </w:r>
            <w:r w:rsidR="009A2365">
              <w:rPr>
                <w:noProof/>
                <w:webHidden/>
              </w:rPr>
              <w:fldChar w:fldCharType="separate"/>
            </w:r>
            <w:r w:rsidR="009A2365">
              <w:rPr>
                <w:noProof/>
                <w:webHidden/>
              </w:rPr>
              <w:t>177</w:t>
            </w:r>
            <w:r w:rsidR="009A2365">
              <w:rPr>
                <w:noProof/>
                <w:webHidden/>
              </w:rPr>
              <w:fldChar w:fldCharType="end"/>
            </w:r>
          </w:hyperlink>
        </w:p>
        <w:p w14:paraId="453166B4" w14:textId="6FAF9E75" w:rsidR="009A2365" w:rsidRDefault="008802A5">
          <w:pPr>
            <w:pStyle w:val="TOC3"/>
            <w:tabs>
              <w:tab w:val="right" w:leader="dot" w:pos="9016"/>
            </w:tabs>
            <w:rPr>
              <w:rFonts w:eastAsiaTheme="minorEastAsia" w:cstheme="minorBidi"/>
              <w:noProof/>
              <w:sz w:val="22"/>
              <w:szCs w:val="22"/>
              <w:lang w:eastAsia="en-GB"/>
            </w:rPr>
          </w:pPr>
          <w:hyperlink w:anchor="_Toc85066497" w:history="1">
            <w:r w:rsidR="009A2365" w:rsidRPr="000A0915">
              <w:rPr>
                <w:rStyle w:val="Hyperlink"/>
                <w:noProof/>
                <w:lang w:val="en-US"/>
              </w:rPr>
              <w:t>‘Best fit’ framework synthesis methodology</w:t>
            </w:r>
            <w:r w:rsidR="009A2365">
              <w:rPr>
                <w:noProof/>
                <w:webHidden/>
              </w:rPr>
              <w:tab/>
            </w:r>
            <w:r w:rsidR="009A2365">
              <w:rPr>
                <w:noProof/>
                <w:webHidden/>
              </w:rPr>
              <w:fldChar w:fldCharType="begin"/>
            </w:r>
            <w:r w:rsidR="009A2365">
              <w:rPr>
                <w:noProof/>
                <w:webHidden/>
              </w:rPr>
              <w:instrText xml:space="preserve"> PAGEREF _Toc85066497 \h </w:instrText>
            </w:r>
            <w:r w:rsidR="009A2365">
              <w:rPr>
                <w:noProof/>
                <w:webHidden/>
              </w:rPr>
            </w:r>
            <w:r w:rsidR="009A2365">
              <w:rPr>
                <w:noProof/>
                <w:webHidden/>
              </w:rPr>
              <w:fldChar w:fldCharType="separate"/>
            </w:r>
            <w:r w:rsidR="009A2365">
              <w:rPr>
                <w:noProof/>
                <w:webHidden/>
              </w:rPr>
              <w:t>177</w:t>
            </w:r>
            <w:r w:rsidR="009A2365">
              <w:rPr>
                <w:noProof/>
                <w:webHidden/>
              </w:rPr>
              <w:fldChar w:fldCharType="end"/>
            </w:r>
          </w:hyperlink>
        </w:p>
        <w:p w14:paraId="133DE0DC" w14:textId="4C5354FA" w:rsidR="009A2365" w:rsidRDefault="008802A5">
          <w:pPr>
            <w:pStyle w:val="TOC3"/>
            <w:tabs>
              <w:tab w:val="right" w:leader="dot" w:pos="9016"/>
            </w:tabs>
            <w:rPr>
              <w:rFonts w:eastAsiaTheme="minorEastAsia" w:cstheme="minorBidi"/>
              <w:noProof/>
              <w:sz w:val="22"/>
              <w:szCs w:val="22"/>
              <w:lang w:eastAsia="en-GB"/>
            </w:rPr>
          </w:pPr>
          <w:hyperlink w:anchor="_Toc85066498" w:history="1">
            <w:r w:rsidR="009A2365" w:rsidRPr="000A0915">
              <w:rPr>
                <w:rStyle w:val="Hyperlink"/>
                <w:noProof/>
                <w:lang w:val="en-US"/>
              </w:rPr>
              <w:t>Systematic search</w:t>
            </w:r>
            <w:r w:rsidR="009A2365">
              <w:rPr>
                <w:noProof/>
                <w:webHidden/>
              </w:rPr>
              <w:tab/>
            </w:r>
            <w:r w:rsidR="009A2365">
              <w:rPr>
                <w:noProof/>
                <w:webHidden/>
              </w:rPr>
              <w:fldChar w:fldCharType="begin"/>
            </w:r>
            <w:r w:rsidR="009A2365">
              <w:rPr>
                <w:noProof/>
                <w:webHidden/>
              </w:rPr>
              <w:instrText xml:space="preserve"> PAGEREF _Toc85066498 \h </w:instrText>
            </w:r>
            <w:r w:rsidR="009A2365">
              <w:rPr>
                <w:noProof/>
                <w:webHidden/>
              </w:rPr>
            </w:r>
            <w:r w:rsidR="009A2365">
              <w:rPr>
                <w:noProof/>
                <w:webHidden/>
              </w:rPr>
              <w:fldChar w:fldCharType="separate"/>
            </w:r>
            <w:r w:rsidR="009A2365">
              <w:rPr>
                <w:noProof/>
                <w:webHidden/>
              </w:rPr>
              <w:t>177</w:t>
            </w:r>
            <w:r w:rsidR="009A2365">
              <w:rPr>
                <w:noProof/>
                <w:webHidden/>
              </w:rPr>
              <w:fldChar w:fldCharType="end"/>
            </w:r>
          </w:hyperlink>
        </w:p>
        <w:p w14:paraId="47E806C0" w14:textId="1F1B140F" w:rsidR="009A2365" w:rsidRDefault="008802A5">
          <w:pPr>
            <w:pStyle w:val="TOC2"/>
            <w:tabs>
              <w:tab w:val="right" w:leader="dot" w:pos="9016"/>
            </w:tabs>
            <w:rPr>
              <w:rFonts w:eastAsiaTheme="minorEastAsia" w:cstheme="minorBidi"/>
              <w:b w:val="0"/>
              <w:bCs w:val="0"/>
              <w:noProof/>
              <w:lang w:eastAsia="en-GB"/>
            </w:rPr>
          </w:pPr>
          <w:hyperlink w:anchor="_Toc85066499" w:history="1">
            <w:r w:rsidR="009A2365" w:rsidRPr="000A0915">
              <w:rPr>
                <w:rStyle w:val="Hyperlink"/>
                <w:noProof/>
              </w:rPr>
              <w:t>Appendix 3: Search Strategy</w:t>
            </w:r>
            <w:r w:rsidR="009A2365">
              <w:rPr>
                <w:noProof/>
                <w:webHidden/>
              </w:rPr>
              <w:tab/>
            </w:r>
            <w:r w:rsidR="009A2365">
              <w:rPr>
                <w:noProof/>
                <w:webHidden/>
              </w:rPr>
              <w:fldChar w:fldCharType="begin"/>
            </w:r>
            <w:r w:rsidR="009A2365">
              <w:rPr>
                <w:noProof/>
                <w:webHidden/>
              </w:rPr>
              <w:instrText xml:space="preserve"> PAGEREF _Toc85066499 \h </w:instrText>
            </w:r>
            <w:r w:rsidR="009A2365">
              <w:rPr>
                <w:noProof/>
                <w:webHidden/>
              </w:rPr>
            </w:r>
            <w:r w:rsidR="009A2365">
              <w:rPr>
                <w:noProof/>
                <w:webHidden/>
              </w:rPr>
              <w:fldChar w:fldCharType="separate"/>
            </w:r>
            <w:r w:rsidR="009A2365">
              <w:rPr>
                <w:noProof/>
                <w:webHidden/>
              </w:rPr>
              <w:t>179</w:t>
            </w:r>
            <w:r w:rsidR="009A2365">
              <w:rPr>
                <w:noProof/>
                <w:webHidden/>
              </w:rPr>
              <w:fldChar w:fldCharType="end"/>
            </w:r>
          </w:hyperlink>
        </w:p>
        <w:p w14:paraId="2B57E1BF" w14:textId="2AD6AE88" w:rsidR="009A2365" w:rsidRDefault="008802A5">
          <w:pPr>
            <w:pStyle w:val="TOC3"/>
            <w:tabs>
              <w:tab w:val="right" w:leader="dot" w:pos="9016"/>
            </w:tabs>
            <w:rPr>
              <w:rFonts w:eastAsiaTheme="minorEastAsia" w:cstheme="minorBidi"/>
              <w:noProof/>
              <w:sz w:val="22"/>
              <w:szCs w:val="22"/>
              <w:lang w:eastAsia="en-GB"/>
            </w:rPr>
          </w:pPr>
          <w:hyperlink w:anchor="_Toc85066500" w:history="1">
            <w:r w:rsidR="009A2365" w:rsidRPr="000A0915">
              <w:rPr>
                <w:rStyle w:val="Hyperlink"/>
                <w:noProof/>
              </w:rPr>
              <w:t>Theory gleaning:</w:t>
            </w:r>
            <w:r w:rsidR="009A2365">
              <w:rPr>
                <w:noProof/>
                <w:webHidden/>
              </w:rPr>
              <w:tab/>
            </w:r>
            <w:r w:rsidR="009A2365">
              <w:rPr>
                <w:noProof/>
                <w:webHidden/>
              </w:rPr>
              <w:fldChar w:fldCharType="begin"/>
            </w:r>
            <w:r w:rsidR="009A2365">
              <w:rPr>
                <w:noProof/>
                <w:webHidden/>
              </w:rPr>
              <w:instrText xml:space="preserve"> PAGEREF _Toc85066500 \h </w:instrText>
            </w:r>
            <w:r w:rsidR="009A2365">
              <w:rPr>
                <w:noProof/>
                <w:webHidden/>
              </w:rPr>
            </w:r>
            <w:r w:rsidR="009A2365">
              <w:rPr>
                <w:noProof/>
                <w:webHidden/>
              </w:rPr>
              <w:fldChar w:fldCharType="separate"/>
            </w:r>
            <w:r w:rsidR="009A2365">
              <w:rPr>
                <w:noProof/>
                <w:webHidden/>
              </w:rPr>
              <w:t>179</w:t>
            </w:r>
            <w:r w:rsidR="009A2365">
              <w:rPr>
                <w:noProof/>
                <w:webHidden/>
              </w:rPr>
              <w:fldChar w:fldCharType="end"/>
            </w:r>
          </w:hyperlink>
        </w:p>
        <w:p w14:paraId="657C28BD" w14:textId="42D4E2CE" w:rsidR="009A2365" w:rsidRDefault="008802A5">
          <w:pPr>
            <w:pStyle w:val="TOC3"/>
            <w:tabs>
              <w:tab w:val="right" w:leader="dot" w:pos="9016"/>
            </w:tabs>
            <w:rPr>
              <w:rFonts w:eastAsiaTheme="minorEastAsia" w:cstheme="minorBidi"/>
              <w:noProof/>
              <w:sz w:val="22"/>
              <w:szCs w:val="22"/>
              <w:lang w:eastAsia="en-GB"/>
            </w:rPr>
          </w:pPr>
          <w:hyperlink w:anchor="_Toc85066501" w:history="1">
            <w:r w:rsidR="009A2365" w:rsidRPr="000A0915">
              <w:rPr>
                <w:rStyle w:val="Hyperlink"/>
                <w:noProof/>
              </w:rPr>
              <w:t>Theory refining:</w:t>
            </w:r>
            <w:r w:rsidR="009A2365">
              <w:rPr>
                <w:noProof/>
                <w:webHidden/>
              </w:rPr>
              <w:tab/>
            </w:r>
            <w:r w:rsidR="009A2365">
              <w:rPr>
                <w:noProof/>
                <w:webHidden/>
              </w:rPr>
              <w:fldChar w:fldCharType="begin"/>
            </w:r>
            <w:r w:rsidR="009A2365">
              <w:rPr>
                <w:noProof/>
                <w:webHidden/>
              </w:rPr>
              <w:instrText xml:space="preserve"> PAGEREF _Toc85066501 \h </w:instrText>
            </w:r>
            <w:r w:rsidR="009A2365">
              <w:rPr>
                <w:noProof/>
                <w:webHidden/>
              </w:rPr>
            </w:r>
            <w:r w:rsidR="009A2365">
              <w:rPr>
                <w:noProof/>
                <w:webHidden/>
              </w:rPr>
              <w:fldChar w:fldCharType="separate"/>
            </w:r>
            <w:r w:rsidR="009A2365">
              <w:rPr>
                <w:noProof/>
                <w:webHidden/>
              </w:rPr>
              <w:t>181</w:t>
            </w:r>
            <w:r w:rsidR="009A2365">
              <w:rPr>
                <w:noProof/>
                <w:webHidden/>
              </w:rPr>
              <w:fldChar w:fldCharType="end"/>
            </w:r>
          </w:hyperlink>
        </w:p>
        <w:p w14:paraId="6733B805" w14:textId="11CEFD16" w:rsidR="009A2365" w:rsidRDefault="008802A5">
          <w:pPr>
            <w:pStyle w:val="TOC2"/>
            <w:tabs>
              <w:tab w:val="right" w:leader="dot" w:pos="9016"/>
            </w:tabs>
            <w:rPr>
              <w:rFonts w:eastAsiaTheme="minorEastAsia" w:cstheme="minorBidi"/>
              <w:b w:val="0"/>
              <w:bCs w:val="0"/>
              <w:noProof/>
              <w:lang w:eastAsia="en-GB"/>
            </w:rPr>
          </w:pPr>
          <w:hyperlink w:anchor="_Toc85066502" w:history="1">
            <w:r w:rsidR="009A2365" w:rsidRPr="000A0915">
              <w:rPr>
                <w:rStyle w:val="Hyperlink"/>
                <w:noProof/>
              </w:rPr>
              <w:t>Appendix 4 – Readiness for collaboration survey</w:t>
            </w:r>
            <w:r w:rsidR="009A2365">
              <w:rPr>
                <w:noProof/>
                <w:webHidden/>
              </w:rPr>
              <w:tab/>
            </w:r>
            <w:r w:rsidR="009A2365">
              <w:rPr>
                <w:noProof/>
                <w:webHidden/>
              </w:rPr>
              <w:fldChar w:fldCharType="begin"/>
            </w:r>
            <w:r w:rsidR="009A2365">
              <w:rPr>
                <w:noProof/>
                <w:webHidden/>
              </w:rPr>
              <w:instrText xml:space="preserve"> PAGEREF _Toc85066502 \h </w:instrText>
            </w:r>
            <w:r w:rsidR="009A2365">
              <w:rPr>
                <w:noProof/>
                <w:webHidden/>
              </w:rPr>
            </w:r>
            <w:r w:rsidR="009A2365">
              <w:rPr>
                <w:noProof/>
                <w:webHidden/>
              </w:rPr>
              <w:fldChar w:fldCharType="separate"/>
            </w:r>
            <w:r w:rsidR="009A2365">
              <w:rPr>
                <w:noProof/>
                <w:webHidden/>
              </w:rPr>
              <w:t>183</w:t>
            </w:r>
            <w:r w:rsidR="009A2365">
              <w:rPr>
                <w:noProof/>
                <w:webHidden/>
              </w:rPr>
              <w:fldChar w:fldCharType="end"/>
            </w:r>
          </w:hyperlink>
        </w:p>
        <w:p w14:paraId="061FAEFA" w14:textId="6083681B" w:rsidR="00E01984" w:rsidRDefault="00E01984" w:rsidP="00525BE0">
          <w:pPr>
            <w:jc w:val="both"/>
          </w:pPr>
          <w:r>
            <w:rPr>
              <w:b/>
              <w:bCs/>
              <w:noProof/>
            </w:rPr>
            <w:fldChar w:fldCharType="end"/>
          </w:r>
        </w:p>
      </w:sdtContent>
    </w:sdt>
    <w:p w14:paraId="08886AB7" w14:textId="77777777" w:rsidR="00E01984" w:rsidRPr="009B3BC2" w:rsidRDefault="00E01984" w:rsidP="00525BE0">
      <w:pPr>
        <w:jc w:val="both"/>
      </w:pPr>
    </w:p>
    <w:p w14:paraId="7590302A" w14:textId="77777777" w:rsidR="00E01984" w:rsidRPr="00E01984" w:rsidRDefault="00E01984" w:rsidP="00525BE0">
      <w:pPr>
        <w:jc w:val="both"/>
        <w:rPr>
          <w:lang w:eastAsia="en-GB"/>
        </w:rPr>
      </w:pPr>
    </w:p>
    <w:p w14:paraId="45538D3A" w14:textId="02695325" w:rsidR="004E57AF" w:rsidRDefault="004E57AF" w:rsidP="00525BE0">
      <w:pPr>
        <w:spacing w:after="0" w:line="240" w:lineRule="auto"/>
        <w:jc w:val="both"/>
        <w:rPr>
          <w:lang w:eastAsia="en-GB"/>
        </w:rPr>
      </w:pPr>
      <w:r>
        <w:rPr>
          <w:lang w:eastAsia="en-GB"/>
        </w:rPr>
        <w:br w:type="page"/>
      </w:r>
    </w:p>
    <w:p w14:paraId="6F1E292E" w14:textId="77777777" w:rsidR="004E57AF" w:rsidRDefault="004E57AF" w:rsidP="00525BE0">
      <w:pPr>
        <w:pStyle w:val="Heading2"/>
        <w:jc w:val="both"/>
      </w:pPr>
      <w:bookmarkStart w:id="4" w:name="_Toc85066393"/>
      <w:r>
        <w:t>List of figures</w:t>
      </w:r>
      <w:bookmarkEnd w:id="4"/>
    </w:p>
    <w:p w14:paraId="39C9C3B5" w14:textId="16560252" w:rsidR="00EA4B53" w:rsidRDefault="004E57AF">
      <w:pPr>
        <w:pStyle w:val="TableofFigures"/>
        <w:tabs>
          <w:tab w:val="right" w:pos="9016"/>
        </w:tabs>
        <w:rPr>
          <w:rFonts w:eastAsiaTheme="minorEastAsia" w:cstheme="minorBidi"/>
          <w:caps w:val="0"/>
          <w:noProof/>
          <w:sz w:val="24"/>
          <w:szCs w:val="24"/>
          <w:lang w:eastAsia="en-GB"/>
        </w:rPr>
      </w:pPr>
      <w:r>
        <w:fldChar w:fldCharType="begin"/>
      </w:r>
      <w:r>
        <w:instrText xml:space="preserve"> TOC \h \z \c "Figure" </w:instrText>
      </w:r>
      <w:r>
        <w:fldChar w:fldCharType="separate"/>
      </w:r>
      <w:hyperlink w:anchor="_Toc106181606" w:history="1">
        <w:r w:rsidR="00EA4B53" w:rsidRPr="00D83C06">
          <w:rPr>
            <w:rStyle w:val="Hyperlink"/>
            <w:noProof/>
          </w:rPr>
          <w:t>Figure 1. Forms of collaboration and rules of governance (adapted from Sullivan &amp; Skelcher</w:t>
        </w:r>
        <w:r w:rsidR="00804189">
          <w:rPr>
            <w:rStyle w:val="Hyperlink"/>
            <w:noProof/>
            <w:vertAlign w:val="superscript"/>
          </w:rPr>
          <w:t>63</w:t>
        </w:r>
        <w:r w:rsidR="00EA4B53" w:rsidRPr="00D83C06">
          <w:rPr>
            <w:rStyle w:val="Hyperlink"/>
            <w:noProof/>
          </w:rPr>
          <w:t>).</w:t>
        </w:r>
        <w:r w:rsidR="00EA4B53">
          <w:rPr>
            <w:noProof/>
            <w:webHidden/>
          </w:rPr>
          <w:tab/>
        </w:r>
        <w:r w:rsidR="00EA4B53">
          <w:rPr>
            <w:noProof/>
            <w:webHidden/>
          </w:rPr>
          <w:fldChar w:fldCharType="begin"/>
        </w:r>
        <w:r w:rsidR="00EA4B53">
          <w:rPr>
            <w:noProof/>
            <w:webHidden/>
          </w:rPr>
          <w:instrText xml:space="preserve"> PAGEREF _Toc106181606 \h </w:instrText>
        </w:r>
        <w:r w:rsidR="00EA4B53">
          <w:rPr>
            <w:noProof/>
            <w:webHidden/>
          </w:rPr>
        </w:r>
        <w:r w:rsidR="00EA4B53">
          <w:rPr>
            <w:noProof/>
            <w:webHidden/>
          </w:rPr>
          <w:fldChar w:fldCharType="separate"/>
        </w:r>
        <w:r w:rsidR="00EA4B53">
          <w:rPr>
            <w:noProof/>
            <w:webHidden/>
          </w:rPr>
          <w:t>27</w:t>
        </w:r>
        <w:r w:rsidR="00EA4B53">
          <w:rPr>
            <w:noProof/>
            <w:webHidden/>
          </w:rPr>
          <w:fldChar w:fldCharType="end"/>
        </w:r>
      </w:hyperlink>
    </w:p>
    <w:p w14:paraId="0C65B76C" w14:textId="2D4392AD" w:rsidR="00EA4B53" w:rsidRDefault="00EA4B53">
      <w:pPr>
        <w:pStyle w:val="TableofFigures"/>
        <w:tabs>
          <w:tab w:val="right" w:pos="9016"/>
        </w:tabs>
        <w:rPr>
          <w:rFonts w:eastAsiaTheme="minorEastAsia" w:cstheme="minorBidi"/>
          <w:caps w:val="0"/>
          <w:noProof/>
          <w:sz w:val="24"/>
          <w:szCs w:val="24"/>
          <w:lang w:eastAsia="en-GB"/>
        </w:rPr>
      </w:pPr>
      <w:hyperlink w:anchor="_Toc106181607" w:history="1">
        <w:r w:rsidRPr="00D83C06">
          <w:rPr>
            <w:rStyle w:val="Hyperlink"/>
            <w:noProof/>
          </w:rPr>
          <w:t>Figure 2. Depiction of axes of collaboration by Miller and Millar (2017).</w:t>
        </w:r>
        <w:r>
          <w:rPr>
            <w:noProof/>
            <w:webHidden/>
          </w:rPr>
          <w:tab/>
        </w:r>
        <w:r>
          <w:rPr>
            <w:noProof/>
            <w:webHidden/>
          </w:rPr>
          <w:fldChar w:fldCharType="begin"/>
        </w:r>
        <w:r>
          <w:rPr>
            <w:noProof/>
            <w:webHidden/>
          </w:rPr>
          <w:instrText xml:space="preserve"> PAGEREF _Toc106181607 \h </w:instrText>
        </w:r>
        <w:r>
          <w:rPr>
            <w:noProof/>
            <w:webHidden/>
          </w:rPr>
        </w:r>
        <w:r>
          <w:rPr>
            <w:noProof/>
            <w:webHidden/>
          </w:rPr>
          <w:fldChar w:fldCharType="separate"/>
        </w:r>
        <w:r>
          <w:rPr>
            <w:noProof/>
            <w:webHidden/>
          </w:rPr>
          <w:t>27</w:t>
        </w:r>
        <w:r>
          <w:rPr>
            <w:noProof/>
            <w:webHidden/>
          </w:rPr>
          <w:fldChar w:fldCharType="end"/>
        </w:r>
      </w:hyperlink>
    </w:p>
    <w:p w14:paraId="353A5458" w14:textId="42DB7072" w:rsidR="00EA4B53" w:rsidRDefault="00EA4B53">
      <w:pPr>
        <w:pStyle w:val="TableofFigures"/>
        <w:tabs>
          <w:tab w:val="right" w:pos="9016"/>
        </w:tabs>
        <w:rPr>
          <w:rFonts w:eastAsiaTheme="minorEastAsia" w:cstheme="minorBidi"/>
          <w:caps w:val="0"/>
          <w:noProof/>
          <w:sz w:val="24"/>
          <w:szCs w:val="24"/>
          <w:lang w:eastAsia="en-GB"/>
        </w:rPr>
      </w:pPr>
      <w:hyperlink w:anchor="_Toc106181608" w:history="1">
        <w:r w:rsidRPr="00D83C06">
          <w:rPr>
            <w:rStyle w:val="Hyperlink"/>
            <w:noProof/>
          </w:rPr>
          <w:t xml:space="preserve">Figure 3. Typology of provider collaborative models proposed by the Dalton Review </w:t>
        </w:r>
        <w:r w:rsidRPr="00D83C06">
          <w:rPr>
            <w:rStyle w:val="Hyperlink"/>
            <w:noProof/>
            <w:vertAlign w:val="superscript"/>
          </w:rPr>
          <w:t>4</w:t>
        </w:r>
        <w:r w:rsidRPr="00D83C06">
          <w:rPr>
            <w:rStyle w:val="Hyperlink"/>
            <w:noProof/>
          </w:rPr>
          <w:t>.</w:t>
        </w:r>
        <w:r>
          <w:rPr>
            <w:noProof/>
            <w:webHidden/>
          </w:rPr>
          <w:tab/>
        </w:r>
        <w:r>
          <w:rPr>
            <w:noProof/>
            <w:webHidden/>
          </w:rPr>
          <w:fldChar w:fldCharType="begin"/>
        </w:r>
        <w:r>
          <w:rPr>
            <w:noProof/>
            <w:webHidden/>
          </w:rPr>
          <w:instrText xml:space="preserve"> PAGEREF _Toc106181608 \h </w:instrText>
        </w:r>
        <w:r>
          <w:rPr>
            <w:noProof/>
            <w:webHidden/>
          </w:rPr>
        </w:r>
        <w:r>
          <w:rPr>
            <w:noProof/>
            <w:webHidden/>
          </w:rPr>
          <w:fldChar w:fldCharType="separate"/>
        </w:r>
        <w:r>
          <w:rPr>
            <w:noProof/>
            <w:webHidden/>
          </w:rPr>
          <w:t>28</w:t>
        </w:r>
        <w:r>
          <w:rPr>
            <w:noProof/>
            <w:webHidden/>
          </w:rPr>
          <w:fldChar w:fldCharType="end"/>
        </w:r>
      </w:hyperlink>
    </w:p>
    <w:p w14:paraId="19C290F5" w14:textId="57A865C1" w:rsidR="00EA4B53" w:rsidRDefault="00EA4B53">
      <w:pPr>
        <w:pStyle w:val="TableofFigures"/>
        <w:tabs>
          <w:tab w:val="right" w:pos="9016"/>
        </w:tabs>
        <w:rPr>
          <w:rFonts w:eastAsiaTheme="minorEastAsia" w:cstheme="minorBidi"/>
          <w:caps w:val="0"/>
          <w:noProof/>
          <w:sz w:val="24"/>
          <w:szCs w:val="24"/>
          <w:lang w:eastAsia="en-GB"/>
        </w:rPr>
      </w:pPr>
      <w:hyperlink w:anchor="_Toc106181609" w:history="1">
        <w:r w:rsidRPr="00D83C06">
          <w:rPr>
            <w:rStyle w:val="Hyperlink"/>
            <w:noProof/>
          </w:rPr>
          <w:t>Figure 4. A framework of acute care collaboration models, depicting organisational forms by their degree of organisational integration as well as the scope of services they intend to deliver (NHS England, 2018).</w:t>
        </w:r>
        <w:r>
          <w:rPr>
            <w:noProof/>
            <w:webHidden/>
          </w:rPr>
          <w:tab/>
        </w:r>
        <w:r>
          <w:rPr>
            <w:noProof/>
            <w:webHidden/>
          </w:rPr>
          <w:fldChar w:fldCharType="begin"/>
        </w:r>
        <w:r>
          <w:rPr>
            <w:noProof/>
            <w:webHidden/>
          </w:rPr>
          <w:instrText xml:space="preserve"> PAGEREF _Toc106181609 \h </w:instrText>
        </w:r>
        <w:r>
          <w:rPr>
            <w:noProof/>
            <w:webHidden/>
          </w:rPr>
        </w:r>
        <w:r>
          <w:rPr>
            <w:noProof/>
            <w:webHidden/>
          </w:rPr>
          <w:fldChar w:fldCharType="separate"/>
        </w:r>
        <w:r>
          <w:rPr>
            <w:noProof/>
            <w:webHidden/>
          </w:rPr>
          <w:t>29</w:t>
        </w:r>
        <w:r>
          <w:rPr>
            <w:noProof/>
            <w:webHidden/>
          </w:rPr>
          <w:fldChar w:fldCharType="end"/>
        </w:r>
      </w:hyperlink>
    </w:p>
    <w:p w14:paraId="583FCA70" w14:textId="0FA6F6DC" w:rsidR="00EA4B53" w:rsidRDefault="00EA4B53">
      <w:pPr>
        <w:pStyle w:val="TableofFigures"/>
        <w:tabs>
          <w:tab w:val="right" w:pos="9016"/>
        </w:tabs>
        <w:rPr>
          <w:rFonts w:eastAsiaTheme="minorEastAsia" w:cstheme="minorBidi"/>
          <w:caps w:val="0"/>
          <w:noProof/>
          <w:sz w:val="24"/>
          <w:szCs w:val="24"/>
          <w:lang w:eastAsia="en-GB"/>
        </w:rPr>
      </w:pPr>
      <w:hyperlink w:anchor="_Toc106181610" w:history="1">
        <w:r w:rsidRPr="00D83C06">
          <w:rPr>
            <w:rStyle w:val="Hyperlink"/>
            <w:noProof/>
          </w:rPr>
          <w:t>Figure 5. Depiction of typology by Northern Ireland Audit Office (2019).</w:t>
        </w:r>
        <w:r>
          <w:rPr>
            <w:noProof/>
            <w:webHidden/>
          </w:rPr>
          <w:tab/>
        </w:r>
        <w:r>
          <w:rPr>
            <w:noProof/>
            <w:webHidden/>
          </w:rPr>
          <w:fldChar w:fldCharType="begin"/>
        </w:r>
        <w:r>
          <w:rPr>
            <w:noProof/>
            <w:webHidden/>
          </w:rPr>
          <w:instrText xml:space="preserve"> PAGEREF _Toc106181610 \h </w:instrText>
        </w:r>
        <w:r>
          <w:rPr>
            <w:noProof/>
            <w:webHidden/>
          </w:rPr>
        </w:r>
        <w:r>
          <w:rPr>
            <w:noProof/>
            <w:webHidden/>
          </w:rPr>
          <w:fldChar w:fldCharType="separate"/>
        </w:r>
        <w:r>
          <w:rPr>
            <w:noProof/>
            <w:webHidden/>
          </w:rPr>
          <w:t>29</w:t>
        </w:r>
        <w:r>
          <w:rPr>
            <w:noProof/>
            <w:webHidden/>
          </w:rPr>
          <w:fldChar w:fldCharType="end"/>
        </w:r>
      </w:hyperlink>
    </w:p>
    <w:p w14:paraId="224616D0" w14:textId="0E9F8A48" w:rsidR="00EA4B53" w:rsidRDefault="00EA4B53">
      <w:pPr>
        <w:pStyle w:val="TableofFigures"/>
        <w:tabs>
          <w:tab w:val="right" w:pos="9016"/>
        </w:tabs>
        <w:rPr>
          <w:rFonts w:eastAsiaTheme="minorEastAsia" w:cstheme="minorBidi"/>
          <w:caps w:val="0"/>
          <w:noProof/>
          <w:sz w:val="24"/>
          <w:szCs w:val="24"/>
          <w:lang w:eastAsia="en-GB"/>
        </w:rPr>
      </w:pPr>
      <w:hyperlink r:id="rId9" w:anchor="_Toc106181611" w:history="1">
        <w:r w:rsidRPr="00D83C06">
          <w:rPr>
            <w:rStyle w:val="Hyperlink"/>
            <w:noProof/>
          </w:rPr>
          <w:t>Figure 6. Depicting the drivers for inter-organisational collaboration</w:t>
        </w:r>
        <w:r>
          <w:rPr>
            <w:noProof/>
            <w:webHidden/>
          </w:rPr>
          <w:tab/>
        </w:r>
        <w:r>
          <w:rPr>
            <w:noProof/>
            <w:webHidden/>
          </w:rPr>
          <w:fldChar w:fldCharType="begin"/>
        </w:r>
        <w:r>
          <w:rPr>
            <w:noProof/>
            <w:webHidden/>
          </w:rPr>
          <w:instrText xml:space="preserve"> PAGEREF _Toc106181611 \h </w:instrText>
        </w:r>
        <w:r>
          <w:rPr>
            <w:noProof/>
            <w:webHidden/>
          </w:rPr>
        </w:r>
        <w:r>
          <w:rPr>
            <w:noProof/>
            <w:webHidden/>
          </w:rPr>
          <w:fldChar w:fldCharType="separate"/>
        </w:r>
        <w:r>
          <w:rPr>
            <w:noProof/>
            <w:webHidden/>
          </w:rPr>
          <w:t>38</w:t>
        </w:r>
        <w:r>
          <w:rPr>
            <w:noProof/>
            <w:webHidden/>
          </w:rPr>
          <w:fldChar w:fldCharType="end"/>
        </w:r>
      </w:hyperlink>
    </w:p>
    <w:p w14:paraId="75E5E128" w14:textId="7E6C545E" w:rsidR="00EA4B53" w:rsidRDefault="00EA4B53">
      <w:pPr>
        <w:pStyle w:val="TableofFigures"/>
        <w:tabs>
          <w:tab w:val="right" w:pos="9016"/>
        </w:tabs>
        <w:rPr>
          <w:rFonts w:eastAsiaTheme="minorEastAsia" w:cstheme="minorBidi"/>
          <w:caps w:val="0"/>
          <w:noProof/>
          <w:sz w:val="24"/>
          <w:szCs w:val="24"/>
          <w:lang w:eastAsia="en-GB"/>
        </w:rPr>
      </w:pPr>
      <w:hyperlink w:anchor="_Toc106181612" w:history="1">
        <w:r w:rsidRPr="00D83C06">
          <w:rPr>
            <w:rStyle w:val="Hyperlink"/>
            <w:noProof/>
          </w:rPr>
          <w:t>Figure 7. Depiction of domains key to integrative efforts by the Advancing Quality Alliance (2014).</w:t>
        </w:r>
        <w:r>
          <w:rPr>
            <w:noProof/>
            <w:webHidden/>
          </w:rPr>
          <w:tab/>
        </w:r>
        <w:r>
          <w:rPr>
            <w:noProof/>
            <w:webHidden/>
          </w:rPr>
          <w:fldChar w:fldCharType="begin"/>
        </w:r>
        <w:r>
          <w:rPr>
            <w:noProof/>
            <w:webHidden/>
          </w:rPr>
          <w:instrText xml:space="preserve"> PAGEREF _Toc106181612 \h </w:instrText>
        </w:r>
        <w:r>
          <w:rPr>
            <w:noProof/>
            <w:webHidden/>
          </w:rPr>
        </w:r>
        <w:r>
          <w:rPr>
            <w:noProof/>
            <w:webHidden/>
          </w:rPr>
          <w:fldChar w:fldCharType="separate"/>
        </w:r>
        <w:r>
          <w:rPr>
            <w:noProof/>
            <w:webHidden/>
          </w:rPr>
          <w:t>39</w:t>
        </w:r>
        <w:r>
          <w:rPr>
            <w:noProof/>
            <w:webHidden/>
          </w:rPr>
          <w:fldChar w:fldCharType="end"/>
        </w:r>
      </w:hyperlink>
    </w:p>
    <w:p w14:paraId="0EFBB332" w14:textId="7ACA391A"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613" w:history="1">
        <w:r w:rsidRPr="006D770F">
          <w:rPr>
            <w:rStyle w:val="Hyperlink"/>
            <w:noProof/>
          </w:rPr>
          <w:t>Figure 8.  A life cycle model of Inter-Organisational Collaboration</w:t>
        </w:r>
        <w:r w:rsidRPr="003153A1">
          <w:rPr>
            <w:noProof/>
            <w:webHidden/>
          </w:rPr>
          <w:tab/>
        </w:r>
        <w:r w:rsidRPr="003153A1">
          <w:rPr>
            <w:noProof/>
            <w:webHidden/>
          </w:rPr>
          <w:fldChar w:fldCharType="begin"/>
        </w:r>
        <w:r w:rsidRPr="003153A1">
          <w:rPr>
            <w:noProof/>
            <w:webHidden/>
          </w:rPr>
          <w:instrText xml:space="preserve"> PAGEREF _Toc106181613 \h </w:instrText>
        </w:r>
        <w:r w:rsidRPr="003153A1">
          <w:rPr>
            <w:noProof/>
            <w:webHidden/>
          </w:rPr>
        </w:r>
        <w:r w:rsidRPr="003153A1">
          <w:rPr>
            <w:noProof/>
            <w:webHidden/>
          </w:rPr>
          <w:fldChar w:fldCharType="separate"/>
        </w:r>
        <w:r w:rsidRPr="003153A1">
          <w:rPr>
            <w:noProof/>
            <w:webHidden/>
          </w:rPr>
          <w:t>44</w:t>
        </w:r>
        <w:r w:rsidRPr="003153A1">
          <w:rPr>
            <w:noProof/>
            <w:webHidden/>
          </w:rPr>
          <w:fldChar w:fldCharType="end"/>
        </w:r>
      </w:hyperlink>
    </w:p>
    <w:p w14:paraId="69163BC9" w14:textId="4FD6FE1F" w:rsidR="00EA4B53" w:rsidRDefault="00EA4B53">
      <w:pPr>
        <w:pStyle w:val="TableofFigures"/>
        <w:tabs>
          <w:tab w:val="right" w:pos="9016"/>
        </w:tabs>
        <w:rPr>
          <w:rFonts w:eastAsiaTheme="minorEastAsia" w:cstheme="minorBidi"/>
          <w:caps w:val="0"/>
          <w:noProof/>
          <w:sz w:val="24"/>
          <w:szCs w:val="24"/>
          <w:lang w:eastAsia="en-GB"/>
        </w:rPr>
      </w:pPr>
      <w:hyperlink w:anchor="_Toc106181614" w:history="1">
        <w:r w:rsidRPr="00D83C06">
          <w:rPr>
            <w:rStyle w:val="Hyperlink"/>
            <w:noProof/>
          </w:rPr>
          <w:t>Figure 9. Depiction of phases in developing realist theory</w:t>
        </w:r>
        <w:r>
          <w:rPr>
            <w:noProof/>
            <w:webHidden/>
          </w:rPr>
          <w:tab/>
        </w:r>
        <w:r>
          <w:rPr>
            <w:noProof/>
            <w:webHidden/>
          </w:rPr>
          <w:fldChar w:fldCharType="begin"/>
        </w:r>
        <w:r>
          <w:rPr>
            <w:noProof/>
            <w:webHidden/>
          </w:rPr>
          <w:instrText xml:space="preserve"> PAGEREF _Toc106181614 \h </w:instrText>
        </w:r>
        <w:r>
          <w:rPr>
            <w:noProof/>
            <w:webHidden/>
          </w:rPr>
        </w:r>
        <w:r>
          <w:rPr>
            <w:noProof/>
            <w:webHidden/>
          </w:rPr>
          <w:fldChar w:fldCharType="separate"/>
        </w:r>
        <w:r>
          <w:rPr>
            <w:noProof/>
            <w:webHidden/>
          </w:rPr>
          <w:t>49</w:t>
        </w:r>
        <w:r>
          <w:rPr>
            <w:noProof/>
            <w:webHidden/>
          </w:rPr>
          <w:fldChar w:fldCharType="end"/>
        </w:r>
      </w:hyperlink>
    </w:p>
    <w:p w14:paraId="150077D2" w14:textId="08A54244" w:rsidR="00EA4B53" w:rsidRDefault="00EA4B53">
      <w:pPr>
        <w:pStyle w:val="TableofFigures"/>
        <w:tabs>
          <w:tab w:val="right" w:pos="9016"/>
        </w:tabs>
        <w:rPr>
          <w:rFonts w:eastAsiaTheme="minorEastAsia" w:cstheme="minorBidi"/>
          <w:caps w:val="0"/>
          <w:noProof/>
          <w:sz w:val="24"/>
          <w:szCs w:val="24"/>
          <w:lang w:eastAsia="en-GB"/>
        </w:rPr>
      </w:pPr>
      <w:hyperlink w:anchor="_Toc106181615" w:history="1">
        <w:r w:rsidRPr="00D83C06">
          <w:rPr>
            <w:rStyle w:val="Hyperlink"/>
            <w:noProof/>
          </w:rPr>
          <w:t xml:space="preserve">Figure 10. Evolution of literature synthesis by phase of review </w:t>
        </w:r>
        <w:r w:rsidRPr="00D83C06">
          <w:rPr>
            <w:rStyle w:val="Hyperlink"/>
            <w:noProof/>
            <w:vertAlign w:val="superscript"/>
          </w:rPr>
          <w:t>61,137</w:t>
        </w:r>
        <w:r w:rsidRPr="00D83C06">
          <w:rPr>
            <w:rStyle w:val="Hyperlink"/>
            <w:noProof/>
          </w:rPr>
          <w:t>.</w:t>
        </w:r>
        <w:r>
          <w:rPr>
            <w:noProof/>
            <w:webHidden/>
          </w:rPr>
          <w:tab/>
        </w:r>
        <w:r>
          <w:rPr>
            <w:noProof/>
            <w:webHidden/>
          </w:rPr>
          <w:fldChar w:fldCharType="begin"/>
        </w:r>
        <w:r>
          <w:rPr>
            <w:noProof/>
            <w:webHidden/>
          </w:rPr>
          <w:instrText xml:space="preserve"> PAGEREF _Toc106181615 \h </w:instrText>
        </w:r>
        <w:r>
          <w:rPr>
            <w:noProof/>
            <w:webHidden/>
          </w:rPr>
        </w:r>
        <w:r>
          <w:rPr>
            <w:noProof/>
            <w:webHidden/>
          </w:rPr>
          <w:fldChar w:fldCharType="separate"/>
        </w:r>
        <w:r>
          <w:rPr>
            <w:noProof/>
            <w:webHidden/>
          </w:rPr>
          <w:t>52</w:t>
        </w:r>
        <w:r>
          <w:rPr>
            <w:noProof/>
            <w:webHidden/>
          </w:rPr>
          <w:fldChar w:fldCharType="end"/>
        </w:r>
      </w:hyperlink>
    </w:p>
    <w:p w14:paraId="4E01790C" w14:textId="11C9244D" w:rsidR="00EA4B53" w:rsidRDefault="00EA4B53">
      <w:pPr>
        <w:pStyle w:val="TableofFigures"/>
        <w:tabs>
          <w:tab w:val="right" w:pos="9016"/>
        </w:tabs>
        <w:rPr>
          <w:rFonts w:eastAsiaTheme="minorEastAsia" w:cstheme="minorBidi"/>
          <w:caps w:val="0"/>
          <w:noProof/>
          <w:sz w:val="24"/>
          <w:szCs w:val="24"/>
          <w:lang w:eastAsia="en-GB"/>
        </w:rPr>
      </w:pPr>
      <w:hyperlink w:anchor="_Toc106181616" w:history="1">
        <w:r w:rsidRPr="00D83C06">
          <w:rPr>
            <w:rStyle w:val="Hyperlink"/>
            <w:noProof/>
          </w:rPr>
          <w:t>Figure 11. PRISMA diagram reflecting all papers included in this realist synthesis.</w:t>
        </w:r>
        <w:r>
          <w:rPr>
            <w:noProof/>
            <w:webHidden/>
          </w:rPr>
          <w:tab/>
        </w:r>
        <w:r>
          <w:rPr>
            <w:noProof/>
            <w:webHidden/>
          </w:rPr>
          <w:fldChar w:fldCharType="begin"/>
        </w:r>
        <w:r>
          <w:rPr>
            <w:noProof/>
            <w:webHidden/>
          </w:rPr>
          <w:instrText xml:space="preserve"> PAGEREF _Toc106181616 \h </w:instrText>
        </w:r>
        <w:r>
          <w:rPr>
            <w:noProof/>
            <w:webHidden/>
          </w:rPr>
        </w:r>
        <w:r>
          <w:rPr>
            <w:noProof/>
            <w:webHidden/>
          </w:rPr>
          <w:fldChar w:fldCharType="separate"/>
        </w:r>
        <w:r>
          <w:rPr>
            <w:noProof/>
            <w:webHidden/>
          </w:rPr>
          <w:t>60</w:t>
        </w:r>
        <w:r>
          <w:rPr>
            <w:noProof/>
            <w:webHidden/>
          </w:rPr>
          <w:fldChar w:fldCharType="end"/>
        </w:r>
      </w:hyperlink>
    </w:p>
    <w:p w14:paraId="298D9F52" w14:textId="5B363F28" w:rsidR="00EA4B53" w:rsidRDefault="00EA4B53">
      <w:pPr>
        <w:pStyle w:val="TableofFigures"/>
        <w:tabs>
          <w:tab w:val="right" w:pos="9016"/>
        </w:tabs>
        <w:rPr>
          <w:rFonts w:eastAsiaTheme="minorEastAsia" w:cstheme="minorBidi"/>
          <w:caps w:val="0"/>
          <w:noProof/>
          <w:sz w:val="24"/>
          <w:szCs w:val="24"/>
          <w:lang w:eastAsia="en-GB"/>
        </w:rPr>
      </w:pPr>
      <w:hyperlink w:anchor="_Toc106181617" w:history="1">
        <w:r w:rsidRPr="00D83C06">
          <w:rPr>
            <w:rStyle w:val="Hyperlink"/>
            <w:noProof/>
          </w:rPr>
          <w:t>Figure 12. Simplified depiction of our MRT and the essential roles of trust, confidence, and faith. Adapted from Lasker, Weiss and Miller (2001) &amp; Aunger et al. (2020b).</w:t>
        </w:r>
        <w:r>
          <w:rPr>
            <w:noProof/>
            <w:webHidden/>
          </w:rPr>
          <w:tab/>
        </w:r>
        <w:r>
          <w:rPr>
            <w:noProof/>
            <w:webHidden/>
          </w:rPr>
          <w:fldChar w:fldCharType="begin"/>
        </w:r>
        <w:r>
          <w:rPr>
            <w:noProof/>
            <w:webHidden/>
          </w:rPr>
          <w:instrText xml:space="preserve"> PAGEREF _Toc106181617 \h </w:instrText>
        </w:r>
        <w:r>
          <w:rPr>
            <w:noProof/>
            <w:webHidden/>
          </w:rPr>
        </w:r>
        <w:r>
          <w:rPr>
            <w:noProof/>
            <w:webHidden/>
          </w:rPr>
          <w:fldChar w:fldCharType="separate"/>
        </w:r>
        <w:r>
          <w:rPr>
            <w:noProof/>
            <w:webHidden/>
          </w:rPr>
          <w:t>70</w:t>
        </w:r>
        <w:r>
          <w:rPr>
            <w:noProof/>
            <w:webHidden/>
          </w:rPr>
          <w:fldChar w:fldCharType="end"/>
        </w:r>
      </w:hyperlink>
    </w:p>
    <w:p w14:paraId="3925DE16" w14:textId="7F83C689" w:rsidR="00EA4B53" w:rsidRDefault="00EA4B53">
      <w:pPr>
        <w:pStyle w:val="TableofFigures"/>
        <w:tabs>
          <w:tab w:val="right" w:pos="9016"/>
        </w:tabs>
        <w:rPr>
          <w:rFonts w:eastAsiaTheme="minorEastAsia" w:cstheme="minorBidi"/>
          <w:caps w:val="0"/>
          <w:noProof/>
          <w:sz w:val="24"/>
          <w:szCs w:val="24"/>
          <w:lang w:eastAsia="en-GB"/>
        </w:rPr>
      </w:pPr>
      <w:hyperlink w:anchor="_Toc106181618" w:history="1">
        <w:r w:rsidRPr="00D83C06">
          <w:rPr>
            <w:rStyle w:val="Hyperlink"/>
            <w:noProof/>
          </w:rPr>
          <w:t>Figure 13. Depiction of key aspects of refined programme theory. Adapted from J. A. Aunger, Millar, &amp; Greenhalgh (2021).</w:t>
        </w:r>
        <w:r>
          <w:rPr>
            <w:noProof/>
            <w:webHidden/>
          </w:rPr>
          <w:tab/>
        </w:r>
        <w:r>
          <w:rPr>
            <w:noProof/>
            <w:webHidden/>
          </w:rPr>
          <w:fldChar w:fldCharType="begin"/>
        </w:r>
        <w:r>
          <w:rPr>
            <w:noProof/>
            <w:webHidden/>
          </w:rPr>
          <w:instrText xml:space="preserve"> PAGEREF _Toc106181618 \h </w:instrText>
        </w:r>
        <w:r>
          <w:rPr>
            <w:noProof/>
            <w:webHidden/>
          </w:rPr>
        </w:r>
        <w:r>
          <w:rPr>
            <w:noProof/>
            <w:webHidden/>
          </w:rPr>
          <w:fldChar w:fldCharType="separate"/>
        </w:r>
        <w:r>
          <w:rPr>
            <w:noProof/>
            <w:webHidden/>
          </w:rPr>
          <w:t>76</w:t>
        </w:r>
        <w:r>
          <w:rPr>
            <w:noProof/>
            <w:webHidden/>
          </w:rPr>
          <w:fldChar w:fldCharType="end"/>
        </w:r>
      </w:hyperlink>
    </w:p>
    <w:p w14:paraId="7CC5CEE6" w14:textId="2F45DBF7" w:rsidR="00EA4B53" w:rsidRDefault="00EA4B53">
      <w:pPr>
        <w:pStyle w:val="TableofFigures"/>
        <w:tabs>
          <w:tab w:val="right" w:pos="9016"/>
        </w:tabs>
        <w:rPr>
          <w:rFonts w:eastAsiaTheme="minorEastAsia" w:cstheme="minorBidi"/>
          <w:caps w:val="0"/>
          <w:noProof/>
          <w:sz w:val="24"/>
          <w:szCs w:val="24"/>
          <w:lang w:eastAsia="en-GB"/>
        </w:rPr>
      </w:pPr>
      <w:hyperlink w:anchor="_Toc106181619" w:history="1">
        <w:r w:rsidRPr="00D83C06">
          <w:rPr>
            <w:rStyle w:val="Hyperlink"/>
            <w:noProof/>
          </w:rPr>
          <w:t>Figure 14. Example of how contextual elements and mechanisms may operate over time to drive a voluntary-type partnership into collaborative synergy. Adapted from J. A. Aunger, Millar, &amp; Greenhalgh (2021).</w:t>
        </w:r>
        <w:r>
          <w:rPr>
            <w:noProof/>
            <w:webHidden/>
          </w:rPr>
          <w:tab/>
        </w:r>
        <w:r>
          <w:rPr>
            <w:noProof/>
            <w:webHidden/>
          </w:rPr>
          <w:fldChar w:fldCharType="begin"/>
        </w:r>
        <w:r>
          <w:rPr>
            <w:noProof/>
            <w:webHidden/>
          </w:rPr>
          <w:instrText xml:space="preserve"> PAGEREF _Toc106181619 \h </w:instrText>
        </w:r>
        <w:r>
          <w:rPr>
            <w:noProof/>
            <w:webHidden/>
          </w:rPr>
        </w:r>
        <w:r>
          <w:rPr>
            <w:noProof/>
            <w:webHidden/>
          </w:rPr>
          <w:fldChar w:fldCharType="separate"/>
        </w:r>
        <w:r>
          <w:rPr>
            <w:noProof/>
            <w:webHidden/>
          </w:rPr>
          <w:t>82</w:t>
        </w:r>
        <w:r>
          <w:rPr>
            <w:noProof/>
            <w:webHidden/>
          </w:rPr>
          <w:fldChar w:fldCharType="end"/>
        </w:r>
      </w:hyperlink>
    </w:p>
    <w:p w14:paraId="4B9F56BF" w14:textId="65250DC2" w:rsidR="00EA4B53" w:rsidRDefault="00EA4B53">
      <w:pPr>
        <w:pStyle w:val="TableofFigures"/>
        <w:tabs>
          <w:tab w:val="right" w:pos="9016"/>
        </w:tabs>
        <w:rPr>
          <w:rFonts w:eastAsiaTheme="minorEastAsia" w:cstheme="minorBidi"/>
          <w:caps w:val="0"/>
          <w:noProof/>
          <w:sz w:val="24"/>
          <w:szCs w:val="24"/>
          <w:lang w:eastAsia="en-GB"/>
        </w:rPr>
      </w:pPr>
      <w:hyperlink w:anchor="_Toc106181620" w:history="1">
        <w:r w:rsidRPr="00D83C06">
          <w:rPr>
            <w:rStyle w:val="Hyperlink"/>
            <w:noProof/>
          </w:rPr>
          <w:t>Figure 15. Depiction of ‘causal web’ formed by CMOC chains of how and why healthcare collaborations work. Adapted from J. A. Aunger, Millar, &amp; Greenhalgh (2021).</w:t>
        </w:r>
        <w:r>
          <w:rPr>
            <w:noProof/>
            <w:webHidden/>
          </w:rPr>
          <w:tab/>
        </w:r>
        <w:r>
          <w:rPr>
            <w:noProof/>
            <w:webHidden/>
          </w:rPr>
          <w:fldChar w:fldCharType="begin"/>
        </w:r>
        <w:r>
          <w:rPr>
            <w:noProof/>
            <w:webHidden/>
          </w:rPr>
          <w:instrText xml:space="preserve"> PAGEREF _Toc106181620 \h </w:instrText>
        </w:r>
        <w:r>
          <w:rPr>
            <w:noProof/>
            <w:webHidden/>
          </w:rPr>
        </w:r>
        <w:r>
          <w:rPr>
            <w:noProof/>
            <w:webHidden/>
          </w:rPr>
          <w:fldChar w:fldCharType="separate"/>
        </w:r>
        <w:r>
          <w:rPr>
            <w:noProof/>
            <w:webHidden/>
          </w:rPr>
          <w:t>87</w:t>
        </w:r>
        <w:r>
          <w:rPr>
            <w:noProof/>
            <w:webHidden/>
          </w:rPr>
          <w:fldChar w:fldCharType="end"/>
        </w:r>
      </w:hyperlink>
    </w:p>
    <w:p w14:paraId="3ACFCDB4" w14:textId="11D8187F" w:rsidR="00EA4B53" w:rsidRDefault="00EA4B53">
      <w:pPr>
        <w:pStyle w:val="TableofFigures"/>
        <w:tabs>
          <w:tab w:val="right" w:pos="9016"/>
        </w:tabs>
        <w:rPr>
          <w:rFonts w:eastAsiaTheme="minorEastAsia" w:cstheme="minorBidi"/>
          <w:caps w:val="0"/>
          <w:noProof/>
          <w:sz w:val="24"/>
          <w:szCs w:val="24"/>
          <w:lang w:eastAsia="en-GB"/>
        </w:rPr>
      </w:pPr>
      <w:hyperlink w:anchor="_Toc106181621" w:history="1">
        <w:r w:rsidRPr="00D83C06">
          <w:rPr>
            <w:rStyle w:val="Hyperlink"/>
            <w:noProof/>
          </w:rPr>
          <w:t>Figure 16. Depiction of mechanisms underlying collaborative performance</w:t>
        </w:r>
        <w:r>
          <w:rPr>
            <w:noProof/>
            <w:webHidden/>
          </w:rPr>
          <w:tab/>
        </w:r>
        <w:r>
          <w:rPr>
            <w:noProof/>
            <w:webHidden/>
          </w:rPr>
          <w:fldChar w:fldCharType="begin"/>
        </w:r>
        <w:r>
          <w:rPr>
            <w:noProof/>
            <w:webHidden/>
          </w:rPr>
          <w:instrText xml:space="preserve"> PAGEREF _Toc106181621 \h </w:instrText>
        </w:r>
        <w:r>
          <w:rPr>
            <w:noProof/>
            <w:webHidden/>
          </w:rPr>
        </w:r>
        <w:r>
          <w:rPr>
            <w:noProof/>
            <w:webHidden/>
          </w:rPr>
          <w:fldChar w:fldCharType="separate"/>
        </w:r>
        <w:r>
          <w:rPr>
            <w:noProof/>
            <w:webHidden/>
          </w:rPr>
          <w:t>127</w:t>
        </w:r>
        <w:r>
          <w:rPr>
            <w:noProof/>
            <w:webHidden/>
          </w:rPr>
          <w:fldChar w:fldCharType="end"/>
        </w:r>
      </w:hyperlink>
    </w:p>
    <w:p w14:paraId="511356F2" w14:textId="08218F9C" w:rsidR="00EA4B53" w:rsidRDefault="00EA4B53">
      <w:pPr>
        <w:pStyle w:val="TableofFigures"/>
        <w:tabs>
          <w:tab w:val="right" w:pos="9016"/>
        </w:tabs>
        <w:rPr>
          <w:rStyle w:val="Hyperlink"/>
          <w:noProof/>
        </w:rPr>
      </w:pPr>
      <w:hyperlink w:anchor="_Toc106181622" w:history="1">
        <w:r w:rsidRPr="00D83C06">
          <w:rPr>
            <w:rStyle w:val="Hyperlink"/>
            <w:noProof/>
          </w:rPr>
          <w:t>Figure 17. Achieving inter-organisational collaboration: a synthesis of causal links between collaborative functioning and performance</w:t>
        </w:r>
        <w:r>
          <w:rPr>
            <w:noProof/>
            <w:webHidden/>
          </w:rPr>
          <w:tab/>
        </w:r>
        <w:r>
          <w:rPr>
            <w:noProof/>
            <w:webHidden/>
          </w:rPr>
          <w:fldChar w:fldCharType="begin"/>
        </w:r>
        <w:r>
          <w:rPr>
            <w:noProof/>
            <w:webHidden/>
          </w:rPr>
          <w:instrText xml:space="preserve"> PAGEREF _Toc106181622 \h </w:instrText>
        </w:r>
        <w:r>
          <w:rPr>
            <w:noProof/>
            <w:webHidden/>
          </w:rPr>
        </w:r>
        <w:r>
          <w:rPr>
            <w:noProof/>
            <w:webHidden/>
          </w:rPr>
          <w:fldChar w:fldCharType="separate"/>
        </w:r>
        <w:r>
          <w:rPr>
            <w:noProof/>
            <w:webHidden/>
          </w:rPr>
          <w:t>131</w:t>
        </w:r>
        <w:r>
          <w:rPr>
            <w:noProof/>
            <w:webHidden/>
          </w:rPr>
          <w:fldChar w:fldCharType="end"/>
        </w:r>
      </w:hyperlink>
    </w:p>
    <w:p w14:paraId="0A8EFADD" w14:textId="4EB72B14" w:rsidR="008802A5" w:rsidRPr="008802A5" w:rsidRDefault="008802A5" w:rsidP="008802A5">
      <w:r>
        <w:t xml:space="preserve">FIGURE 18. </w:t>
      </w:r>
      <w:r>
        <w:t>Example question response.</w:t>
      </w:r>
      <w:r>
        <w:tab/>
      </w:r>
      <w:r>
        <w:tab/>
      </w:r>
      <w:r>
        <w:tab/>
      </w:r>
      <w:r>
        <w:tab/>
      </w:r>
      <w:r>
        <w:tab/>
      </w:r>
      <w:r>
        <w:tab/>
      </w:r>
      <w:r>
        <w:tab/>
      </w:r>
      <w:r>
        <w:tab/>
        <w:t>139</w:t>
      </w:r>
    </w:p>
    <w:p w14:paraId="548AC649" w14:textId="5BC25F17" w:rsidR="004E57AF" w:rsidRDefault="004E57AF" w:rsidP="00525BE0">
      <w:pPr>
        <w:jc w:val="both"/>
      </w:pPr>
      <w:r>
        <w:fldChar w:fldCharType="end"/>
      </w:r>
    </w:p>
    <w:p w14:paraId="6AE5CDC9" w14:textId="77777777" w:rsidR="004E57AF" w:rsidRDefault="004E57AF" w:rsidP="00525BE0">
      <w:pPr>
        <w:pStyle w:val="Heading2"/>
        <w:jc w:val="both"/>
      </w:pPr>
      <w:bookmarkStart w:id="5" w:name="_Toc85066394"/>
      <w:r>
        <w:t>List of tables</w:t>
      </w:r>
      <w:bookmarkEnd w:id="5"/>
    </w:p>
    <w:p w14:paraId="398C5266" w14:textId="369D0432" w:rsidR="00EA4B53" w:rsidRPr="003153A1" w:rsidRDefault="004E57AF">
      <w:pPr>
        <w:pStyle w:val="TableofFigures"/>
        <w:tabs>
          <w:tab w:val="right" w:pos="9016"/>
        </w:tabs>
        <w:rPr>
          <w:rFonts w:eastAsiaTheme="minorEastAsia" w:cstheme="minorBidi"/>
          <w:caps w:val="0"/>
          <w:noProof/>
          <w:sz w:val="24"/>
          <w:szCs w:val="24"/>
          <w:lang w:eastAsia="en-GB"/>
        </w:rPr>
      </w:pPr>
      <w:r>
        <w:fldChar w:fldCharType="begin"/>
      </w:r>
      <w:r w:rsidRPr="009B3BC2">
        <w:instrText xml:space="preserve"> TOC \h \z \c "Table" </w:instrText>
      </w:r>
      <w:r>
        <w:fldChar w:fldCharType="separate"/>
      </w:r>
      <w:hyperlink w:anchor="_Toc106181505" w:history="1">
        <w:r w:rsidR="00EA4B53" w:rsidRPr="003153A1">
          <w:rPr>
            <w:rStyle w:val="Hyperlink"/>
            <w:noProof/>
          </w:rPr>
          <w:t>Table 1. Range of partnering/collaboration types used in healthcare in England.</w:t>
        </w:r>
        <w:r w:rsidR="00EA4B53" w:rsidRPr="003153A1">
          <w:rPr>
            <w:noProof/>
            <w:webHidden/>
          </w:rPr>
          <w:tab/>
        </w:r>
        <w:r w:rsidR="00EA4B53" w:rsidRPr="003153A1">
          <w:rPr>
            <w:noProof/>
            <w:webHidden/>
          </w:rPr>
          <w:fldChar w:fldCharType="begin"/>
        </w:r>
        <w:r w:rsidR="00EA4B53" w:rsidRPr="003153A1">
          <w:rPr>
            <w:noProof/>
            <w:webHidden/>
          </w:rPr>
          <w:instrText xml:space="preserve"> PAGEREF _Toc106181505 \h </w:instrText>
        </w:r>
        <w:r w:rsidR="00EA4B53" w:rsidRPr="003153A1">
          <w:rPr>
            <w:noProof/>
            <w:webHidden/>
          </w:rPr>
        </w:r>
        <w:r w:rsidR="00EA4B53" w:rsidRPr="003153A1">
          <w:rPr>
            <w:noProof/>
            <w:webHidden/>
          </w:rPr>
          <w:fldChar w:fldCharType="separate"/>
        </w:r>
        <w:r w:rsidR="00EA4B53" w:rsidRPr="003153A1">
          <w:rPr>
            <w:noProof/>
            <w:webHidden/>
          </w:rPr>
          <w:t>30</w:t>
        </w:r>
        <w:r w:rsidR="00EA4B53" w:rsidRPr="003153A1">
          <w:rPr>
            <w:noProof/>
            <w:webHidden/>
          </w:rPr>
          <w:fldChar w:fldCharType="end"/>
        </w:r>
      </w:hyperlink>
    </w:p>
    <w:p w14:paraId="5741E6E6" w14:textId="630A8EB4"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06" w:history="1">
        <w:r w:rsidRPr="003153A1">
          <w:rPr>
            <w:rStyle w:val="Hyperlink"/>
            <w:noProof/>
          </w:rPr>
          <w:t>Table 2. Drivers for inter-organisational collaboration.</w:t>
        </w:r>
        <w:r w:rsidRPr="003153A1">
          <w:rPr>
            <w:noProof/>
            <w:webHidden/>
          </w:rPr>
          <w:tab/>
        </w:r>
        <w:r w:rsidRPr="003153A1">
          <w:rPr>
            <w:noProof/>
            <w:webHidden/>
          </w:rPr>
          <w:fldChar w:fldCharType="begin"/>
        </w:r>
        <w:r w:rsidRPr="003153A1">
          <w:rPr>
            <w:noProof/>
            <w:webHidden/>
          </w:rPr>
          <w:instrText xml:space="preserve"> PAGEREF _Toc106181506 \h </w:instrText>
        </w:r>
        <w:r w:rsidRPr="003153A1">
          <w:rPr>
            <w:noProof/>
            <w:webHidden/>
          </w:rPr>
        </w:r>
        <w:r w:rsidRPr="003153A1">
          <w:rPr>
            <w:noProof/>
            <w:webHidden/>
          </w:rPr>
          <w:fldChar w:fldCharType="separate"/>
        </w:r>
        <w:r w:rsidRPr="003153A1">
          <w:rPr>
            <w:noProof/>
            <w:webHidden/>
          </w:rPr>
          <w:t>32</w:t>
        </w:r>
        <w:r w:rsidRPr="003153A1">
          <w:rPr>
            <w:noProof/>
            <w:webHidden/>
          </w:rPr>
          <w:fldChar w:fldCharType="end"/>
        </w:r>
      </w:hyperlink>
    </w:p>
    <w:p w14:paraId="1643E936" w14:textId="213C094F"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07" w:history="1">
        <w:r w:rsidRPr="003153A1">
          <w:rPr>
            <w:rStyle w:val="Hyperlink"/>
            <w:noProof/>
          </w:rPr>
          <w:t>Table 3. An IRT of partnering domains with emerging evidence of how these work in practice.</w:t>
        </w:r>
        <w:r w:rsidRPr="003153A1">
          <w:rPr>
            <w:noProof/>
            <w:webHidden/>
          </w:rPr>
          <w:tab/>
        </w:r>
        <w:r w:rsidRPr="003153A1">
          <w:rPr>
            <w:noProof/>
            <w:webHidden/>
          </w:rPr>
          <w:fldChar w:fldCharType="begin"/>
        </w:r>
        <w:r w:rsidRPr="003153A1">
          <w:rPr>
            <w:noProof/>
            <w:webHidden/>
          </w:rPr>
          <w:instrText xml:space="preserve"> PAGEREF _Toc106181507 \h </w:instrText>
        </w:r>
        <w:r w:rsidRPr="003153A1">
          <w:rPr>
            <w:noProof/>
            <w:webHidden/>
          </w:rPr>
        </w:r>
        <w:r w:rsidRPr="003153A1">
          <w:rPr>
            <w:noProof/>
            <w:webHidden/>
          </w:rPr>
          <w:fldChar w:fldCharType="separate"/>
        </w:r>
        <w:r w:rsidRPr="003153A1">
          <w:rPr>
            <w:noProof/>
            <w:webHidden/>
          </w:rPr>
          <w:t>39</w:t>
        </w:r>
        <w:r w:rsidRPr="003153A1">
          <w:rPr>
            <w:noProof/>
            <w:webHidden/>
          </w:rPr>
          <w:fldChar w:fldCharType="end"/>
        </w:r>
      </w:hyperlink>
    </w:p>
    <w:p w14:paraId="4656866C" w14:textId="0480813A"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08" w:history="1">
        <w:r w:rsidRPr="003153A1">
          <w:rPr>
            <w:rStyle w:val="Hyperlink"/>
            <w:noProof/>
          </w:rPr>
          <w:t>Table 4. Overview of stakeholder interviews.</w:t>
        </w:r>
        <w:r w:rsidRPr="003153A1">
          <w:rPr>
            <w:noProof/>
            <w:webHidden/>
          </w:rPr>
          <w:tab/>
        </w:r>
        <w:r w:rsidRPr="003153A1">
          <w:rPr>
            <w:noProof/>
            <w:webHidden/>
          </w:rPr>
          <w:fldChar w:fldCharType="begin"/>
        </w:r>
        <w:r w:rsidRPr="003153A1">
          <w:rPr>
            <w:noProof/>
            <w:webHidden/>
          </w:rPr>
          <w:instrText xml:space="preserve"> PAGEREF _Toc106181508 \h </w:instrText>
        </w:r>
        <w:r w:rsidRPr="003153A1">
          <w:rPr>
            <w:noProof/>
            <w:webHidden/>
          </w:rPr>
        </w:r>
        <w:r w:rsidRPr="003153A1">
          <w:rPr>
            <w:noProof/>
            <w:webHidden/>
          </w:rPr>
          <w:fldChar w:fldCharType="separate"/>
        </w:r>
        <w:r w:rsidRPr="003153A1">
          <w:rPr>
            <w:noProof/>
            <w:webHidden/>
          </w:rPr>
          <w:t>55</w:t>
        </w:r>
        <w:r w:rsidRPr="003153A1">
          <w:rPr>
            <w:noProof/>
            <w:webHidden/>
          </w:rPr>
          <w:fldChar w:fldCharType="end"/>
        </w:r>
      </w:hyperlink>
    </w:p>
    <w:p w14:paraId="006FB3DB" w14:textId="30D76ACC"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09" w:history="1">
        <w:r w:rsidRPr="003153A1">
          <w:rPr>
            <w:rStyle w:val="Hyperlink"/>
            <w:noProof/>
          </w:rPr>
          <w:t>Table 5. Characteristics of included literature (not including theoretical papers). Adapted from both J. A. Aunger, Millar, &amp; Greenhalgh (2021) and J. A. Aunger, Millar, Greenhalgh, et al. (2021).</w:t>
        </w:r>
        <w:r w:rsidRPr="003153A1">
          <w:rPr>
            <w:noProof/>
            <w:webHidden/>
          </w:rPr>
          <w:tab/>
        </w:r>
        <w:r w:rsidRPr="003153A1">
          <w:rPr>
            <w:noProof/>
            <w:webHidden/>
          </w:rPr>
          <w:fldChar w:fldCharType="begin"/>
        </w:r>
        <w:r w:rsidRPr="003153A1">
          <w:rPr>
            <w:noProof/>
            <w:webHidden/>
          </w:rPr>
          <w:instrText xml:space="preserve"> PAGEREF _Toc106181509 \h </w:instrText>
        </w:r>
        <w:r w:rsidRPr="003153A1">
          <w:rPr>
            <w:noProof/>
            <w:webHidden/>
          </w:rPr>
        </w:r>
        <w:r w:rsidRPr="003153A1">
          <w:rPr>
            <w:noProof/>
            <w:webHidden/>
          </w:rPr>
          <w:fldChar w:fldCharType="separate"/>
        </w:r>
        <w:r w:rsidRPr="003153A1">
          <w:rPr>
            <w:noProof/>
            <w:webHidden/>
          </w:rPr>
          <w:t>60</w:t>
        </w:r>
        <w:r w:rsidRPr="003153A1">
          <w:rPr>
            <w:noProof/>
            <w:webHidden/>
          </w:rPr>
          <w:fldChar w:fldCharType="end"/>
        </w:r>
      </w:hyperlink>
    </w:p>
    <w:p w14:paraId="58538B22" w14:textId="7B79C047"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10" w:history="1">
        <w:r w:rsidRPr="003153A1">
          <w:rPr>
            <w:rStyle w:val="Hyperlink"/>
            <w:noProof/>
          </w:rPr>
          <w:t>Table 6. Initial CMOCs identified in the theory gleaning phase of this synthesis.</w:t>
        </w:r>
        <w:r w:rsidRPr="003153A1">
          <w:rPr>
            <w:noProof/>
            <w:webHidden/>
          </w:rPr>
          <w:tab/>
        </w:r>
        <w:r w:rsidRPr="003153A1">
          <w:rPr>
            <w:noProof/>
            <w:webHidden/>
          </w:rPr>
          <w:fldChar w:fldCharType="begin"/>
        </w:r>
        <w:r w:rsidRPr="003153A1">
          <w:rPr>
            <w:noProof/>
            <w:webHidden/>
          </w:rPr>
          <w:instrText xml:space="preserve"> PAGEREF _Toc106181510 \h </w:instrText>
        </w:r>
        <w:r w:rsidRPr="003153A1">
          <w:rPr>
            <w:noProof/>
            <w:webHidden/>
          </w:rPr>
        </w:r>
        <w:r w:rsidRPr="003153A1">
          <w:rPr>
            <w:noProof/>
            <w:webHidden/>
          </w:rPr>
          <w:fldChar w:fldCharType="separate"/>
        </w:r>
        <w:r w:rsidRPr="003153A1">
          <w:rPr>
            <w:noProof/>
            <w:webHidden/>
          </w:rPr>
          <w:t>72</w:t>
        </w:r>
        <w:r w:rsidRPr="003153A1">
          <w:rPr>
            <w:noProof/>
            <w:webHidden/>
          </w:rPr>
          <w:fldChar w:fldCharType="end"/>
        </w:r>
      </w:hyperlink>
    </w:p>
    <w:p w14:paraId="180D887F" w14:textId="2B684CC1"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11" w:history="1">
        <w:r w:rsidRPr="003153A1">
          <w:rPr>
            <w:rStyle w:val="Hyperlink"/>
            <w:noProof/>
          </w:rPr>
          <w:t>Table 7. Refined mechanisms, an explanation of these mechanisms, and which outcome these mechanisms typically produce. Adapted from J. A. Aunger, Millar, &amp; Greenhalgh (2021)</w:t>
        </w:r>
        <w:r w:rsidRPr="003153A1">
          <w:rPr>
            <w:noProof/>
            <w:webHidden/>
          </w:rPr>
          <w:tab/>
        </w:r>
        <w:r w:rsidRPr="003153A1">
          <w:rPr>
            <w:noProof/>
            <w:webHidden/>
          </w:rPr>
          <w:fldChar w:fldCharType="begin"/>
        </w:r>
        <w:r w:rsidRPr="003153A1">
          <w:rPr>
            <w:noProof/>
            <w:webHidden/>
          </w:rPr>
          <w:instrText xml:space="preserve"> PAGEREF _Toc106181511 \h </w:instrText>
        </w:r>
        <w:r w:rsidRPr="003153A1">
          <w:rPr>
            <w:noProof/>
            <w:webHidden/>
          </w:rPr>
        </w:r>
        <w:r w:rsidRPr="003153A1">
          <w:rPr>
            <w:noProof/>
            <w:webHidden/>
          </w:rPr>
          <w:fldChar w:fldCharType="separate"/>
        </w:r>
        <w:r w:rsidRPr="003153A1">
          <w:rPr>
            <w:noProof/>
            <w:webHidden/>
          </w:rPr>
          <w:t>77</w:t>
        </w:r>
        <w:r w:rsidRPr="003153A1">
          <w:rPr>
            <w:noProof/>
            <w:webHidden/>
          </w:rPr>
          <w:fldChar w:fldCharType="end"/>
        </w:r>
      </w:hyperlink>
    </w:p>
    <w:p w14:paraId="5A3A39B7" w14:textId="26C2F88C"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12" w:history="1">
        <w:r w:rsidRPr="003153A1">
          <w:rPr>
            <w:rStyle w:val="Hyperlink"/>
            <w:noProof/>
          </w:rPr>
          <w:t>Table 8. Domains of collaborative performance (Dickinson &amp; Sullivan (2014).</w:t>
        </w:r>
        <w:r w:rsidRPr="003153A1">
          <w:rPr>
            <w:noProof/>
            <w:webHidden/>
          </w:rPr>
          <w:tab/>
        </w:r>
        <w:r w:rsidRPr="003153A1">
          <w:rPr>
            <w:noProof/>
            <w:webHidden/>
          </w:rPr>
          <w:fldChar w:fldCharType="begin"/>
        </w:r>
        <w:r w:rsidRPr="003153A1">
          <w:rPr>
            <w:noProof/>
            <w:webHidden/>
          </w:rPr>
          <w:instrText xml:space="preserve"> PAGEREF _Toc106181512 \h </w:instrText>
        </w:r>
        <w:r w:rsidRPr="003153A1">
          <w:rPr>
            <w:noProof/>
            <w:webHidden/>
          </w:rPr>
        </w:r>
        <w:r w:rsidRPr="003153A1">
          <w:rPr>
            <w:noProof/>
            <w:webHidden/>
          </w:rPr>
          <w:fldChar w:fldCharType="separate"/>
        </w:r>
        <w:r w:rsidRPr="003153A1">
          <w:rPr>
            <w:noProof/>
            <w:webHidden/>
          </w:rPr>
          <w:t>112</w:t>
        </w:r>
        <w:r w:rsidRPr="003153A1">
          <w:rPr>
            <w:noProof/>
            <w:webHidden/>
          </w:rPr>
          <w:fldChar w:fldCharType="end"/>
        </w:r>
      </w:hyperlink>
    </w:p>
    <w:p w14:paraId="06C5098F" w14:textId="4283742F"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13" w:history="1">
        <w:r w:rsidRPr="003153A1">
          <w:rPr>
            <w:rStyle w:val="Hyperlink"/>
            <w:noProof/>
          </w:rPr>
          <w:t>Table 9. Description of mechanisms identified within each category of collaborative performance in inter-organisational collaborations in healthcare.</w:t>
        </w:r>
        <w:r w:rsidRPr="003153A1">
          <w:rPr>
            <w:noProof/>
            <w:webHidden/>
          </w:rPr>
          <w:tab/>
        </w:r>
        <w:r w:rsidRPr="003153A1">
          <w:rPr>
            <w:noProof/>
            <w:webHidden/>
          </w:rPr>
          <w:fldChar w:fldCharType="begin"/>
        </w:r>
        <w:r w:rsidRPr="003153A1">
          <w:rPr>
            <w:noProof/>
            <w:webHidden/>
          </w:rPr>
          <w:instrText xml:space="preserve"> PAGEREF _Toc106181513 \h </w:instrText>
        </w:r>
        <w:r w:rsidRPr="003153A1">
          <w:rPr>
            <w:noProof/>
            <w:webHidden/>
          </w:rPr>
        </w:r>
        <w:r w:rsidRPr="003153A1">
          <w:rPr>
            <w:noProof/>
            <w:webHidden/>
          </w:rPr>
          <w:fldChar w:fldCharType="separate"/>
        </w:r>
        <w:r w:rsidRPr="003153A1">
          <w:rPr>
            <w:noProof/>
            <w:webHidden/>
          </w:rPr>
          <w:t>121</w:t>
        </w:r>
        <w:r w:rsidRPr="003153A1">
          <w:rPr>
            <w:noProof/>
            <w:webHidden/>
          </w:rPr>
          <w:fldChar w:fldCharType="end"/>
        </w:r>
      </w:hyperlink>
    </w:p>
    <w:p w14:paraId="500C71E3" w14:textId="45F0EF44"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14" w:history="1">
        <w:r w:rsidRPr="003153A1">
          <w:rPr>
            <w:rStyle w:val="Hyperlink"/>
            <w:noProof/>
          </w:rPr>
          <w:t>Table 10. Initial CMOCs gleaned from the analysis.</w:t>
        </w:r>
        <w:r w:rsidRPr="003153A1">
          <w:rPr>
            <w:noProof/>
            <w:webHidden/>
          </w:rPr>
          <w:tab/>
        </w:r>
        <w:r w:rsidRPr="003153A1">
          <w:rPr>
            <w:noProof/>
            <w:webHidden/>
          </w:rPr>
          <w:fldChar w:fldCharType="begin"/>
        </w:r>
        <w:r w:rsidRPr="003153A1">
          <w:rPr>
            <w:noProof/>
            <w:webHidden/>
          </w:rPr>
          <w:instrText xml:space="preserve"> PAGEREF _Toc106181514 \h </w:instrText>
        </w:r>
        <w:r w:rsidRPr="003153A1">
          <w:rPr>
            <w:noProof/>
            <w:webHidden/>
          </w:rPr>
        </w:r>
        <w:r w:rsidRPr="003153A1">
          <w:rPr>
            <w:noProof/>
            <w:webHidden/>
          </w:rPr>
          <w:fldChar w:fldCharType="separate"/>
        </w:r>
        <w:r w:rsidRPr="003153A1">
          <w:rPr>
            <w:noProof/>
            <w:webHidden/>
          </w:rPr>
          <w:t>128</w:t>
        </w:r>
        <w:r w:rsidRPr="003153A1">
          <w:rPr>
            <w:noProof/>
            <w:webHidden/>
          </w:rPr>
          <w:fldChar w:fldCharType="end"/>
        </w:r>
      </w:hyperlink>
    </w:p>
    <w:p w14:paraId="087A017D" w14:textId="2FD40BF2"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15" w:history="1">
        <w:r w:rsidRPr="003153A1">
          <w:rPr>
            <w:rStyle w:val="Hyperlink"/>
            <w:noProof/>
          </w:rPr>
          <w:t>Table 11. Action statements to maximise collaborative functioning and performance</w:t>
        </w:r>
        <w:r w:rsidRPr="003153A1">
          <w:rPr>
            <w:noProof/>
            <w:webHidden/>
          </w:rPr>
          <w:tab/>
        </w:r>
        <w:r w:rsidRPr="003153A1">
          <w:rPr>
            <w:noProof/>
            <w:webHidden/>
          </w:rPr>
          <w:fldChar w:fldCharType="begin"/>
        </w:r>
        <w:r w:rsidRPr="003153A1">
          <w:rPr>
            <w:noProof/>
            <w:webHidden/>
          </w:rPr>
          <w:instrText xml:space="preserve"> PAGEREF _Toc106181515 \h </w:instrText>
        </w:r>
        <w:r w:rsidRPr="003153A1">
          <w:rPr>
            <w:noProof/>
            <w:webHidden/>
          </w:rPr>
        </w:r>
        <w:r w:rsidRPr="003153A1">
          <w:rPr>
            <w:noProof/>
            <w:webHidden/>
          </w:rPr>
          <w:fldChar w:fldCharType="separate"/>
        </w:r>
        <w:r w:rsidRPr="003153A1">
          <w:rPr>
            <w:noProof/>
            <w:webHidden/>
          </w:rPr>
          <w:t>135</w:t>
        </w:r>
        <w:r w:rsidRPr="003153A1">
          <w:rPr>
            <w:noProof/>
            <w:webHidden/>
          </w:rPr>
          <w:fldChar w:fldCharType="end"/>
        </w:r>
      </w:hyperlink>
    </w:p>
    <w:p w14:paraId="4B97BABA" w14:textId="0A67CE87" w:rsidR="00EA4B53" w:rsidRPr="003153A1" w:rsidRDefault="00EA4B53">
      <w:pPr>
        <w:pStyle w:val="TableofFigures"/>
        <w:tabs>
          <w:tab w:val="right" w:pos="9016"/>
        </w:tabs>
        <w:rPr>
          <w:rFonts w:eastAsiaTheme="minorEastAsia" w:cstheme="minorBidi"/>
          <w:caps w:val="0"/>
          <w:noProof/>
          <w:sz w:val="24"/>
          <w:szCs w:val="24"/>
          <w:lang w:eastAsia="en-GB"/>
        </w:rPr>
      </w:pPr>
      <w:hyperlink w:anchor="_Toc106181516" w:history="1">
        <w:r w:rsidRPr="006D770F">
          <w:rPr>
            <w:rStyle w:val="Hyperlink"/>
            <w:noProof/>
          </w:rPr>
          <w:t>Table 12. Maturity matrix for collaboration. You can rate for each element according to which type of culture you perceive your organisation to have.</w:t>
        </w:r>
        <w:r w:rsidRPr="003153A1">
          <w:rPr>
            <w:noProof/>
            <w:webHidden/>
          </w:rPr>
          <w:tab/>
        </w:r>
        <w:r w:rsidRPr="003153A1">
          <w:rPr>
            <w:noProof/>
            <w:webHidden/>
          </w:rPr>
          <w:fldChar w:fldCharType="begin"/>
        </w:r>
        <w:r w:rsidRPr="003153A1">
          <w:rPr>
            <w:noProof/>
            <w:webHidden/>
          </w:rPr>
          <w:instrText xml:space="preserve"> PAGEREF _Toc106181516 \h </w:instrText>
        </w:r>
        <w:r w:rsidRPr="003153A1">
          <w:rPr>
            <w:noProof/>
            <w:webHidden/>
          </w:rPr>
        </w:r>
        <w:r w:rsidRPr="003153A1">
          <w:rPr>
            <w:noProof/>
            <w:webHidden/>
          </w:rPr>
          <w:fldChar w:fldCharType="separate"/>
        </w:r>
        <w:r w:rsidRPr="003153A1">
          <w:rPr>
            <w:noProof/>
            <w:webHidden/>
          </w:rPr>
          <w:t>141</w:t>
        </w:r>
        <w:r w:rsidRPr="003153A1">
          <w:rPr>
            <w:noProof/>
            <w:webHidden/>
          </w:rPr>
          <w:fldChar w:fldCharType="end"/>
        </w:r>
      </w:hyperlink>
    </w:p>
    <w:p w14:paraId="1DA77056" w14:textId="043309E0" w:rsidR="004E57AF" w:rsidRDefault="004E57AF" w:rsidP="00525BE0">
      <w:pPr>
        <w:spacing w:after="0" w:line="240" w:lineRule="auto"/>
        <w:jc w:val="both"/>
      </w:pPr>
      <w:r>
        <w:fldChar w:fldCharType="end"/>
      </w:r>
    </w:p>
    <w:p w14:paraId="6E0B3F4C" w14:textId="71BEE6E7" w:rsidR="004E57AF" w:rsidRDefault="004E57AF" w:rsidP="00525BE0">
      <w:pPr>
        <w:spacing w:after="0" w:line="240" w:lineRule="auto"/>
        <w:jc w:val="both"/>
        <w:rPr>
          <w:lang w:eastAsia="en-GB"/>
        </w:rPr>
      </w:pPr>
    </w:p>
    <w:p w14:paraId="37A5F849" w14:textId="77777777" w:rsidR="002B7278" w:rsidRDefault="002B7278" w:rsidP="00525BE0">
      <w:pPr>
        <w:spacing w:after="0" w:line="240" w:lineRule="auto"/>
        <w:jc w:val="both"/>
        <w:rPr>
          <w:lang w:eastAsia="en-GB"/>
        </w:rPr>
      </w:pPr>
    </w:p>
    <w:p w14:paraId="07B3F74D" w14:textId="77777777" w:rsidR="002B7278" w:rsidRDefault="002B7278" w:rsidP="00525BE0">
      <w:pPr>
        <w:pStyle w:val="Heading2"/>
        <w:jc w:val="both"/>
      </w:pPr>
      <w:bookmarkStart w:id="6" w:name="_Toc85066395"/>
      <w:r>
        <w:t>Abbreviations</w:t>
      </w:r>
      <w:bookmarkEnd w:id="6"/>
    </w:p>
    <w:p w14:paraId="1E22E831" w14:textId="77777777" w:rsidR="002B7278" w:rsidRDefault="002B7278" w:rsidP="008C4D00">
      <w:r>
        <w:t>CCG</w:t>
      </w:r>
      <w:r>
        <w:tab/>
      </w:r>
      <w:r>
        <w:tab/>
        <w:t>Clinical Commissioning Group</w:t>
      </w:r>
      <w:r>
        <w:br/>
        <w:t>CEO</w:t>
      </w:r>
      <w:r>
        <w:tab/>
      </w:r>
      <w:r>
        <w:tab/>
        <w:t>Chief Executive Officer</w:t>
      </w:r>
      <w:r>
        <w:br/>
        <w:t>CQC</w:t>
      </w:r>
      <w:r>
        <w:tab/>
      </w:r>
      <w:r>
        <w:tab/>
        <w:t>Care Quality Commission</w:t>
      </w:r>
      <w:r>
        <w:br/>
        <w:t>CMOC</w:t>
      </w:r>
      <w:r>
        <w:tab/>
      </w:r>
      <w:r>
        <w:tab/>
        <w:t>Context-Mechanism-Outcome-Configuration</w:t>
      </w:r>
      <w:r>
        <w:br/>
        <w:t>HMIC</w:t>
      </w:r>
      <w:r>
        <w:tab/>
      </w:r>
      <w:r>
        <w:tab/>
        <w:t>Healthcare Management Information Consortium</w:t>
      </w:r>
      <w:r>
        <w:br/>
        <w:t>ICS</w:t>
      </w:r>
      <w:r>
        <w:tab/>
      </w:r>
      <w:r>
        <w:tab/>
        <w:t>Integrated Care System</w:t>
      </w:r>
      <w:r>
        <w:br/>
        <w:t>IOC</w:t>
      </w:r>
      <w:r>
        <w:tab/>
      </w:r>
      <w:r>
        <w:tab/>
        <w:t>Inter-Organisational Collaboration</w:t>
      </w:r>
      <w:r>
        <w:br/>
        <w:t>NHS</w:t>
      </w:r>
      <w:r>
        <w:tab/>
      </w:r>
      <w:r>
        <w:tab/>
        <w:t>National Health Service</w:t>
      </w:r>
      <w:r>
        <w:br/>
        <w:t>NIHR</w:t>
      </w:r>
      <w:r>
        <w:tab/>
      </w:r>
      <w:r>
        <w:tab/>
        <w:t>National Institute for Health Research</w:t>
      </w:r>
      <w:r>
        <w:br/>
        <w:t>NIHR HS&amp;DR</w:t>
      </w:r>
      <w:r>
        <w:tab/>
        <w:t>National Institute for Health Research Health Services &amp; Delivery Research</w:t>
      </w:r>
      <w:r>
        <w:br/>
        <w:t>MRT</w:t>
      </w:r>
      <w:r>
        <w:tab/>
      </w:r>
      <w:r>
        <w:tab/>
        <w:t>Middle-Range Theory</w:t>
      </w:r>
      <w:r>
        <w:br/>
        <w:t>PCN</w:t>
      </w:r>
      <w:r>
        <w:tab/>
      </w:r>
      <w:r>
        <w:tab/>
        <w:t>Primary Care Network</w:t>
      </w:r>
      <w:r>
        <w:br/>
        <w:t>PCR</w:t>
      </w:r>
      <w:r>
        <w:tab/>
      </w:r>
      <w:r>
        <w:tab/>
        <w:t>Provider Collaboration Reviews</w:t>
      </w:r>
      <w:r>
        <w:br/>
        <w:t>PRISMA</w:t>
      </w:r>
      <w:r>
        <w:tab/>
      </w:r>
      <w:r>
        <w:tab/>
        <w:t>Preferred Reporting Items for Systematic reviews and Meta-Analyses</w:t>
      </w:r>
      <w:r>
        <w:br/>
        <w:t>PROSPERO</w:t>
      </w:r>
      <w:r>
        <w:tab/>
        <w:t>I</w:t>
      </w:r>
      <w:r w:rsidRPr="00935497">
        <w:t>nternational P</w:t>
      </w:r>
      <w:r>
        <w:t>RO</w:t>
      </w:r>
      <w:r w:rsidRPr="00935497">
        <w:t>spective Register of Systematic Reviews</w:t>
      </w:r>
      <w:r>
        <w:br/>
        <w:t>RAMESES</w:t>
      </w:r>
      <w:r>
        <w:tab/>
      </w:r>
      <w:r w:rsidRPr="004B4332">
        <w:t>Realist And Meta-narrative Evidence Syntheses: Evolving Standards</w:t>
      </w:r>
      <w:r>
        <w:br/>
        <w:t>STP</w:t>
      </w:r>
      <w:r>
        <w:tab/>
      </w:r>
      <w:r>
        <w:tab/>
        <w:t>Sustainability and Transformation Partnership</w:t>
      </w:r>
      <w:r>
        <w:br/>
        <w:t>UK</w:t>
      </w:r>
      <w:r>
        <w:tab/>
      </w:r>
      <w:r>
        <w:tab/>
        <w:t>United Kingdom</w:t>
      </w:r>
    </w:p>
    <w:p w14:paraId="427C2DCF" w14:textId="77777777" w:rsidR="002B7278" w:rsidRDefault="002B7278" w:rsidP="00525BE0">
      <w:pPr>
        <w:pStyle w:val="Heading2"/>
        <w:spacing w:line="360" w:lineRule="auto"/>
        <w:jc w:val="both"/>
      </w:pPr>
    </w:p>
    <w:p w14:paraId="3C326183" w14:textId="39C12A2F" w:rsidR="002B7278" w:rsidRDefault="002B7278" w:rsidP="00525BE0">
      <w:pPr>
        <w:pStyle w:val="Heading2"/>
        <w:spacing w:line="360" w:lineRule="auto"/>
        <w:jc w:val="both"/>
      </w:pPr>
      <w:bookmarkStart w:id="7" w:name="_Toc85066396"/>
      <w:r>
        <w:t>Supplementary Material Files</w:t>
      </w:r>
      <w:bookmarkEnd w:id="7"/>
    </w:p>
    <w:p w14:paraId="73D3C3E4" w14:textId="77777777" w:rsidR="002B7278" w:rsidRPr="002F3A6D" w:rsidRDefault="002B7278" w:rsidP="00525BE0">
      <w:pPr>
        <w:spacing w:line="360" w:lineRule="auto"/>
        <w:jc w:val="both"/>
      </w:pPr>
      <w:r>
        <w:t>Supplementary File 1: Context-Mechanism-Outcome Configurations extracted during theory refinement.</w:t>
      </w:r>
    </w:p>
    <w:p w14:paraId="073C9DD4" w14:textId="617A4ED3" w:rsidR="002B7278" w:rsidRDefault="002B7278" w:rsidP="00525BE0">
      <w:pPr>
        <w:spacing w:after="0" w:line="240" w:lineRule="auto"/>
        <w:jc w:val="both"/>
        <w:rPr>
          <w:lang w:eastAsia="en-GB"/>
        </w:rPr>
      </w:pPr>
    </w:p>
    <w:p w14:paraId="2C2EF0BC" w14:textId="3B13CF66" w:rsidR="002B7278" w:rsidRDefault="002B7278" w:rsidP="00525BE0">
      <w:pPr>
        <w:spacing w:after="0" w:line="240" w:lineRule="auto"/>
        <w:jc w:val="both"/>
        <w:rPr>
          <w:lang w:eastAsia="en-GB"/>
        </w:rPr>
      </w:pPr>
    </w:p>
    <w:p w14:paraId="680F3451" w14:textId="3611DF9E" w:rsidR="008C4D00" w:rsidRDefault="008C4D00" w:rsidP="00525BE0">
      <w:pPr>
        <w:spacing w:after="0" w:line="240" w:lineRule="auto"/>
        <w:jc w:val="both"/>
        <w:rPr>
          <w:lang w:eastAsia="en-GB"/>
        </w:rPr>
      </w:pPr>
    </w:p>
    <w:p w14:paraId="35565100" w14:textId="5D492FEB" w:rsidR="008C4D00" w:rsidRDefault="008C4D00" w:rsidP="00525BE0">
      <w:pPr>
        <w:spacing w:after="0" w:line="240" w:lineRule="auto"/>
        <w:jc w:val="both"/>
        <w:rPr>
          <w:lang w:eastAsia="en-GB"/>
        </w:rPr>
      </w:pPr>
    </w:p>
    <w:p w14:paraId="5BC04388" w14:textId="483BE449" w:rsidR="008C4D00" w:rsidRDefault="008C4D00" w:rsidP="008C4D00">
      <w:pPr>
        <w:pStyle w:val="Heading2"/>
        <w:rPr>
          <w:lang w:eastAsia="en-GB"/>
        </w:rPr>
      </w:pPr>
      <w:bookmarkStart w:id="8" w:name="_Toc85060288"/>
      <w:bookmarkStart w:id="9" w:name="_Toc85066397"/>
      <w:r>
        <w:rPr>
          <w:lang w:eastAsia="en-GB"/>
        </w:rPr>
        <w:t>Word length</w:t>
      </w:r>
      <w:r w:rsidR="002160F8">
        <w:rPr>
          <w:lang w:eastAsia="en-GB"/>
        </w:rPr>
        <w:t xml:space="preserve"> of main body</w:t>
      </w:r>
      <w:bookmarkEnd w:id="8"/>
      <w:bookmarkEnd w:id="9"/>
    </w:p>
    <w:p w14:paraId="296621A4" w14:textId="77777777" w:rsidR="008C4D00" w:rsidRDefault="008C4D00" w:rsidP="00525BE0">
      <w:pPr>
        <w:spacing w:after="0" w:line="240" w:lineRule="auto"/>
        <w:jc w:val="both"/>
        <w:rPr>
          <w:lang w:eastAsia="en-GB"/>
        </w:rPr>
      </w:pPr>
    </w:p>
    <w:p w14:paraId="3580B10D" w14:textId="7584D82C" w:rsidR="008C4D00" w:rsidRDefault="002160F8" w:rsidP="00525BE0">
      <w:pPr>
        <w:spacing w:after="0" w:line="240" w:lineRule="auto"/>
        <w:jc w:val="both"/>
        <w:rPr>
          <w:lang w:eastAsia="en-GB"/>
        </w:rPr>
      </w:pPr>
      <w:r>
        <w:rPr>
          <w:lang w:eastAsia="en-GB"/>
        </w:rPr>
        <w:t>40,992 words</w:t>
      </w:r>
    </w:p>
    <w:p w14:paraId="11F81C6A" w14:textId="1B05A5C4" w:rsidR="008C4D00" w:rsidRDefault="008C4D00" w:rsidP="00525BE0">
      <w:pPr>
        <w:spacing w:after="0" w:line="240" w:lineRule="auto"/>
        <w:jc w:val="both"/>
        <w:rPr>
          <w:lang w:eastAsia="en-GB"/>
        </w:rPr>
      </w:pPr>
    </w:p>
    <w:p w14:paraId="25D434A1" w14:textId="06013614" w:rsidR="008C4D00" w:rsidRDefault="008C4D00" w:rsidP="00525BE0">
      <w:pPr>
        <w:spacing w:after="0" w:line="240" w:lineRule="auto"/>
        <w:jc w:val="both"/>
        <w:rPr>
          <w:lang w:eastAsia="en-GB"/>
        </w:rPr>
      </w:pPr>
    </w:p>
    <w:p w14:paraId="0958CD9A" w14:textId="46B4A922" w:rsidR="002B7278" w:rsidRDefault="002B7278" w:rsidP="00525BE0">
      <w:pPr>
        <w:spacing w:after="0" w:line="240" w:lineRule="auto"/>
        <w:jc w:val="both"/>
        <w:rPr>
          <w:lang w:eastAsia="en-GB"/>
        </w:rPr>
      </w:pPr>
    </w:p>
    <w:p w14:paraId="1BC95E3D" w14:textId="2ABA76E5" w:rsidR="002B7278" w:rsidRDefault="002B7278" w:rsidP="00525BE0">
      <w:pPr>
        <w:spacing w:after="0" w:line="240" w:lineRule="auto"/>
        <w:jc w:val="both"/>
        <w:rPr>
          <w:lang w:eastAsia="en-GB"/>
        </w:rPr>
      </w:pPr>
    </w:p>
    <w:p w14:paraId="4E70055C" w14:textId="76E7A1FF" w:rsidR="002B7278" w:rsidRDefault="002B7278" w:rsidP="00525BE0">
      <w:pPr>
        <w:spacing w:after="0" w:line="240" w:lineRule="auto"/>
        <w:jc w:val="both"/>
        <w:rPr>
          <w:lang w:eastAsia="en-GB"/>
        </w:rPr>
      </w:pPr>
    </w:p>
    <w:p w14:paraId="2F3EB809" w14:textId="77777777" w:rsidR="002B7278" w:rsidRDefault="002B7278" w:rsidP="00525BE0">
      <w:pPr>
        <w:spacing w:after="0" w:line="240" w:lineRule="auto"/>
        <w:jc w:val="both"/>
        <w:rPr>
          <w:lang w:eastAsia="en-GB"/>
        </w:rPr>
      </w:pPr>
    </w:p>
    <w:p w14:paraId="72E3147F" w14:textId="09A0A60B" w:rsidR="004E57AF" w:rsidRDefault="004E57AF" w:rsidP="003855CD">
      <w:pPr>
        <w:pStyle w:val="Heading1"/>
        <w:spacing w:line="360" w:lineRule="auto"/>
        <w:jc w:val="both"/>
        <w:rPr>
          <w:lang w:eastAsia="en-GB"/>
        </w:rPr>
      </w:pPr>
      <w:bookmarkStart w:id="10" w:name="_Toc85066398"/>
      <w:r>
        <w:rPr>
          <w:lang w:eastAsia="en-GB"/>
        </w:rPr>
        <w:t>Plain English summary</w:t>
      </w:r>
      <w:bookmarkEnd w:id="10"/>
    </w:p>
    <w:p w14:paraId="4783865E" w14:textId="77777777" w:rsidR="00E3315C" w:rsidRDefault="00E3315C" w:rsidP="003855CD">
      <w:pPr>
        <w:spacing w:line="360" w:lineRule="auto"/>
        <w:jc w:val="both"/>
        <w:rPr>
          <w:b/>
        </w:rPr>
      </w:pPr>
    </w:p>
    <w:p w14:paraId="29A0D790" w14:textId="77AC7B50" w:rsidR="006834E6" w:rsidRDefault="00E3315C" w:rsidP="003855CD">
      <w:pPr>
        <w:spacing w:line="360" w:lineRule="auto"/>
        <w:jc w:val="both"/>
        <w:rPr>
          <w:b/>
        </w:rPr>
      </w:pPr>
      <w:r w:rsidRPr="00A44A15">
        <w:rPr>
          <w:b/>
        </w:rPr>
        <w:t>What was the questi</w:t>
      </w:r>
      <w:r w:rsidR="00367EC5">
        <w:rPr>
          <w:b/>
        </w:rPr>
        <w:t>on?</w:t>
      </w:r>
    </w:p>
    <w:p w14:paraId="6D52954F" w14:textId="7EC115AB" w:rsidR="00E3315C" w:rsidRPr="00367EC5" w:rsidRDefault="006834E6" w:rsidP="003855CD">
      <w:pPr>
        <w:spacing w:line="360" w:lineRule="auto"/>
        <w:jc w:val="both"/>
        <w:rPr>
          <w:b/>
        </w:rPr>
      </w:pPr>
      <w:r>
        <w:t>How can</w:t>
      </w:r>
      <w:r w:rsidRPr="00A44A15">
        <w:t xml:space="preserve"> </w:t>
      </w:r>
      <w:r w:rsidR="00C72745">
        <w:t>the</w:t>
      </w:r>
      <w:r w:rsidR="00E3315C" w:rsidRPr="00A44A15">
        <w:t xml:space="preserve"> collaboration between health care providers</w:t>
      </w:r>
      <w:r w:rsidR="00C72745">
        <w:t xml:space="preserve"> be improved</w:t>
      </w:r>
      <w:r>
        <w:t xml:space="preserve">? </w:t>
      </w:r>
    </w:p>
    <w:p w14:paraId="1436D85C" w14:textId="77777777" w:rsidR="00E3315C" w:rsidRPr="00A44A15" w:rsidRDefault="00E3315C" w:rsidP="003855CD">
      <w:pPr>
        <w:spacing w:line="360" w:lineRule="auto"/>
        <w:jc w:val="both"/>
        <w:rPr>
          <w:b/>
        </w:rPr>
      </w:pPr>
      <w:r w:rsidRPr="00A44A15">
        <w:rPr>
          <w:b/>
        </w:rPr>
        <w:t>What did we do?</w:t>
      </w:r>
    </w:p>
    <w:p w14:paraId="445E7987" w14:textId="5037DF49" w:rsidR="00E3315C" w:rsidRDefault="00E3315C" w:rsidP="003855CD">
      <w:pPr>
        <w:spacing w:line="360" w:lineRule="auto"/>
        <w:jc w:val="both"/>
      </w:pPr>
      <w:r>
        <w:t xml:space="preserve">There are continuing concerns about poor patient care </w:t>
      </w:r>
      <w:r w:rsidR="007877B7">
        <w:t xml:space="preserve">across </w:t>
      </w:r>
      <w:r w:rsidR="003461D3">
        <w:t xml:space="preserve">the </w:t>
      </w:r>
      <w:r w:rsidR="007877B7">
        <w:t>NHS</w:t>
      </w:r>
      <w:r>
        <w:t xml:space="preserve">. One of the ways governments have tried to solve these issues is by getting services to work together rather than separately to solve any </w:t>
      </w:r>
      <w:r w:rsidR="00363B9A">
        <w:t>problems</w:t>
      </w:r>
      <w:r>
        <w:t xml:space="preserve">. The aim of our review is to learn about how, why, and when these different approaches to working together – which we call inter-organisational collaboration - </w:t>
      </w:r>
      <w:r w:rsidR="00595724">
        <w:t xml:space="preserve">can </w:t>
      </w:r>
      <w:r>
        <w:t>be used to improve</w:t>
      </w:r>
      <w:r w:rsidR="003461D3">
        <w:t xml:space="preserve"> the performance of</w:t>
      </w:r>
      <w:r>
        <w:t xml:space="preserve"> NHS providers. </w:t>
      </w:r>
      <w:r w:rsidR="00830403">
        <w:t xml:space="preserve">We reviewed published evidence and carried out interviews with </w:t>
      </w:r>
      <w:r w:rsidR="00830403" w:rsidRPr="00830403">
        <w:t>NHS staff</w:t>
      </w:r>
      <w:r w:rsidR="00830403">
        <w:t xml:space="preserve">. We also carried out interviews and a focus group with </w:t>
      </w:r>
      <w:r w:rsidR="00830403" w:rsidRPr="00830403">
        <w:t>patient</w:t>
      </w:r>
      <w:r w:rsidR="00830403">
        <w:t xml:space="preserve"> </w:t>
      </w:r>
      <w:r w:rsidR="00830403" w:rsidRPr="00830403">
        <w:t>and public</w:t>
      </w:r>
      <w:r w:rsidR="00830403">
        <w:t xml:space="preserve"> representatives.</w:t>
      </w:r>
    </w:p>
    <w:p w14:paraId="77691558" w14:textId="77777777" w:rsidR="00E3315C" w:rsidRPr="00A44A15" w:rsidRDefault="00E3315C" w:rsidP="003855CD">
      <w:pPr>
        <w:spacing w:line="360" w:lineRule="auto"/>
        <w:jc w:val="both"/>
        <w:rPr>
          <w:b/>
        </w:rPr>
      </w:pPr>
      <w:r w:rsidRPr="00A44A15">
        <w:rPr>
          <w:b/>
        </w:rPr>
        <w:t>What did we find?</w:t>
      </w:r>
    </w:p>
    <w:p w14:paraId="554C72AA" w14:textId="5DDC0554" w:rsidR="00E3315C" w:rsidRDefault="00E3315C" w:rsidP="003855CD">
      <w:pPr>
        <w:spacing w:line="360" w:lineRule="auto"/>
        <w:jc w:val="both"/>
      </w:pPr>
      <w:r>
        <w:t xml:space="preserve">Our review finds that </w:t>
      </w:r>
      <w:r w:rsidRPr="000C0464">
        <w:t>inter-organisational collaboration</w:t>
      </w:r>
      <w:r w:rsidR="003855CD">
        <w:t>s</w:t>
      </w:r>
      <w:r>
        <w:t xml:space="preserve"> can work well when a series of elements are in place. These include the need to build trust between everyone involved</w:t>
      </w:r>
      <w:r w:rsidR="003461D3">
        <w:t>. H</w:t>
      </w:r>
      <w:r w:rsidR="003855CD">
        <w:t xml:space="preserve">aving a belief in the collaboration </w:t>
      </w:r>
      <w:r w:rsidR="003461D3">
        <w:t>is also needed to help</w:t>
      </w:r>
      <w:r w:rsidR="003855CD">
        <w:t xml:space="preserve"> inspire others to get involved. </w:t>
      </w:r>
      <w:r>
        <w:t>To try and reduce possible problems, setting priorities and having clear methods to show how improvements can be achieved are important</w:t>
      </w:r>
      <w:r w:rsidR="003461D3">
        <w:t>, as well as h</w:t>
      </w:r>
      <w:r>
        <w:t xml:space="preserve">aving an agreed contract in place </w:t>
      </w:r>
      <w:r w:rsidR="003461D3">
        <w:t xml:space="preserve">to </w:t>
      </w:r>
      <w:r>
        <w:t xml:space="preserve">ensure that any conflicts </w:t>
      </w:r>
      <w:r w:rsidR="003461D3">
        <w:t>are</w:t>
      </w:r>
      <w:r>
        <w:t xml:space="preserve"> resolved.</w:t>
      </w:r>
    </w:p>
    <w:p w14:paraId="70D7CBE8" w14:textId="77777777" w:rsidR="00E3315C" w:rsidRDefault="00E3315C" w:rsidP="003855CD">
      <w:pPr>
        <w:spacing w:line="360" w:lineRule="auto"/>
        <w:jc w:val="both"/>
      </w:pPr>
      <w:r>
        <w:t>If done well, c</w:t>
      </w:r>
      <w:r w:rsidRPr="00A44A15">
        <w:t>ollaboration can improve resource allocation, coordination, communication, and shared learning about best practice.</w:t>
      </w:r>
    </w:p>
    <w:p w14:paraId="21B66F8E" w14:textId="77777777" w:rsidR="00E3315C" w:rsidRPr="00A44A15" w:rsidRDefault="00E3315C" w:rsidP="003855CD">
      <w:pPr>
        <w:spacing w:line="360" w:lineRule="auto"/>
        <w:jc w:val="both"/>
        <w:rPr>
          <w:b/>
        </w:rPr>
      </w:pPr>
      <w:r w:rsidRPr="00A44A15">
        <w:rPr>
          <w:b/>
        </w:rPr>
        <w:t>What does this mean?</w:t>
      </w:r>
    </w:p>
    <w:p w14:paraId="730EA093" w14:textId="5F95DE49" w:rsidR="004E57AF" w:rsidRDefault="00E3315C" w:rsidP="003855CD">
      <w:pPr>
        <w:spacing w:line="360" w:lineRule="auto"/>
        <w:jc w:val="both"/>
      </w:pPr>
      <w:r>
        <w:t xml:space="preserve">Our review provides valuable evidence of how different approaches to inter-organisational collaboration can be used by NHS providers to work together to improve services in different situations. </w:t>
      </w:r>
      <w:r w:rsidR="00111640">
        <w:t>It provides different options for</w:t>
      </w:r>
      <w:r>
        <w:t xml:space="preserve"> organisations </w:t>
      </w:r>
      <w:r w:rsidR="00111640">
        <w:t xml:space="preserve">to </w:t>
      </w:r>
      <w:r>
        <w:t>reflect on how well they</w:t>
      </w:r>
      <w:r w:rsidR="000A4095">
        <w:t xml:space="preserve"> are collaborating, which includes the involvement</w:t>
      </w:r>
      <w:r>
        <w:t xml:space="preserve"> key stakeholders such as patients, the public, and communities.</w:t>
      </w:r>
    </w:p>
    <w:p w14:paraId="2AA57455" w14:textId="6EE0EC90" w:rsidR="003855CD" w:rsidRDefault="003855CD" w:rsidP="00BC34A8">
      <w:pPr>
        <w:spacing w:after="0" w:line="240" w:lineRule="auto"/>
      </w:pPr>
      <w:r>
        <w:br w:type="page"/>
      </w:r>
    </w:p>
    <w:p w14:paraId="2186B00E" w14:textId="25DA7BD5" w:rsidR="00AB1F59" w:rsidRPr="003855CD" w:rsidRDefault="004E57AF" w:rsidP="003855CD">
      <w:pPr>
        <w:pStyle w:val="Heading1"/>
        <w:spacing w:line="360" w:lineRule="auto"/>
        <w:jc w:val="both"/>
        <w:rPr>
          <w:lang w:eastAsia="en-GB"/>
        </w:rPr>
      </w:pPr>
      <w:bookmarkStart w:id="11" w:name="_Toc85066399"/>
      <w:r>
        <w:rPr>
          <w:lang w:eastAsia="en-GB"/>
        </w:rPr>
        <w:t>Scientific Summary</w:t>
      </w:r>
      <w:bookmarkEnd w:id="11"/>
    </w:p>
    <w:p w14:paraId="67FACC47" w14:textId="77777777" w:rsidR="000374D2" w:rsidRDefault="000374D2" w:rsidP="003855CD">
      <w:pPr>
        <w:spacing w:line="360" w:lineRule="auto"/>
        <w:jc w:val="both"/>
        <w:rPr>
          <w:b/>
          <w:lang w:eastAsia="en-GB"/>
        </w:rPr>
      </w:pPr>
    </w:p>
    <w:p w14:paraId="14638F2C" w14:textId="4E2E7993" w:rsidR="003855CD" w:rsidRPr="003855CD" w:rsidRDefault="003855CD" w:rsidP="003855CD">
      <w:pPr>
        <w:spacing w:line="360" w:lineRule="auto"/>
        <w:jc w:val="both"/>
        <w:rPr>
          <w:b/>
          <w:lang w:eastAsia="en-GB"/>
        </w:rPr>
      </w:pPr>
      <w:r w:rsidRPr="003855CD">
        <w:rPr>
          <w:b/>
          <w:lang w:eastAsia="en-GB"/>
        </w:rPr>
        <w:t xml:space="preserve">Background </w:t>
      </w:r>
    </w:p>
    <w:p w14:paraId="4A784667" w14:textId="490F8F25" w:rsidR="003855CD" w:rsidRDefault="003855CD" w:rsidP="003855CD">
      <w:pPr>
        <w:spacing w:line="360" w:lineRule="auto"/>
        <w:jc w:val="both"/>
        <w:rPr>
          <w:lang w:eastAsia="en-GB"/>
        </w:rPr>
      </w:pPr>
      <w:r>
        <w:rPr>
          <w:lang w:eastAsia="en-GB"/>
        </w:rPr>
        <w:t xml:space="preserve">Improving the collaboration and integration of services has become a mantra for health care systems. Inter-organisational collaborations </w:t>
      </w:r>
      <w:r w:rsidR="007877B7">
        <w:rPr>
          <w:lang w:eastAsia="en-GB"/>
        </w:rPr>
        <w:t xml:space="preserve">(IOCs) </w:t>
      </w:r>
      <w:r>
        <w:rPr>
          <w:lang w:eastAsia="en-GB"/>
        </w:rPr>
        <w:t>such as alliances, groups, associations, networks, and mergers have been closely linked to policy contexts where governments have promoted collaboration as a solution for meeting the innovation, coordination, efficiency and quality challenges currently being faced. A variety of factors have been attributed to achieving success within such initiatives. These include the importance of organisational capacity, having a shared vision, building trust, and collaborative leadership. However, realising the advantages of collaboration is far from straightforward with notable barriers including the influence of historical events, competitive behaviour, the regulatory environment, and a lack of organisational resources.</w:t>
      </w:r>
    </w:p>
    <w:p w14:paraId="0331B8D6" w14:textId="62C72B00" w:rsidR="003855CD" w:rsidRDefault="003855CD" w:rsidP="003855CD">
      <w:pPr>
        <w:spacing w:line="360" w:lineRule="auto"/>
        <w:jc w:val="both"/>
        <w:rPr>
          <w:lang w:eastAsia="en-GB"/>
        </w:rPr>
      </w:pPr>
      <w:r>
        <w:rPr>
          <w:lang w:eastAsia="en-GB"/>
        </w:rPr>
        <w:t xml:space="preserve">Despite the burgeoning evidence base and increased policy emphasis on collaborative working, notable gaps in knowledge persist. As a result, our understanding of the mechanisms and processes for spreading and sustaining evidence about how IOC relationships work in practice is limited. Many questions remain about how inter-organisational arrangements work, for whom, and in what circumstances. Given the complexities of collaborative arrangements, contributions identify how ‘theories of change’ (ToC) approaches provide a way to assess how collaboration synergies are shaped by contexts, behaviours, and structures. Realist approaches to the study of </w:t>
      </w:r>
      <w:r w:rsidR="007877B7">
        <w:rPr>
          <w:lang w:eastAsia="en-GB"/>
        </w:rPr>
        <w:t>IOCs</w:t>
      </w:r>
      <w:r>
        <w:rPr>
          <w:lang w:eastAsia="en-GB"/>
        </w:rPr>
        <w:t xml:space="preserve"> are advocated, however, applications within health care settings ha</w:t>
      </w:r>
      <w:r w:rsidR="007877B7">
        <w:rPr>
          <w:lang w:eastAsia="en-GB"/>
        </w:rPr>
        <w:t>ve</w:t>
      </w:r>
      <w:r>
        <w:rPr>
          <w:lang w:eastAsia="en-GB"/>
        </w:rPr>
        <w:t xml:space="preserve"> hitherto remained an underdeveloped area.</w:t>
      </w:r>
    </w:p>
    <w:p w14:paraId="258C8DEF" w14:textId="77777777" w:rsidR="003855CD" w:rsidRPr="003855CD" w:rsidRDefault="003855CD" w:rsidP="003855CD">
      <w:pPr>
        <w:spacing w:line="360" w:lineRule="auto"/>
        <w:jc w:val="both"/>
        <w:rPr>
          <w:b/>
          <w:lang w:eastAsia="en-GB"/>
        </w:rPr>
      </w:pPr>
      <w:r w:rsidRPr="003855CD">
        <w:rPr>
          <w:b/>
          <w:lang w:eastAsia="en-GB"/>
        </w:rPr>
        <w:t xml:space="preserve">Objectives </w:t>
      </w:r>
    </w:p>
    <w:p w14:paraId="1C2DD967" w14:textId="68A97665" w:rsidR="003855CD" w:rsidRDefault="003855CD" w:rsidP="003855CD">
      <w:pPr>
        <w:spacing w:line="360" w:lineRule="auto"/>
        <w:jc w:val="both"/>
        <w:rPr>
          <w:lang w:eastAsia="en-GB"/>
        </w:rPr>
      </w:pPr>
      <w:r>
        <w:rPr>
          <w:lang w:eastAsia="en-GB"/>
        </w:rPr>
        <w:t>The research has the following inter-related objectives:</w:t>
      </w:r>
    </w:p>
    <w:p w14:paraId="25FA0B27" w14:textId="2DCEEA20" w:rsidR="003855CD" w:rsidRDefault="003855CD" w:rsidP="002160F8">
      <w:pPr>
        <w:spacing w:line="360" w:lineRule="auto"/>
        <w:ind w:left="720"/>
        <w:jc w:val="both"/>
        <w:rPr>
          <w:lang w:eastAsia="en-GB"/>
        </w:rPr>
      </w:pPr>
      <w:r>
        <w:rPr>
          <w:lang w:eastAsia="en-GB"/>
        </w:rPr>
        <w:t>1. To explore the main strands of the literature about inter-organisational collaboration and identify the main theoretical and conceptual frameworks that can be used to shed light on the conditions and antecedents for effective partnering across sectors and stakeholders.</w:t>
      </w:r>
    </w:p>
    <w:p w14:paraId="048A9CA1" w14:textId="5FF549A0" w:rsidR="003855CD" w:rsidRDefault="003855CD" w:rsidP="002160F8">
      <w:pPr>
        <w:spacing w:line="360" w:lineRule="auto"/>
        <w:ind w:left="720"/>
        <w:jc w:val="both"/>
        <w:rPr>
          <w:lang w:eastAsia="en-GB"/>
        </w:rPr>
      </w:pPr>
      <w:r>
        <w:rPr>
          <w:lang w:eastAsia="en-GB"/>
        </w:rPr>
        <w:t xml:space="preserve">2. To assess the empirical evidence with regards to how different inter-organisational practices may (or may not) lead to improved performance and outcomes. </w:t>
      </w:r>
    </w:p>
    <w:p w14:paraId="54A78E93" w14:textId="6070CB7D" w:rsidR="003855CD" w:rsidRDefault="003855CD" w:rsidP="002160F8">
      <w:pPr>
        <w:spacing w:line="360" w:lineRule="auto"/>
        <w:ind w:left="720"/>
        <w:jc w:val="both"/>
        <w:rPr>
          <w:lang w:eastAsia="en-GB"/>
        </w:rPr>
      </w:pPr>
      <w:r>
        <w:rPr>
          <w:lang w:eastAsia="en-GB"/>
        </w:rPr>
        <w:t xml:space="preserve">3. To understand and learn from NHS evidence users and other stakeholders about how and where inter-organisational collaboration can best be used as a mechanism to support turnaround processes. </w:t>
      </w:r>
    </w:p>
    <w:p w14:paraId="3B157F2F" w14:textId="43663A0E" w:rsidR="003855CD" w:rsidRDefault="003855CD" w:rsidP="002160F8">
      <w:pPr>
        <w:spacing w:line="360" w:lineRule="auto"/>
        <w:ind w:left="720"/>
        <w:jc w:val="both"/>
        <w:rPr>
          <w:lang w:eastAsia="en-GB"/>
        </w:rPr>
      </w:pPr>
      <w:r>
        <w:rPr>
          <w:lang w:eastAsia="en-GB"/>
        </w:rPr>
        <w:t>4. To develop a typology of inter-organisational collaboration that considers different types and scales of collaborative ventures that are appropriate for particular NHS provider contexts.</w:t>
      </w:r>
    </w:p>
    <w:p w14:paraId="42BD097D" w14:textId="0FF11984" w:rsidR="003855CD" w:rsidRDefault="003855CD" w:rsidP="002160F8">
      <w:pPr>
        <w:spacing w:line="360" w:lineRule="auto"/>
        <w:ind w:left="720"/>
        <w:jc w:val="both"/>
        <w:rPr>
          <w:lang w:eastAsia="en-GB"/>
        </w:rPr>
      </w:pPr>
      <w:r>
        <w:rPr>
          <w:lang w:eastAsia="en-GB"/>
        </w:rPr>
        <w:t>5. To generate evidence informed practical guidance for NHS providers, policy makers and others with responsibility for implementing and assessing inter-organisational collaboration arrangements in the NHS.</w:t>
      </w:r>
    </w:p>
    <w:p w14:paraId="6921CAF6" w14:textId="77777777" w:rsidR="003855CD" w:rsidRPr="003855CD" w:rsidRDefault="003855CD" w:rsidP="003855CD">
      <w:pPr>
        <w:spacing w:line="360" w:lineRule="auto"/>
        <w:jc w:val="both"/>
        <w:rPr>
          <w:b/>
          <w:lang w:eastAsia="en-GB"/>
        </w:rPr>
      </w:pPr>
      <w:r w:rsidRPr="003855CD">
        <w:rPr>
          <w:b/>
          <w:lang w:eastAsia="en-GB"/>
        </w:rPr>
        <w:t xml:space="preserve">Methods </w:t>
      </w:r>
    </w:p>
    <w:p w14:paraId="5074354E" w14:textId="5699003A" w:rsidR="003855CD" w:rsidRDefault="003855CD" w:rsidP="003855CD">
      <w:pPr>
        <w:spacing w:line="360" w:lineRule="auto"/>
        <w:jc w:val="both"/>
        <w:rPr>
          <w:lang w:eastAsia="en-GB"/>
        </w:rPr>
      </w:pPr>
      <w:r>
        <w:rPr>
          <w:lang w:eastAsia="en-GB"/>
        </w:rPr>
        <w:t>A realist methodology is employed to provide useful intelligence regarding how, why</w:t>
      </w:r>
      <w:r w:rsidR="00595724">
        <w:rPr>
          <w:lang w:eastAsia="en-GB"/>
        </w:rPr>
        <w:t>,</w:t>
      </w:r>
      <w:r>
        <w:rPr>
          <w:lang w:eastAsia="en-GB"/>
        </w:rPr>
        <w:t xml:space="preserve"> and in what circumstances different approaches to inter-organisational collaboration can improve the performance of NHS provider organisations. </w:t>
      </w:r>
    </w:p>
    <w:p w14:paraId="152DC76E" w14:textId="77777777" w:rsidR="003855CD" w:rsidRPr="003855CD" w:rsidRDefault="003855CD" w:rsidP="003855CD">
      <w:pPr>
        <w:spacing w:line="360" w:lineRule="auto"/>
        <w:jc w:val="both"/>
        <w:rPr>
          <w:b/>
          <w:lang w:eastAsia="en-GB"/>
        </w:rPr>
      </w:pPr>
      <w:r w:rsidRPr="003855CD">
        <w:rPr>
          <w:b/>
          <w:lang w:eastAsia="en-GB"/>
        </w:rPr>
        <w:t>Data sources</w:t>
      </w:r>
    </w:p>
    <w:p w14:paraId="1848957D" w14:textId="0DC9802F" w:rsidR="003855CD" w:rsidRDefault="003855CD" w:rsidP="003855CD">
      <w:pPr>
        <w:spacing w:line="360" w:lineRule="auto"/>
        <w:jc w:val="both"/>
        <w:rPr>
          <w:lang w:eastAsia="en-GB"/>
        </w:rPr>
      </w:pPr>
      <w:r>
        <w:rPr>
          <w:lang w:eastAsia="en-GB"/>
        </w:rPr>
        <w:t xml:space="preserve">Given the large, multifaceted and complex nature of IOCs, an ‘initial rough theory’ </w:t>
      </w:r>
      <w:r w:rsidR="00307370">
        <w:rPr>
          <w:lang w:eastAsia="en-GB"/>
        </w:rPr>
        <w:t xml:space="preserve">was </w:t>
      </w:r>
      <w:r>
        <w:rPr>
          <w:lang w:eastAsia="en-GB"/>
        </w:rPr>
        <w:t>developed by combining a review of grey and narrative literature, along with systematic reviews of evidence to capture key definitions, typologies, ingredients and outcomes. Subsequent systematic searches were conducted to gather evidence about how IOC works and the contextual factors shaping a range of entities such as alliances, buddying, mergers, acquisitions, and hospital groups. Searches were run between 07.10.20 and 04.03.2</w:t>
      </w:r>
      <w:r w:rsidR="00222275">
        <w:rPr>
          <w:lang w:eastAsia="en-GB"/>
        </w:rPr>
        <w:t>1</w:t>
      </w:r>
      <w:r>
        <w:rPr>
          <w:lang w:eastAsia="en-GB"/>
        </w:rPr>
        <w:t xml:space="preserve"> on databases including the Healthcare Management Information Consortium (HMIC), MEDLINE, Social Policy and Practice, and PsycINFO, and Google Scholar. Reference scanning and citation tracking was also employed. </w:t>
      </w:r>
    </w:p>
    <w:p w14:paraId="339B9DAC" w14:textId="5FC113D4" w:rsidR="003855CD" w:rsidRDefault="003855CD" w:rsidP="003855CD">
      <w:pPr>
        <w:spacing w:line="360" w:lineRule="auto"/>
        <w:jc w:val="both"/>
        <w:rPr>
          <w:lang w:eastAsia="en-GB"/>
        </w:rPr>
      </w:pPr>
      <w:r>
        <w:rPr>
          <w:lang w:eastAsia="en-GB"/>
        </w:rPr>
        <w:t xml:space="preserve">We conducted a realist evaluation to further test our refined programme theory by exploring the experiences of a range of stakeholders comprising the leaders or architects of IOCs, regulators, policymakers, professional bodies, frontline staff, and patient representatives. </w:t>
      </w:r>
    </w:p>
    <w:p w14:paraId="73FCB156" w14:textId="77777777" w:rsidR="003855CD" w:rsidRPr="003855CD" w:rsidRDefault="003855CD" w:rsidP="003855CD">
      <w:pPr>
        <w:spacing w:line="360" w:lineRule="auto"/>
        <w:jc w:val="both"/>
        <w:rPr>
          <w:b/>
          <w:lang w:eastAsia="en-GB"/>
        </w:rPr>
      </w:pPr>
      <w:r w:rsidRPr="003855CD">
        <w:rPr>
          <w:b/>
          <w:lang w:eastAsia="en-GB"/>
        </w:rPr>
        <w:t>Inclusion criteria</w:t>
      </w:r>
    </w:p>
    <w:p w14:paraId="402C38FD" w14:textId="554E41EB" w:rsidR="003855CD" w:rsidRDefault="003855CD" w:rsidP="003855CD">
      <w:pPr>
        <w:spacing w:line="360" w:lineRule="auto"/>
        <w:jc w:val="both"/>
        <w:rPr>
          <w:lang w:eastAsia="en-GB"/>
        </w:rPr>
      </w:pPr>
      <w:r>
        <w:rPr>
          <w:lang w:eastAsia="en-GB"/>
        </w:rPr>
        <w:t xml:space="preserve">The </w:t>
      </w:r>
      <w:r w:rsidR="00AB65E6">
        <w:rPr>
          <w:lang w:eastAsia="en-GB"/>
        </w:rPr>
        <w:t xml:space="preserve">realist </w:t>
      </w:r>
      <w:r>
        <w:rPr>
          <w:lang w:eastAsia="en-GB"/>
        </w:rPr>
        <w:t xml:space="preserve">review used the following inclusion criteria for the title and abstract stage: “the paper clearly relates to collaborations between one or more public sector organisations on either a structural or individual level” and “the paper is a case study, evaluation, opinion, or review”. </w:t>
      </w:r>
      <w:r w:rsidR="00AD5B5C">
        <w:rPr>
          <w:lang w:eastAsia="en-GB"/>
        </w:rPr>
        <w:t>Full</w:t>
      </w:r>
      <w:r>
        <w:rPr>
          <w:lang w:eastAsia="en-GB"/>
        </w:rPr>
        <w:t xml:space="preserve"> text screening </w:t>
      </w:r>
      <w:r w:rsidR="00AD5B5C">
        <w:rPr>
          <w:lang w:eastAsia="en-GB"/>
        </w:rPr>
        <w:t xml:space="preserve">also </w:t>
      </w:r>
      <w:r>
        <w:rPr>
          <w:lang w:eastAsia="en-GB"/>
        </w:rPr>
        <w:t>include</w:t>
      </w:r>
      <w:r w:rsidR="00AD5B5C">
        <w:rPr>
          <w:lang w:eastAsia="en-GB"/>
        </w:rPr>
        <w:t>d</w:t>
      </w:r>
      <w:r>
        <w:rPr>
          <w:lang w:eastAsia="en-GB"/>
        </w:rPr>
        <w:t xml:space="preserve"> “propositions about the success or failure of collaboration in the public sector, mechanisms underlying how collaboration works, or include information about ‘entry points’ (i.e., drivers of collaboration)”. For the refinement stage, we included papers that 1) were case studies or evaluations (defined as reporting results of arrangements using descriptive methods), 2) report on an inter-organisational collaboration between health care providing organisations, 3) and were in English language, due to resource limitations of the study. </w:t>
      </w:r>
    </w:p>
    <w:p w14:paraId="7B93086A" w14:textId="7998B1F7" w:rsidR="003855CD" w:rsidRDefault="00595724" w:rsidP="003855CD">
      <w:pPr>
        <w:spacing w:line="360" w:lineRule="auto"/>
        <w:jc w:val="both"/>
        <w:rPr>
          <w:lang w:eastAsia="en-GB"/>
        </w:rPr>
      </w:pPr>
      <w:r>
        <w:rPr>
          <w:lang w:eastAsia="en-GB"/>
        </w:rPr>
        <w:t xml:space="preserve">A purposive </w:t>
      </w:r>
      <w:r w:rsidR="003855CD">
        <w:rPr>
          <w:lang w:eastAsia="en-GB"/>
        </w:rPr>
        <w:t>sampling strategy identified participants through contacts via our study advisory group and from direct contact with potential individual</w:t>
      </w:r>
      <w:r>
        <w:rPr>
          <w:lang w:eastAsia="en-GB"/>
        </w:rPr>
        <w:t>s</w:t>
      </w:r>
      <w:r w:rsidR="003855CD">
        <w:rPr>
          <w:lang w:eastAsia="en-GB"/>
        </w:rPr>
        <w:t xml:space="preserve"> and organisations identified through scoping work. Participants were chosen based on their likelihood of being able to provide rich information about various aspects of </w:t>
      </w:r>
      <w:r>
        <w:rPr>
          <w:lang w:eastAsia="en-GB"/>
        </w:rPr>
        <w:t>IOCs</w:t>
      </w:r>
      <w:r w:rsidR="003855CD">
        <w:rPr>
          <w:lang w:eastAsia="en-GB"/>
        </w:rPr>
        <w:t xml:space="preserve"> from either being engaged in formulating, influencing, implementing</w:t>
      </w:r>
      <w:r w:rsidR="00AD5B5C">
        <w:rPr>
          <w:lang w:eastAsia="en-GB"/>
        </w:rPr>
        <w:t>, or experiencing</w:t>
      </w:r>
      <w:r w:rsidR="003855CD">
        <w:rPr>
          <w:lang w:eastAsia="en-GB"/>
        </w:rPr>
        <w:t xml:space="preserve"> such arrangements. The final sample comprised 37 interviews and one focus group with eight patient </w:t>
      </w:r>
      <w:r w:rsidR="001C5D21">
        <w:rPr>
          <w:lang w:eastAsia="en-GB"/>
        </w:rPr>
        <w:t xml:space="preserve">and public </w:t>
      </w:r>
      <w:r w:rsidR="003855CD">
        <w:rPr>
          <w:lang w:eastAsia="en-GB"/>
        </w:rPr>
        <w:t xml:space="preserve">representatives. </w:t>
      </w:r>
    </w:p>
    <w:p w14:paraId="52B6C7C9" w14:textId="51ED24D7" w:rsidR="003855CD" w:rsidRPr="003855CD" w:rsidRDefault="003855CD" w:rsidP="003855CD">
      <w:pPr>
        <w:spacing w:line="360" w:lineRule="auto"/>
        <w:jc w:val="both"/>
        <w:rPr>
          <w:b/>
          <w:lang w:eastAsia="en-GB"/>
        </w:rPr>
      </w:pPr>
      <w:r w:rsidRPr="003855CD">
        <w:rPr>
          <w:b/>
          <w:lang w:eastAsia="en-GB"/>
        </w:rPr>
        <w:t xml:space="preserve">Data extraction </w:t>
      </w:r>
    </w:p>
    <w:p w14:paraId="491B5ED5" w14:textId="7D722CB5" w:rsidR="003855CD" w:rsidRDefault="003855CD" w:rsidP="003855CD">
      <w:pPr>
        <w:spacing w:line="360" w:lineRule="auto"/>
        <w:jc w:val="both"/>
        <w:rPr>
          <w:lang w:eastAsia="en-GB"/>
        </w:rPr>
      </w:pPr>
      <w:r>
        <w:rPr>
          <w:lang w:eastAsia="en-GB"/>
        </w:rPr>
        <w:t xml:space="preserve">Selected studies were subject to rigour and relevance checks in line with realist synthesis methodology. The screening for rigour was ongoing and primarily involved </w:t>
      </w:r>
      <w:r w:rsidR="002A6329">
        <w:rPr>
          <w:lang w:eastAsia="en-GB"/>
        </w:rPr>
        <w:t xml:space="preserve">only </w:t>
      </w:r>
      <w:r>
        <w:rPr>
          <w:lang w:eastAsia="en-GB"/>
        </w:rPr>
        <w:t xml:space="preserve">including </w:t>
      </w:r>
      <w:r w:rsidR="00AD5B5C">
        <w:rPr>
          <w:lang w:eastAsia="en-GB"/>
        </w:rPr>
        <w:t>context mechanism outcome configuration</w:t>
      </w:r>
      <w:r w:rsidR="002A6329">
        <w:rPr>
          <w:lang w:eastAsia="en-GB"/>
        </w:rPr>
        <w:t>s</w:t>
      </w:r>
      <w:r w:rsidR="00AD5B5C">
        <w:rPr>
          <w:lang w:eastAsia="en-GB"/>
        </w:rPr>
        <w:t xml:space="preserve"> </w:t>
      </w:r>
      <w:r w:rsidR="00F0306E">
        <w:rPr>
          <w:lang w:eastAsia="en-GB"/>
        </w:rPr>
        <w:t xml:space="preserve">(CMOCs) </w:t>
      </w:r>
      <w:r>
        <w:rPr>
          <w:lang w:eastAsia="en-GB"/>
        </w:rPr>
        <w:t xml:space="preserve">when 1) supported by clear data in included studies and 2) by multiple sources. For theoretical sources of evidence, only theories that had seen significant use in the literature since publication were used in the building of our </w:t>
      </w:r>
      <w:r w:rsidR="007364B9">
        <w:rPr>
          <w:lang w:eastAsia="en-GB"/>
        </w:rPr>
        <w:t>m</w:t>
      </w:r>
      <w:r w:rsidR="00384E64">
        <w:rPr>
          <w:lang w:eastAsia="en-GB"/>
        </w:rPr>
        <w:t>iddle</w:t>
      </w:r>
      <w:r w:rsidR="007364B9">
        <w:rPr>
          <w:lang w:eastAsia="en-GB"/>
        </w:rPr>
        <w:t xml:space="preserve"> range t</w:t>
      </w:r>
      <w:r w:rsidR="00384E64">
        <w:rPr>
          <w:lang w:eastAsia="en-GB"/>
        </w:rPr>
        <w:t xml:space="preserve">heory </w:t>
      </w:r>
      <w:r>
        <w:rPr>
          <w:lang w:eastAsia="en-GB"/>
        </w:rPr>
        <w:t xml:space="preserve">and </w:t>
      </w:r>
      <w:r w:rsidR="00384E64">
        <w:rPr>
          <w:lang w:eastAsia="en-GB"/>
        </w:rPr>
        <w:t>CMOCs</w:t>
      </w:r>
      <w:r>
        <w:rPr>
          <w:lang w:eastAsia="en-GB"/>
        </w:rPr>
        <w:t xml:space="preserve">. </w:t>
      </w:r>
      <w:r w:rsidR="002A6329">
        <w:rPr>
          <w:lang w:eastAsia="en-GB"/>
        </w:rPr>
        <w:t>No</w:t>
      </w:r>
      <w:r>
        <w:rPr>
          <w:lang w:eastAsia="en-GB"/>
        </w:rPr>
        <w:t xml:space="preserve"> </w:t>
      </w:r>
      <w:r w:rsidR="002A6329">
        <w:rPr>
          <w:lang w:eastAsia="en-GB"/>
        </w:rPr>
        <w:t>studies or extracts were excluded</w:t>
      </w:r>
      <w:r>
        <w:rPr>
          <w:lang w:eastAsia="en-GB"/>
        </w:rPr>
        <w:t xml:space="preserve"> on the basis of trustworthiness. Analysis of the </w:t>
      </w:r>
      <w:r w:rsidR="00AB65E6">
        <w:rPr>
          <w:lang w:eastAsia="en-GB"/>
        </w:rPr>
        <w:t>r</w:t>
      </w:r>
      <w:r>
        <w:rPr>
          <w:lang w:eastAsia="en-GB"/>
        </w:rPr>
        <w:t xml:space="preserve">ealist evaluation interview data was performed in NVivo 12 software by one coder (JA) with the coding logic independently verified by a second coder (RM). Coding was performed retroductively combining inductive and deductive logic. </w:t>
      </w:r>
    </w:p>
    <w:p w14:paraId="3A11F209" w14:textId="77777777" w:rsidR="003855CD" w:rsidRPr="003855CD" w:rsidRDefault="003855CD" w:rsidP="003855CD">
      <w:pPr>
        <w:spacing w:line="360" w:lineRule="auto"/>
        <w:jc w:val="both"/>
        <w:rPr>
          <w:b/>
          <w:lang w:eastAsia="en-GB"/>
        </w:rPr>
      </w:pPr>
      <w:r w:rsidRPr="003855CD">
        <w:rPr>
          <w:b/>
          <w:lang w:eastAsia="en-GB"/>
        </w:rPr>
        <w:t>Data synthesis</w:t>
      </w:r>
    </w:p>
    <w:p w14:paraId="5D7F293F" w14:textId="1485772C" w:rsidR="003855CD" w:rsidRDefault="003855CD" w:rsidP="003855CD">
      <w:pPr>
        <w:spacing w:line="360" w:lineRule="auto"/>
        <w:jc w:val="both"/>
        <w:rPr>
          <w:lang w:eastAsia="en-GB"/>
        </w:rPr>
      </w:pPr>
      <w:r>
        <w:rPr>
          <w:lang w:eastAsia="en-GB"/>
        </w:rPr>
        <w:t>Theory gleaning synthesised document evidence according to whether they shed light on entry points into collaboration, contextual factors, mechanisms</w:t>
      </w:r>
      <w:r w:rsidR="00AB65E6">
        <w:rPr>
          <w:lang w:eastAsia="en-GB"/>
        </w:rPr>
        <w:t>,</w:t>
      </w:r>
      <w:r>
        <w:rPr>
          <w:lang w:eastAsia="en-GB"/>
        </w:rPr>
        <w:t xml:space="preserve"> or other elements relating to collaborations that helped elucidate the underlying ideas and assumptions regarding how collaboration was intended to work. Theory refinement aimed to test the </w:t>
      </w:r>
      <w:r w:rsidR="006E6A28">
        <w:rPr>
          <w:lang w:eastAsia="en-GB"/>
        </w:rPr>
        <w:t xml:space="preserve">identified </w:t>
      </w:r>
      <w:r>
        <w:rPr>
          <w:lang w:eastAsia="en-GB"/>
        </w:rPr>
        <w:t xml:space="preserve">CMOCs against case studies and improve our </w:t>
      </w:r>
      <w:r w:rsidR="00AB65E6">
        <w:rPr>
          <w:lang w:eastAsia="en-GB"/>
        </w:rPr>
        <w:t xml:space="preserve">programme theory. </w:t>
      </w:r>
      <w:r>
        <w:rPr>
          <w:lang w:eastAsia="en-GB"/>
        </w:rPr>
        <w:t xml:space="preserve">The </w:t>
      </w:r>
      <w:r w:rsidR="00AB65E6">
        <w:rPr>
          <w:lang w:eastAsia="en-GB"/>
        </w:rPr>
        <w:t>r</w:t>
      </w:r>
      <w:r>
        <w:rPr>
          <w:lang w:eastAsia="en-GB"/>
        </w:rPr>
        <w:t xml:space="preserve">ealist interviews </w:t>
      </w:r>
      <w:r w:rsidR="000374D2">
        <w:rPr>
          <w:lang w:eastAsia="en-GB"/>
        </w:rPr>
        <w:t xml:space="preserve">and focus group </w:t>
      </w:r>
      <w:r>
        <w:rPr>
          <w:lang w:eastAsia="en-GB"/>
        </w:rPr>
        <w:t>provided further refinement</w:t>
      </w:r>
      <w:r w:rsidR="000374D2">
        <w:rPr>
          <w:lang w:eastAsia="en-GB"/>
        </w:rPr>
        <w:t xml:space="preserve"> the </w:t>
      </w:r>
      <w:r>
        <w:rPr>
          <w:lang w:eastAsia="en-GB"/>
        </w:rPr>
        <w:t>CMOCs</w:t>
      </w:r>
      <w:r w:rsidR="00021026">
        <w:rPr>
          <w:lang w:eastAsia="en-GB"/>
        </w:rPr>
        <w:t xml:space="preserve"> relating to collaborative functioning </w:t>
      </w:r>
      <w:r w:rsidR="000374D2">
        <w:rPr>
          <w:lang w:eastAsia="en-GB"/>
        </w:rPr>
        <w:t>as well as</w:t>
      </w:r>
      <w:r w:rsidR="00021026">
        <w:rPr>
          <w:lang w:eastAsia="en-GB"/>
        </w:rPr>
        <w:t xml:space="preserve"> glean novel CMOCs relating to collaborative performance</w:t>
      </w:r>
      <w:r>
        <w:rPr>
          <w:lang w:eastAsia="en-GB"/>
        </w:rPr>
        <w:t>.</w:t>
      </w:r>
      <w:r w:rsidR="00AB65E6">
        <w:rPr>
          <w:lang w:eastAsia="en-GB"/>
        </w:rPr>
        <w:t xml:space="preserve"> Interview data were retroductively analysed in NVivo 12.</w:t>
      </w:r>
    </w:p>
    <w:p w14:paraId="06D86398" w14:textId="77777777" w:rsidR="000374D2" w:rsidRDefault="000374D2" w:rsidP="003855CD">
      <w:pPr>
        <w:spacing w:line="360" w:lineRule="auto"/>
        <w:jc w:val="both"/>
        <w:rPr>
          <w:lang w:eastAsia="en-GB"/>
        </w:rPr>
      </w:pPr>
    </w:p>
    <w:p w14:paraId="725E37E4" w14:textId="77777777" w:rsidR="003855CD" w:rsidRPr="003855CD" w:rsidRDefault="003855CD" w:rsidP="003855CD">
      <w:pPr>
        <w:spacing w:line="360" w:lineRule="auto"/>
        <w:jc w:val="both"/>
        <w:rPr>
          <w:b/>
          <w:lang w:eastAsia="en-GB"/>
        </w:rPr>
      </w:pPr>
      <w:r w:rsidRPr="003855CD">
        <w:rPr>
          <w:b/>
          <w:lang w:eastAsia="en-GB"/>
        </w:rPr>
        <w:t xml:space="preserve">Results </w:t>
      </w:r>
    </w:p>
    <w:p w14:paraId="23931626" w14:textId="51DDFF9C" w:rsidR="003855CD" w:rsidRDefault="00021026" w:rsidP="003855CD">
      <w:pPr>
        <w:spacing w:line="360" w:lineRule="auto"/>
        <w:jc w:val="both"/>
        <w:rPr>
          <w:lang w:eastAsia="en-GB"/>
        </w:rPr>
      </w:pPr>
      <w:r>
        <w:rPr>
          <w:lang w:eastAsia="en-GB"/>
        </w:rPr>
        <w:t xml:space="preserve">The realist synthesis </w:t>
      </w:r>
      <w:r w:rsidR="006E6A28">
        <w:rPr>
          <w:lang w:eastAsia="en-GB"/>
        </w:rPr>
        <w:t>incorporated</w:t>
      </w:r>
      <w:r w:rsidR="003855CD">
        <w:rPr>
          <w:lang w:eastAsia="en-GB"/>
        </w:rPr>
        <w:t xml:space="preserve"> reviews, middle-range theories, case stud</w:t>
      </w:r>
      <w:r>
        <w:rPr>
          <w:lang w:eastAsia="en-GB"/>
        </w:rPr>
        <w:t>y</w:t>
      </w:r>
      <w:r w:rsidR="003855CD">
        <w:rPr>
          <w:lang w:eastAsia="en-GB"/>
        </w:rPr>
        <w:t xml:space="preserve"> and organisational evaluation literature</w:t>
      </w:r>
      <w:r w:rsidR="00F0306E">
        <w:rPr>
          <w:lang w:eastAsia="en-GB"/>
        </w:rPr>
        <w:t>. A total of</w:t>
      </w:r>
      <w:r w:rsidR="003855CD">
        <w:rPr>
          <w:lang w:eastAsia="en-GB"/>
        </w:rPr>
        <w:t xml:space="preserve"> 86 papers</w:t>
      </w:r>
      <w:r w:rsidR="00F0306E">
        <w:rPr>
          <w:lang w:eastAsia="en-GB"/>
        </w:rPr>
        <w:t xml:space="preserve"> </w:t>
      </w:r>
      <w:r w:rsidR="003855CD">
        <w:rPr>
          <w:lang w:eastAsia="en-GB"/>
        </w:rPr>
        <w:t>produce</w:t>
      </w:r>
      <w:r w:rsidR="00F0306E">
        <w:rPr>
          <w:lang w:eastAsia="en-GB"/>
        </w:rPr>
        <w:t>d</w:t>
      </w:r>
      <w:r w:rsidR="003855CD">
        <w:rPr>
          <w:lang w:eastAsia="en-GB"/>
        </w:rPr>
        <w:t xml:space="preserve"> a refined realist theory</w:t>
      </w:r>
      <w:r w:rsidR="00F0306E">
        <w:rPr>
          <w:lang w:eastAsia="en-GB"/>
        </w:rPr>
        <w:t xml:space="preserve"> that </w:t>
      </w:r>
      <w:r w:rsidR="003855CD">
        <w:rPr>
          <w:lang w:eastAsia="en-GB"/>
        </w:rPr>
        <w:t xml:space="preserve">surfaced the interrelated roles of trust and risk tolerance, faith, task complexity, interpersonal communication, cultural integration, perception of progress, </w:t>
      </w:r>
      <w:r w:rsidR="00B27223">
        <w:rPr>
          <w:lang w:eastAsia="en-GB"/>
        </w:rPr>
        <w:t xml:space="preserve">among others, </w:t>
      </w:r>
      <w:r w:rsidR="003855CD">
        <w:rPr>
          <w:lang w:eastAsia="en-GB"/>
        </w:rPr>
        <w:t>and how these</w:t>
      </w:r>
      <w:r w:rsidR="00B27223">
        <w:rPr>
          <w:lang w:eastAsia="en-GB"/>
        </w:rPr>
        <w:t xml:space="preserve"> causally interact to</w:t>
      </w:r>
      <w:r w:rsidR="003855CD">
        <w:rPr>
          <w:lang w:eastAsia="en-GB"/>
        </w:rPr>
        <w:t xml:space="preserve"> drive collaborative behaviour. </w:t>
      </w:r>
      <w:r w:rsidR="00F0306E">
        <w:rPr>
          <w:lang w:eastAsia="en-GB"/>
        </w:rPr>
        <w:t xml:space="preserve">The results </w:t>
      </w:r>
      <w:r w:rsidR="003855CD">
        <w:rPr>
          <w:lang w:eastAsia="en-GB"/>
        </w:rPr>
        <w:t>demonstrate that in mandated or highly integrative collaborations, the locus may be shifted from trust towards contractual obligation and a sense of confidence that the partner will act collaboratively. These chains of CMOCs were situated within a ‘</w:t>
      </w:r>
      <w:r w:rsidR="00B27223">
        <w:rPr>
          <w:lang w:eastAsia="en-GB"/>
        </w:rPr>
        <w:t>causal web’</w:t>
      </w:r>
      <w:r w:rsidR="003855CD">
        <w:rPr>
          <w:lang w:eastAsia="en-GB"/>
        </w:rPr>
        <w:t xml:space="preserve"> to depict how distant contextual items and their mechanisms work to affect </w:t>
      </w:r>
      <w:r w:rsidR="00F0306E">
        <w:rPr>
          <w:lang w:eastAsia="en-GB"/>
        </w:rPr>
        <w:t xml:space="preserve">the </w:t>
      </w:r>
      <w:r w:rsidR="00501A1E">
        <w:rPr>
          <w:lang w:eastAsia="en-GB"/>
        </w:rPr>
        <w:t>outcomes underpinning organisational performance.</w:t>
      </w:r>
    </w:p>
    <w:p w14:paraId="5CC56E12" w14:textId="71F043AB" w:rsidR="003855CD" w:rsidRDefault="003855CD" w:rsidP="003855CD">
      <w:pPr>
        <w:spacing w:line="360" w:lineRule="auto"/>
        <w:jc w:val="both"/>
        <w:rPr>
          <w:lang w:eastAsia="en-GB"/>
        </w:rPr>
      </w:pPr>
      <w:r>
        <w:rPr>
          <w:lang w:eastAsia="en-GB"/>
        </w:rPr>
        <w:t>Stakeholder interviews supported the CMOCs identified within the review. In doing so they further articulated how build</w:t>
      </w:r>
      <w:r w:rsidR="00F0306E">
        <w:rPr>
          <w:lang w:eastAsia="en-GB"/>
        </w:rPr>
        <w:t>ing</w:t>
      </w:r>
      <w:r>
        <w:rPr>
          <w:lang w:eastAsia="en-GB"/>
        </w:rPr>
        <w:t xml:space="preserve"> and sustain</w:t>
      </w:r>
      <w:r w:rsidR="00F0306E">
        <w:rPr>
          <w:lang w:eastAsia="en-GB"/>
        </w:rPr>
        <w:t>ing</w:t>
      </w:r>
      <w:r>
        <w:rPr>
          <w:lang w:eastAsia="en-GB"/>
        </w:rPr>
        <w:t xml:space="preserve"> trust was connected to </w:t>
      </w:r>
      <w:r w:rsidR="00F0306E">
        <w:rPr>
          <w:lang w:eastAsia="en-GB"/>
        </w:rPr>
        <w:t xml:space="preserve">the </w:t>
      </w:r>
      <w:r>
        <w:rPr>
          <w:lang w:eastAsia="en-GB"/>
        </w:rPr>
        <w:t xml:space="preserve">leadership skills and behaviours of authenticity, empathy, </w:t>
      </w:r>
      <w:r w:rsidR="001C5D21">
        <w:rPr>
          <w:lang w:eastAsia="en-GB"/>
        </w:rPr>
        <w:t>visibility,</w:t>
      </w:r>
      <w:r>
        <w:rPr>
          <w:lang w:eastAsia="en-GB"/>
        </w:rPr>
        <w:t xml:space="preserve"> and generosity. A commitment to place based approaches also featured, along with the importance of stakeholder engagement, data analysis, and project management. The findings also show how a delicate balance is required for building faith</w:t>
      </w:r>
      <w:r w:rsidR="00BD74CF">
        <w:rPr>
          <w:lang w:eastAsia="en-GB"/>
        </w:rPr>
        <w:t>,</w:t>
      </w:r>
      <w:r>
        <w:rPr>
          <w:lang w:eastAsia="en-GB"/>
        </w:rPr>
        <w:t xml:space="preserve"> where energising leadership is tempered by the stark capacity issues facing current NHS contexts. The importance of priority setting and data analytics features in building faith, however</w:t>
      </w:r>
      <w:r w:rsidR="00BD74CF">
        <w:rPr>
          <w:lang w:eastAsia="en-GB"/>
        </w:rPr>
        <w:t>,</w:t>
      </w:r>
      <w:r>
        <w:rPr>
          <w:lang w:eastAsia="en-GB"/>
        </w:rPr>
        <w:t xml:space="preserve"> increasing task complexity can reduce faith </w:t>
      </w:r>
      <w:r w:rsidR="00BD74CF">
        <w:rPr>
          <w:lang w:eastAsia="en-GB"/>
        </w:rPr>
        <w:t>particularly when working across boundaries</w:t>
      </w:r>
      <w:r>
        <w:rPr>
          <w:lang w:eastAsia="en-GB"/>
        </w:rPr>
        <w:t>. Interviews also stress the need for confidence</w:t>
      </w:r>
      <w:r w:rsidR="00BD74CF">
        <w:rPr>
          <w:lang w:eastAsia="en-GB"/>
        </w:rPr>
        <w:t xml:space="preserve"> </w:t>
      </w:r>
      <w:r>
        <w:rPr>
          <w:lang w:eastAsia="en-GB"/>
        </w:rPr>
        <w:t>and memoranda of understanding</w:t>
      </w:r>
      <w:r w:rsidR="00BD74CF">
        <w:rPr>
          <w:lang w:eastAsia="en-GB"/>
        </w:rPr>
        <w:t xml:space="preserve"> in particular types</w:t>
      </w:r>
      <w:r w:rsidR="00F0306E">
        <w:rPr>
          <w:lang w:eastAsia="en-GB"/>
        </w:rPr>
        <w:t xml:space="preserve"> of IOC</w:t>
      </w:r>
      <w:r>
        <w:rPr>
          <w:lang w:eastAsia="en-GB"/>
        </w:rPr>
        <w:t>.</w:t>
      </w:r>
    </w:p>
    <w:p w14:paraId="1D1C8035" w14:textId="4CE2C808" w:rsidR="003855CD" w:rsidRDefault="003855CD" w:rsidP="003855CD">
      <w:pPr>
        <w:spacing w:line="360" w:lineRule="auto"/>
        <w:jc w:val="both"/>
        <w:rPr>
          <w:lang w:eastAsia="en-GB"/>
        </w:rPr>
      </w:pPr>
      <w:r>
        <w:rPr>
          <w:lang w:eastAsia="en-GB"/>
        </w:rPr>
        <w:t xml:space="preserve">The results present the first comprehensive realist evaluation of how well-functioning IOCs can drive performance improvements. Drawing on the domains of collaborative performance, the interviews and focus group identify how Cultural Efficacy mechanisms prove to be particularly important in driving improved communication, better coordination, shared improvement strategies, and reputation management. Organisational Efficiency mechanisms highlight the causal links between collaboration and improving financial and workforce resource allocation, as well as better coordination to increase responsiveness as well as reduce duplication. Technological effectiveness sheds light on the benefits collaboration can bring for research and </w:t>
      </w:r>
      <w:r w:rsidR="00A75117">
        <w:rPr>
          <w:lang w:eastAsia="en-GB"/>
        </w:rPr>
        <w:t>development and</w:t>
      </w:r>
      <w:r>
        <w:rPr>
          <w:lang w:eastAsia="en-GB"/>
        </w:rPr>
        <w:t xml:space="preserve"> working across clinical pathways.</w:t>
      </w:r>
    </w:p>
    <w:p w14:paraId="696F38A9" w14:textId="4C81384B" w:rsidR="003855CD" w:rsidRPr="003855CD" w:rsidRDefault="003855CD" w:rsidP="003855CD">
      <w:pPr>
        <w:spacing w:line="360" w:lineRule="auto"/>
        <w:jc w:val="both"/>
        <w:rPr>
          <w:b/>
          <w:lang w:eastAsia="en-GB"/>
        </w:rPr>
      </w:pPr>
      <w:r w:rsidRPr="003855CD">
        <w:rPr>
          <w:b/>
          <w:lang w:eastAsia="en-GB"/>
        </w:rPr>
        <w:t>Conclusions</w:t>
      </w:r>
    </w:p>
    <w:p w14:paraId="4FE5799D" w14:textId="3320ACCE" w:rsidR="003855CD" w:rsidRDefault="003855CD" w:rsidP="003855CD">
      <w:pPr>
        <w:spacing w:line="360" w:lineRule="auto"/>
        <w:jc w:val="both"/>
        <w:rPr>
          <w:lang w:eastAsia="en-GB"/>
        </w:rPr>
      </w:pPr>
      <w:r>
        <w:rPr>
          <w:lang w:eastAsia="en-GB"/>
        </w:rPr>
        <w:t xml:space="preserve">Through analysis of theoretical, empirical, and stakeholder evidence, the research presents a synthesis of middle-range theories and CMOCs to better understand how, </w:t>
      </w:r>
      <w:r w:rsidR="001C5D21">
        <w:rPr>
          <w:lang w:eastAsia="en-GB"/>
        </w:rPr>
        <w:t>why,</w:t>
      </w:r>
      <w:r>
        <w:rPr>
          <w:lang w:eastAsia="en-GB"/>
        </w:rPr>
        <w:t xml:space="preserve"> and what circumstances </w:t>
      </w:r>
      <w:r w:rsidR="00534806">
        <w:rPr>
          <w:lang w:eastAsia="en-GB"/>
        </w:rPr>
        <w:t>IOCs</w:t>
      </w:r>
      <w:r>
        <w:rPr>
          <w:lang w:eastAsia="en-GB"/>
        </w:rPr>
        <w:t xml:space="preserve"> are effective for NHS providers. It finds that the core mechanisms of collaborative functioning </w:t>
      </w:r>
      <w:r w:rsidR="009D573E">
        <w:rPr>
          <w:lang w:eastAsia="en-GB"/>
        </w:rPr>
        <w:t>comprise</w:t>
      </w:r>
      <w:r>
        <w:rPr>
          <w:lang w:eastAsia="en-GB"/>
        </w:rPr>
        <w:t xml:space="preserve"> the development of trust, faith, and confidence. The extent to which task success or failure is achieved is mediated by supporting mechanisms related to capacity, legitimacy, complexity, conflict, and risk tolerance. Performance improvement</w:t>
      </w:r>
      <w:r w:rsidR="00017327">
        <w:rPr>
          <w:lang w:eastAsia="en-GB"/>
        </w:rPr>
        <w:t xml:space="preserve"> from collaboration</w:t>
      </w:r>
      <w:r>
        <w:rPr>
          <w:lang w:eastAsia="en-GB"/>
        </w:rPr>
        <w:t xml:space="preserve"> can be achieved when </w:t>
      </w:r>
      <w:r w:rsidR="00017327">
        <w:rPr>
          <w:lang w:eastAsia="en-GB"/>
        </w:rPr>
        <w:t xml:space="preserve">mechanisms underlying </w:t>
      </w:r>
      <w:r>
        <w:rPr>
          <w:lang w:eastAsia="en-GB"/>
        </w:rPr>
        <w:t>organisational efficiency</w:t>
      </w:r>
      <w:r w:rsidR="009D573E">
        <w:rPr>
          <w:lang w:eastAsia="en-GB"/>
        </w:rPr>
        <w:t xml:space="preserve"> (e.g. reduced duplication of effort)</w:t>
      </w:r>
      <w:r>
        <w:rPr>
          <w:lang w:eastAsia="en-GB"/>
        </w:rPr>
        <w:t>, cultural efficacy</w:t>
      </w:r>
      <w:r w:rsidR="009D573E">
        <w:rPr>
          <w:lang w:eastAsia="en-GB"/>
        </w:rPr>
        <w:t xml:space="preserve"> (e.g. enhanced coordination in local health system)</w:t>
      </w:r>
      <w:r>
        <w:rPr>
          <w:lang w:eastAsia="en-GB"/>
        </w:rPr>
        <w:t>, and technological effectiveness</w:t>
      </w:r>
      <w:r w:rsidR="009D573E">
        <w:rPr>
          <w:lang w:eastAsia="en-GB"/>
        </w:rPr>
        <w:t xml:space="preserve"> (e.g</w:t>
      </w:r>
      <w:r w:rsidR="00334B1E">
        <w:rPr>
          <w:lang w:eastAsia="en-GB"/>
        </w:rPr>
        <w:t>.</w:t>
      </w:r>
      <w:r w:rsidR="009D573E">
        <w:rPr>
          <w:lang w:eastAsia="en-GB"/>
        </w:rPr>
        <w:t xml:space="preserve"> sharing clinical expertise)</w:t>
      </w:r>
      <w:r>
        <w:rPr>
          <w:lang w:eastAsia="en-GB"/>
        </w:rPr>
        <w:t xml:space="preserve"> are activated</w:t>
      </w:r>
      <w:r w:rsidR="00D30764">
        <w:rPr>
          <w:lang w:eastAsia="en-GB"/>
        </w:rPr>
        <w:t xml:space="preserve">. </w:t>
      </w:r>
      <w:r w:rsidR="004B3968">
        <w:rPr>
          <w:lang w:eastAsia="en-GB"/>
        </w:rPr>
        <w:t>The findings conclude that p</w:t>
      </w:r>
      <w:r w:rsidR="009D573E">
        <w:rPr>
          <w:lang w:eastAsia="en-GB"/>
        </w:rPr>
        <w:t>erformance improvements occur</w:t>
      </w:r>
      <w:r w:rsidR="00D30764">
        <w:rPr>
          <w:lang w:eastAsia="en-GB"/>
        </w:rPr>
        <w:t xml:space="preserve"> </w:t>
      </w:r>
      <w:r w:rsidR="00017327">
        <w:rPr>
          <w:lang w:eastAsia="en-GB"/>
        </w:rPr>
        <w:t>in a context of collaborative functioning</w:t>
      </w:r>
      <w:r>
        <w:rPr>
          <w:lang w:eastAsia="en-GB"/>
        </w:rPr>
        <w:t xml:space="preserve">, which in turn </w:t>
      </w:r>
      <w:r w:rsidR="00D30764">
        <w:rPr>
          <w:lang w:eastAsia="en-GB"/>
        </w:rPr>
        <w:t>driv</w:t>
      </w:r>
      <w:r w:rsidR="001A732A">
        <w:rPr>
          <w:lang w:eastAsia="en-GB"/>
        </w:rPr>
        <w:t>e</w:t>
      </w:r>
      <w:r>
        <w:rPr>
          <w:lang w:eastAsia="en-GB"/>
        </w:rPr>
        <w:t xml:space="preserve"> improvements </w:t>
      </w:r>
      <w:r w:rsidR="00D30764">
        <w:rPr>
          <w:lang w:eastAsia="en-GB"/>
        </w:rPr>
        <w:t>in long term outcomes</w:t>
      </w:r>
      <w:r>
        <w:rPr>
          <w:lang w:eastAsia="en-GB"/>
        </w:rPr>
        <w:t xml:space="preserve"> including care quality, safety, efficiency, and experience. </w:t>
      </w:r>
    </w:p>
    <w:p w14:paraId="31776144" w14:textId="413A1596" w:rsidR="003855CD" w:rsidRDefault="003855CD" w:rsidP="003855CD">
      <w:pPr>
        <w:spacing w:line="360" w:lineRule="auto"/>
        <w:jc w:val="both"/>
        <w:rPr>
          <w:lang w:eastAsia="en-GB"/>
        </w:rPr>
      </w:pPr>
      <w:r>
        <w:rPr>
          <w:lang w:eastAsia="en-GB"/>
        </w:rPr>
        <w:t xml:space="preserve">The findings provide a range of practical steps that organisations can take in the development of IOCs. This includes the development of diagnostic surveys for assessing collaboration to help organisations assess their readiness for collaboration as well as diagnose collaborations which are already progressing. A pilot of the survey with a Mental Health Provider Collaborative shows promising signs for its utility in providing a valuable means for stimulating discussion with regard to the perceived readiness for collaboration. A maturity index for collaboration is </w:t>
      </w:r>
      <w:r w:rsidR="00D30764">
        <w:rPr>
          <w:lang w:eastAsia="en-GB"/>
        </w:rPr>
        <w:t xml:space="preserve">also presented </w:t>
      </w:r>
      <w:r>
        <w:rPr>
          <w:lang w:eastAsia="en-GB"/>
        </w:rPr>
        <w:t xml:space="preserve">to assess levels of collaboration and encourage critical discussion and reflection. </w:t>
      </w:r>
    </w:p>
    <w:p w14:paraId="4BDB3064" w14:textId="77777777" w:rsidR="003855CD" w:rsidRDefault="003855CD" w:rsidP="003855CD">
      <w:pPr>
        <w:spacing w:line="360" w:lineRule="auto"/>
        <w:jc w:val="both"/>
        <w:rPr>
          <w:lang w:eastAsia="en-GB"/>
        </w:rPr>
      </w:pPr>
      <w:r>
        <w:rPr>
          <w:lang w:eastAsia="en-GB"/>
        </w:rPr>
        <w:t xml:space="preserve">A range of theoretical, empirical, and policy implications arise from this research. Specific issues that warrant further consideration and investigation, include: </w:t>
      </w:r>
    </w:p>
    <w:p w14:paraId="32DC3921" w14:textId="78E07D81" w:rsidR="003855CD" w:rsidRDefault="003855CD" w:rsidP="003855CD">
      <w:pPr>
        <w:pStyle w:val="ListParagraph"/>
        <w:numPr>
          <w:ilvl w:val="0"/>
          <w:numId w:val="23"/>
        </w:numPr>
        <w:spacing w:line="360" w:lineRule="auto"/>
        <w:jc w:val="both"/>
        <w:rPr>
          <w:lang w:eastAsia="en-GB"/>
        </w:rPr>
      </w:pPr>
      <w:r>
        <w:rPr>
          <w:lang w:eastAsia="en-GB"/>
        </w:rPr>
        <w:t xml:space="preserve">Where much of the analysis of IOCs has captured the experiences, processes, and outcomes from the perspective of those leading programmes and initiatives, further research is needed to gather workforce perspectives regarding how new processes are understood and operationalised, and how IOCs shape patient and user interactions. </w:t>
      </w:r>
    </w:p>
    <w:p w14:paraId="458887CC" w14:textId="3D37A1BE" w:rsidR="003855CD" w:rsidRDefault="003855CD" w:rsidP="003855CD">
      <w:pPr>
        <w:pStyle w:val="ListParagraph"/>
        <w:numPr>
          <w:ilvl w:val="0"/>
          <w:numId w:val="23"/>
        </w:numPr>
        <w:spacing w:line="360" w:lineRule="auto"/>
        <w:jc w:val="both"/>
        <w:rPr>
          <w:lang w:eastAsia="en-GB"/>
        </w:rPr>
      </w:pPr>
      <w:r>
        <w:rPr>
          <w:lang w:eastAsia="en-GB"/>
        </w:rPr>
        <w:t xml:space="preserve">Research is required to better grasp how IOCs can engage and improve population health by </w:t>
      </w:r>
      <w:r w:rsidR="00534806">
        <w:rPr>
          <w:lang w:eastAsia="en-GB"/>
        </w:rPr>
        <w:t xml:space="preserve">further involving patients and communities by </w:t>
      </w:r>
      <w:r>
        <w:rPr>
          <w:lang w:eastAsia="en-GB"/>
        </w:rPr>
        <w:t>drawing on principles of co-design and co-production.</w:t>
      </w:r>
    </w:p>
    <w:p w14:paraId="074AF7B4" w14:textId="6D747446" w:rsidR="00534806" w:rsidRDefault="003855CD" w:rsidP="001A2263">
      <w:pPr>
        <w:pStyle w:val="ListParagraph"/>
        <w:numPr>
          <w:ilvl w:val="0"/>
          <w:numId w:val="23"/>
        </w:numPr>
        <w:spacing w:line="360" w:lineRule="auto"/>
        <w:jc w:val="both"/>
        <w:rPr>
          <w:lang w:eastAsia="en-GB"/>
        </w:rPr>
      </w:pPr>
      <w:r>
        <w:rPr>
          <w:lang w:eastAsia="en-GB"/>
        </w:rPr>
        <w:t xml:space="preserve">Covid-19 has been a driver for activity using digital platforms for communication, yet further research is needed to better understand and nurture ‘interpersonal communication’ </w:t>
      </w:r>
      <w:r w:rsidR="00534806">
        <w:rPr>
          <w:lang w:eastAsia="en-GB"/>
        </w:rPr>
        <w:t xml:space="preserve">across </w:t>
      </w:r>
      <w:r>
        <w:rPr>
          <w:lang w:eastAsia="en-GB"/>
        </w:rPr>
        <w:t xml:space="preserve">digital platforms and the role </w:t>
      </w:r>
      <w:r w:rsidR="00534806">
        <w:rPr>
          <w:lang w:eastAsia="en-GB"/>
        </w:rPr>
        <w:t>of digital technology</w:t>
      </w:r>
      <w:r w:rsidR="00C72745">
        <w:rPr>
          <w:lang w:eastAsia="en-GB"/>
        </w:rPr>
        <w:t xml:space="preserve"> in</w:t>
      </w:r>
      <w:r w:rsidR="00534806">
        <w:rPr>
          <w:lang w:eastAsia="en-GB"/>
        </w:rPr>
        <w:t xml:space="preserve"> </w:t>
      </w:r>
      <w:r>
        <w:rPr>
          <w:lang w:eastAsia="en-GB"/>
        </w:rPr>
        <w:t xml:space="preserve">facilitating collaboration. </w:t>
      </w:r>
    </w:p>
    <w:p w14:paraId="0F6A8A4D" w14:textId="079222C5" w:rsidR="001A732A" w:rsidRDefault="003855CD" w:rsidP="006D770F">
      <w:pPr>
        <w:pStyle w:val="ListParagraph"/>
        <w:numPr>
          <w:ilvl w:val="0"/>
          <w:numId w:val="23"/>
        </w:numPr>
        <w:spacing w:line="360" w:lineRule="auto"/>
        <w:jc w:val="both"/>
        <w:rPr>
          <w:lang w:eastAsia="en-GB"/>
        </w:rPr>
      </w:pPr>
      <w:r>
        <w:rPr>
          <w:lang w:eastAsia="en-GB"/>
        </w:rPr>
        <w:t xml:space="preserve">Further research is needed to investigate the applicability and adaptability of a number of the elements raised by this project, such as the roles of faith, trust, and other mechanisms, </w:t>
      </w:r>
      <w:r w:rsidR="00534806">
        <w:rPr>
          <w:lang w:eastAsia="en-GB"/>
        </w:rPr>
        <w:t>with</w:t>
      </w:r>
      <w:r>
        <w:rPr>
          <w:lang w:eastAsia="en-GB"/>
        </w:rPr>
        <w:t>in the formation and maintenance of place-based partnerships. Learning from other national contexts could facilitate such efforts, with further comparative studies of IOCs from across the UK and beyond.</w:t>
      </w:r>
    </w:p>
    <w:p w14:paraId="13F2EB0D" w14:textId="77777777" w:rsidR="003855CD" w:rsidRDefault="003855CD" w:rsidP="004B3968">
      <w:pPr>
        <w:pStyle w:val="ListParagraph"/>
        <w:numPr>
          <w:ilvl w:val="0"/>
          <w:numId w:val="23"/>
        </w:numPr>
        <w:spacing w:line="360" w:lineRule="auto"/>
        <w:jc w:val="both"/>
        <w:rPr>
          <w:lang w:eastAsia="en-GB"/>
        </w:rPr>
      </w:pPr>
      <w:r>
        <w:rPr>
          <w:lang w:eastAsia="en-GB"/>
        </w:rPr>
        <w:t>A review of regulatory models and perspectives for overseeing collaborative ventures is required, learning from other sectors and health care contexts where appropriate.</w:t>
      </w:r>
    </w:p>
    <w:p w14:paraId="27F2829A" w14:textId="525E3B29" w:rsidR="003855CD" w:rsidRDefault="003855CD" w:rsidP="001A2263">
      <w:pPr>
        <w:pStyle w:val="ListParagraph"/>
        <w:numPr>
          <w:ilvl w:val="0"/>
          <w:numId w:val="23"/>
        </w:numPr>
        <w:spacing w:line="360" w:lineRule="auto"/>
        <w:jc w:val="both"/>
        <w:rPr>
          <w:lang w:eastAsia="en-GB"/>
        </w:rPr>
      </w:pPr>
      <w:r>
        <w:rPr>
          <w:lang w:eastAsia="en-GB"/>
        </w:rPr>
        <w:t>Building on our realist theory of collaborative performance, further research is needed to disentangle the motivators and drivers from the ‘outcomes’ associated with IOCs. Such analysis can support the current policy landscape placing greater emphasis on measuring the outcomes and social value generated from collaborative working.</w:t>
      </w:r>
    </w:p>
    <w:p w14:paraId="04D8872B" w14:textId="72D9C5D6" w:rsidR="00534806" w:rsidRDefault="00534806" w:rsidP="009C1193">
      <w:pPr>
        <w:pStyle w:val="ListParagraph"/>
        <w:numPr>
          <w:ilvl w:val="0"/>
          <w:numId w:val="23"/>
        </w:numPr>
        <w:spacing w:line="360" w:lineRule="auto"/>
        <w:jc w:val="both"/>
        <w:rPr>
          <w:lang w:eastAsia="en-GB"/>
        </w:rPr>
      </w:pPr>
      <w:r>
        <w:rPr>
          <w:lang w:eastAsia="en-GB"/>
        </w:rPr>
        <w:t xml:space="preserve">Further research is required </w:t>
      </w:r>
      <w:r w:rsidR="004B3968">
        <w:rPr>
          <w:lang w:eastAsia="en-GB"/>
        </w:rPr>
        <w:t xml:space="preserve">in order </w:t>
      </w:r>
      <w:r>
        <w:rPr>
          <w:lang w:eastAsia="en-GB"/>
        </w:rPr>
        <w:t xml:space="preserve">to articulate the cross sectoral relationships within the current </w:t>
      </w:r>
      <w:r w:rsidR="00557883">
        <w:rPr>
          <w:lang w:eastAsia="en-GB"/>
        </w:rPr>
        <w:t xml:space="preserve">IOC </w:t>
      </w:r>
      <w:r w:rsidR="004B3968">
        <w:rPr>
          <w:lang w:eastAsia="en-GB"/>
        </w:rPr>
        <w:t xml:space="preserve">policy </w:t>
      </w:r>
      <w:r>
        <w:rPr>
          <w:lang w:eastAsia="en-GB"/>
        </w:rPr>
        <w:t xml:space="preserve">agenda. </w:t>
      </w:r>
      <w:r w:rsidRPr="00534806">
        <w:rPr>
          <w:lang w:eastAsia="en-GB"/>
        </w:rPr>
        <w:t xml:space="preserve">The place and positioning of social care </w:t>
      </w:r>
      <w:r w:rsidR="00DB0192">
        <w:rPr>
          <w:lang w:eastAsia="en-GB"/>
        </w:rPr>
        <w:t xml:space="preserve">and </w:t>
      </w:r>
      <w:r w:rsidR="001C5D21">
        <w:rPr>
          <w:lang w:eastAsia="en-GB"/>
        </w:rPr>
        <w:t>third sector</w:t>
      </w:r>
      <w:r w:rsidR="00DB0192">
        <w:rPr>
          <w:lang w:eastAsia="en-GB"/>
        </w:rPr>
        <w:t xml:space="preserve"> </w:t>
      </w:r>
      <w:r w:rsidRPr="00534806">
        <w:rPr>
          <w:lang w:eastAsia="en-GB"/>
        </w:rPr>
        <w:t>requires further development.</w:t>
      </w:r>
      <w:r>
        <w:rPr>
          <w:lang w:eastAsia="en-GB"/>
        </w:rPr>
        <w:t xml:space="preserve"> Furthermore, greater attention to the role of public/private partnerships is </w:t>
      </w:r>
      <w:r w:rsidR="008D4A47">
        <w:rPr>
          <w:lang w:eastAsia="en-GB"/>
        </w:rPr>
        <w:t>needed</w:t>
      </w:r>
      <w:r>
        <w:rPr>
          <w:lang w:eastAsia="en-GB"/>
        </w:rPr>
        <w:t xml:space="preserve">, and the private sector more specifically, within collaboration and integration </w:t>
      </w:r>
      <w:r w:rsidR="00763AFF">
        <w:rPr>
          <w:lang w:eastAsia="en-GB"/>
        </w:rPr>
        <w:t>agendas</w:t>
      </w:r>
      <w:r>
        <w:rPr>
          <w:lang w:eastAsia="en-GB"/>
        </w:rPr>
        <w:t xml:space="preserve">. </w:t>
      </w:r>
    </w:p>
    <w:p w14:paraId="624469C6" w14:textId="77777777" w:rsidR="006D41DD" w:rsidRDefault="006D41DD" w:rsidP="003855CD">
      <w:pPr>
        <w:spacing w:line="360" w:lineRule="auto"/>
        <w:jc w:val="both"/>
        <w:rPr>
          <w:b/>
          <w:lang w:eastAsia="en-GB"/>
        </w:rPr>
      </w:pPr>
    </w:p>
    <w:p w14:paraId="250A2507" w14:textId="215F5B75" w:rsidR="003855CD" w:rsidRPr="003855CD" w:rsidRDefault="003855CD" w:rsidP="003855CD">
      <w:pPr>
        <w:spacing w:line="360" w:lineRule="auto"/>
        <w:jc w:val="both"/>
        <w:rPr>
          <w:b/>
          <w:lang w:eastAsia="en-GB"/>
        </w:rPr>
      </w:pPr>
      <w:r w:rsidRPr="003855CD">
        <w:rPr>
          <w:b/>
          <w:lang w:eastAsia="en-GB"/>
        </w:rPr>
        <w:t>Study registration</w:t>
      </w:r>
    </w:p>
    <w:p w14:paraId="113B4447" w14:textId="0CC26F6F" w:rsidR="003855CD" w:rsidRDefault="003855CD" w:rsidP="003855CD">
      <w:pPr>
        <w:spacing w:line="360" w:lineRule="auto"/>
        <w:jc w:val="both"/>
        <w:rPr>
          <w:lang w:eastAsia="en-GB"/>
        </w:rPr>
      </w:pPr>
      <w:r>
        <w:rPr>
          <w:lang w:eastAsia="en-GB"/>
        </w:rPr>
        <w:t xml:space="preserve">The review component of this research is registered at PROSPERO with ID CRD42019149009. This study was granted favourable ethical opinion from the University of Birmingham Ethics Board, as well as Health Research Authority on </w:t>
      </w:r>
      <w:r w:rsidR="00A057AB">
        <w:rPr>
          <w:lang w:eastAsia="en-GB"/>
        </w:rPr>
        <w:t>January</w:t>
      </w:r>
      <w:r>
        <w:rPr>
          <w:lang w:eastAsia="en-GB"/>
        </w:rPr>
        <w:t xml:space="preserve"> 14th 2020.</w:t>
      </w:r>
    </w:p>
    <w:p w14:paraId="29B71D41" w14:textId="77777777" w:rsidR="003855CD" w:rsidRPr="003855CD" w:rsidRDefault="003855CD" w:rsidP="003855CD">
      <w:pPr>
        <w:spacing w:line="360" w:lineRule="auto"/>
        <w:jc w:val="both"/>
        <w:rPr>
          <w:b/>
          <w:lang w:eastAsia="en-GB"/>
        </w:rPr>
      </w:pPr>
      <w:r w:rsidRPr="003855CD">
        <w:rPr>
          <w:b/>
          <w:lang w:eastAsia="en-GB"/>
        </w:rPr>
        <w:t>Funding details</w:t>
      </w:r>
    </w:p>
    <w:p w14:paraId="70EA08B3" w14:textId="77777777" w:rsidR="003855CD" w:rsidRDefault="003855CD" w:rsidP="003855CD">
      <w:pPr>
        <w:spacing w:line="360" w:lineRule="auto"/>
        <w:jc w:val="both"/>
        <w:rPr>
          <w:lang w:eastAsia="en-GB"/>
        </w:rPr>
      </w:pPr>
      <w:r>
        <w:rPr>
          <w:lang w:eastAsia="en-GB"/>
        </w:rPr>
        <w:t>This research was supported by a grant from the National Institute for Health Research HS&amp;DR fund under grant number NIHR127430.</w:t>
      </w:r>
    </w:p>
    <w:p w14:paraId="5D5C9CCF" w14:textId="77777777" w:rsidR="003855CD" w:rsidRDefault="003855CD" w:rsidP="003855CD">
      <w:pPr>
        <w:spacing w:line="360" w:lineRule="auto"/>
        <w:jc w:val="both"/>
        <w:rPr>
          <w:lang w:eastAsia="en-GB"/>
        </w:rPr>
      </w:pPr>
    </w:p>
    <w:p w14:paraId="5640FA7E" w14:textId="00EE5601" w:rsidR="001B3266" w:rsidRDefault="003855CD" w:rsidP="00BC34A8">
      <w:pPr>
        <w:spacing w:line="360" w:lineRule="auto"/>
        <w:jc w:val="both"/>
        <w:sectPr w:rsidR="001B3266">
          <w:footerReference w:type="even" r:id="rId10"/>
          <w:footerReference w:type="default" r:id="rId11"/>
          <w:pgSz w:w="11906" w:h="16838"/>
          <w:pgMar w:top="1440" w:right="1440" w:bottom="1440" w:left="1440" w:header="708" w:footer="708" w:gutter="0"/>
          <w:cols w:space="708"/>
          <w:docGrid w:linePitch="360"/>
        </w:sectPr>
      </w:pPr>
      <w:r>
        <w:rPr>
          <w:lang w:eastAsia="en-GB"/>
        </w:rPr>
        <w:t>190</w:t>
      </w:r>
      <w:r w:rsidR="004B3968">
        <w:rPr>
          <w:lang w:eastAsia="en-GB"/>
        </w:rPr>
        <w:t>5</w:t>
      </w:r>
      <w:r>
        <w:rPr>
          <w:lang w:eastAsia="en-GB"/>
        </w:rPr>
        <w:t xml:space="preserve"> words</w:t>
      </w:r>
    </w:p>
    <w:p w14:paraId="4AB53509" w14:textId="4C5439FA" w:rsidR="00432F6C" w:rsidRPr="00E90938" w:rsidRDefault="00432F6C" w:rsidP="00525BE0">
      <w:pPr>
        <w:jc w:val="both"/>
      </w:pPr>
    </w:p>
    <w:p w14:paraId="2EEE8D91" w14:textId="77777777" w:rsidR="002B7278" w:rsidRPr="00191F2F" w:rsidRDefault="002B7278" w:rsidP="00525BE0">
      <w:pPr>
        <w:pStyle w:val="Heading1"/>
        <w:spacing w:line="360" w:lineRule="auto"/>
        <w:jc w:val="both"/>
      </w:pPr>
      <w:bookmarkStart w:id="12" w:name="_Toc85066400"/>
      <w:r w:rsidRPr="00012E09">
        <w:t>Chapter 1: Introduction</w:t>
      </w:r>
      <w:bookmarkEnd w:id="12"/>
    </w:p>
    <w:p w14:paraId="10B9CC78" w14:textId="77777777" w:rsidR="002B7278" w:rsidRDefault="002B7278" w:rsidP="00525BE0">
      <w:pPr>
        <w:spacing w:line="360" w:lineRule="auto"/>
        <w:jc w:val="both"/>
        <w:rPr>
          <w:rFonts w:cstheme="minorHAnsi"/>
        </w:rPr>
      </w:pPr>
    </w:p>
    <w:p w14:paraId="42E5D470" w14:textId="7D654322" w:rsidR="002B7278" w:rsidRPr="00012E09" w:rsidRDefault="002B7278" w:rsidP="00525BE0">
      <w:pPr>
        <w:spacing w:line="360" w:lineRule="auto"/>
        <w:jc w:val="both"/>
        <w:rPr>
          <w:rFonts w:cstheme="minorHAnsi"/>
        </w:rPr>
      </w:pPr>
      <w:r w:rsidRPr="00012E09">
        <w:rPr>
          <w:rFonts w:cstheme="minorHAnsi"/>
        </w:rPr>
        <w:t xml:space="preserve">Improving the collaboration and integration of services has become </w:t>
      </w:r>
      <w:r>
        <w:rPr>
          <w:rFonts w:cstheme="minorHAnsi"/>
        </w:rPr>
        <w:t>a</w:t>
      </w:r>
      <w:r w:rsidRPr="00012E09">
        <w:rPr>
          <w:rFonts w:cstheme="minorHAnsi"/>
        </w:rPr>
        <w:t xml:space="preserve"> mantra </w:t>
      </w:r>
      <w:r>
        <w:rPr>
          <w:rFonts w:cstheme="minorHAnsi"/>
        </w:rPr>
        <w:t>for health care systems around the globe.</w:t>
      </w:r>
      <w:r w:rsidRPr="00012E09">
        <w:rPr>
          <w:rFonts w:cstheme="minorHAnsi"/>
        </w:rPr>
        <w:t xml:space="preserve"> </w:t>
      </w:r>
      <w:r>
        <w:rPr>
          <w:rFonts w:cstheme="minorHAnsi"/>
        </w:rPr>
        <w:t xml:space="preserve">The need to work across organisational boundaries is promoted as a solution for achieving the necessary </w:t>
      </w:r>
      <w:r w:rsidRPr="00012E09">
        <w:rPr>
          <w:rFonts w:cstheme="minorHAnsi"/>
        </w:rPr>
        <w:t xml:space="preserve">innovation, coordination, efficiency </w:t>
      </w:r>
      <w:r>
        <w:rPr>
          <w:rFonts w:cstheme="minorHAnsi"/>
        </w:rPr>
        <w:t xml:space="preserve">and relationships to meet the </w:t>
      </w:r>
      <w:r w:rsidRPr="00BF74A6">
        <w:rPr>
          <w:rFonts w:cstheme="minorHAnsi"/>
        </w:rPr>
        <w:t xml:space="preserve">financial, demographic, workforce, and quality </w:t>
      </w:r>
      <w:r>
        <w:rPr>
          <w:rFonts w:cstheme="minorHAnsi"/>
        </w:rPr>
        <w:t>challenges currently being faced</w:t>
      </w:r>
      <w:r w:rsidR="00951ACD">
        <w:rPr>
          <w:rFonts w:cstheme="minorHAnsi"/>
        </w:rPr>
        <w:t xml:space="preserve"> </w:t>
      </w:r>
      <w:r w:rsidR="00951ACD">
        <w:rPr>
          <w:rFonts w:cstheme="minorHAnsi"/>
        </w:rPr>
        <w:fldChar w:fldCharType="begin" w:fldLock="1"/>
      </w:r>
      <w:r w:rsidR="00EA4B53">
        <w:rPr>
          <w:rFonts w:cstheme="minorHAnsi"/>
        </w:rPr>
        <w:instrText>ADDIN CSL_CITATION {"citationItems":[{"id":"ITEM-1","itemData":{"DOI":"10.1177/0951484820971456","ISSN":"0951-4848","abstract":"Across OECD countries, healthcare organizations increasingly rely on inter-organizational collaboration (IOC). Yet, systematic insight into the relations across different healthcare sectors is lacking. The aim of this explorative study is twofold. First, to understand how IOC differs across healthcare sectors with regards to characteristics, motives and the role of health policy. Second, to understand which potential effects healthcare executives consider prior to the establishment of the collaborations. For this purpose, a survey was conducted among a representative panel of Dutch healthcare executives from medium-sized or large healthcare organizations. Almost half (n = 344, 48%) of the invited executives participated. Our results suggest that differences in policy changes and institutional developments across healthcare sectors affect the scope and type of IOC: hospitals generally operate in small horizontal collaborations, while larger and more complex mixed and non-horizontal collaborations are more present among nursing homes, disability care and mental care organizations. We find that before establishing IOCs, most healthcare executives conduct a self-assessment including the potential effects of the collaboration. The extensive overview of policy developments, collaboration types and intended outcomes presented in our study offers a useful starting point for a more in-depth assessment of the effectiveness of collaborations among healthcare organizations.","author":[{"dropping-particle":"","family":"Schors","given":"Wouter","non-dropping-particle":"van der","parse-names":false,"suffix":""},{"dropping-particle":"","family":"Roos","given":"Anne-Fleur","non-dropping-particle":"","parse-names":false,"suffix":""},{"dropping-particle":"","family":"Kemp","given":"Ron","non-dropping-particle":"","parse-names":false,"suffix":""},{"dropping-particle":"","family":"Varkevisser","given":"Marco","non-dropping-particle":"","parse-names":false,"suffix":""}],"container-title":"Health Services Management Research","id":"ITEM-1","issued":{"date-parts":[["2020"]]},"page":"095148482097145","title":"Inter-organizational collaboration between healthcare providers","type":"article-journal"},"uris":["http://www.mendeley.com/documents/?uuid=e06df7c9-8d76-4348-b947-97392b10bd39"]}],"mendeley":{"formattedCitation":"&lt;sup&gt;1&lt;/sup&gt;","plainTextFormattedCitation":"1","previouslyFormattedCitation":"&lt;sup&gt;1&lt;/sup&gt;"},"properties":{"noteIndex":0},"schema":"https://github.com/citation-style-language/schema/raw/master/csl-citation.json"}</w:instrText>
      </w:r>
      <w:r w:rsidR="00951ACD">
        <w:rPr>
          <w:rFonts w:cstheme="minorHAnsi"/>
        </w:rPr>
        <w:fldChar w:fldCharType="separate"/>
      </w:r>
      <w:r w:rsidR="00E25884" w:rsidRPr="00E25884">
        <w:rPr>
          <w:rFonts w:cstheme="minorHAnsi"/>
          <w:noProof/>
          <w:vertAlign w:val="superscript"/>
        </w:rPr>
        <w:t>1</w:t>
      </w:r>
      <w:r w:rsidR="00951ACD">
        <w:rPr>
          <w:rFonts w:cstheme="minorHAnsi"/>
        </w:rPr>
        <w:fldChar w:fldCharType="end"/>
      </w:r>
      <w:r w:rsidR="00951ACD">
        <w:rPr>
          <w:rFonts w:cstheme="minorHAnsi"/>
        </w:rPr>
        <w:t xml:space="preserve">. </w:t>
      </w:r>
      <w:r w:rsidR="00857277">
        <w:rPr>
          <w:rFonts w:cstheme="minorHAnsi"/>
        </w:rPr>
        <w:t>C</w:t>
      </w:r>
      <w:r w:rsidR="00C41618">
        <w:rPr>
          <w:rFonts w:cstheme="minorHAnsi"/>
        </w:rPr>
        <w:t>ovid</w:t>
      </w:r>
      <w:r w:rsidR="00857277">
        <w:rPr>
          <w:rFonts w:cstheme="minorHAnsi"/>
        </w:rPr>
        <w:t>-19</w:t>
      </w:r>
      <w:r w:rsidR="00143DA5">
        <w:rPr>
          <w:rFonts w:cstheme="minorHAnsi"/>
        </w:rPr>
        <w:t xml:space="preserve"> </w:t>
      </w:r>
      <w:r w:rsidRPr="003C27C2">
        <w:rPr>
          <w:rFonts w:cstheme="minorHAnsi"/>
        </w:rPr>
        <w:t xml:space="preserve">has </w:t>
      </w:r>
      <w:r>
        <w:rPr>
          <w:rFonts w:cstheme="minorHAnsi"/>
        </w:rPr>
        <w:t>sharpened the policy focus on inter-organisational collaborations and partnership working as a response to the pressures brought on by the pandemic</w:t>
      </w:r>
      <w:r w:rsidR="00951ACD">
        <w:rPr>
          <w:rFonts w:cstheme="minorHAnsi"/>
        </w:rPr>
        <w:t xml:space="preserve"> </w:t>
      </w:r>
      <w:r w:rsidR="00951ACD">
        <w:rPr>
          <w:rFonts w:cstheme="minorHAnsi"/>
        </w:rPr>
        <w:fldChar w:fldCharType="begin" w:fldLock="1"/>
      </w:r>
      <w:r w:rsidR="00EA4B53">
        <w:rPr>
          <w:rFonts w:cstheme="minorHAnsi"/>
        </w:rPr>
        <w:instrText>ADDIN CSL_CITATION {"citationItems":[{"id":"ITEM-1","itemData":{"DOI":"10.22140/cpar.v0i0.260","ISSN":"1539-6754","abstract":"COVID-19 has devastated the global community at an alarming rate. Conventional approaches like command and control are ineffective to respond to this pandemic. The complex and interdependent nature of the pandemic demands collaborative efforts among actors across diverse segments and different levels of government. Collaboration is critical during this pandemic because it can enable a more coordinated response, resources can be shared, trust among the parties can be enhanced, and duplication of efforts can be minimized. In this commentary, drawing on the literature on collaboration, we discuss the importance of vertical and horizontal collaboration by examining the U.S. response to COVID-19. This commentary underscores the importance of vertical and horizontal collaboration among all levels of government, private entities, and nonprofit organizations in effectively responding to COVID-19 and ensuring the health and safety of Americans. This commentary concludes by making recommendations for improving both vertical and horizontal collaboration during the current pandemic and future public health emergencies.","author":[{"dropping-particle":"","family":"Kessa","given":"R","non-dropping-particle":"","parse-names":false,"suffix":""},{"dropping-particle":"","family":"Sadiq","given":"A A","non-dropping-particle":"","parse-names":false,"suffix":""},{"dropping-particle":"","family":"Yeo","given":"J","non-dropping-particle":"","parse-names":false,"suffix":""}],"container-title":"Chinese Public Administration Review","id":"ITEM-1","issue":"1","issued":{"date-parts":[["2021"]]},"page":"61-71","title":"The Importance of Vertical and Horizontal Collaboration: United States' Response to COVID-19 Pandemic","type":"article-journal","volume":"12"},"uris":["http://www.mendeley.com/documents/?uuid=45d1d1ca-8e87-49ce-9e7f-18ca56073c01"]}],"mendeley":{"formattedCitation":"&lt;sup&gt;2&lt;/sup&gt;","plainTextFormattedCitation":"2","previouslyFormattedCitation":"&lt;sup&gt;2&lt;/sup&gt;"},"properties":{"noteIndex":0},"schema":"https://github.com/citation-style-language/schema/raw/master/csl-citation.json"}</w:instrText>
      </w:r>
      <w:r w:rsidR="00951ACD">
        <w:rPr>
          <w:rFonts w:cstheme="minorHAnsi"/>
        </w:rPr>
        <w:fldChar w:fldCharType="separate"/>
      </w:r>
      <w:r w:rsidR="00E25884" w:rsidRPr="00E25884">
        <w:rPr>
          <w:rFonts w:cstheme="minorHAnsi"/>
          <w:noProof/>
          <w:vertAlign w:val="superscript"/>
        </w:rPr>
        <w:t>2</w:t>
      </w:r>
      <w:r w:rsidR="00951ACD">
        <w:rPr>
          <w:rFonts w:cstheme="minorHAnsi"/>
        </w:rPr>
        <w:fldChar w:fldCharType="end"/>
      </w:r>
      <w:r w:rsidR="00951ACD">
        <w:rPr>
          <w:rFonts w:cstheme="minorHAnsi"/>
        </w:rPr>
        <w:t>.</w:t>
      </w:r>
      <w:r w:rsidRPr="00E155EB">
        <w:rPr>
          <w:rFonts w:cstheme="minorHAnsi"/>
        </w:rPr>
        <w:t xml:space="preserve"> </w:t>
      </w:r>
    </w:p>
    <w:p w14:paraId="0613930D" w14:textId="3DCE2AB4" w:rsidR="002B7278" w:rsidRDefault="002B7278" w:rsidP="00525BE0">
      <w:pPr>
        <w:spacing w:line="360" w:lineRule="auto"/>
        <w:jc w:val="both"/>
        <w:rPr>
          <w:rFonts w:cstheme="minorHAnsi"/>
        </w:rPr>
      </w:pPr>
      <w:r>
        <w:rPr>
          <w:rFonts w:cstheme="minorHAnsi"/>
        </w:rPr>
        <w:t xml:space="preserve">Inter-organisational collaboration (IOC) includes the formation of </w:t>
      </w:r>
      <w:r w:rsidRPr="00012E09">
        <w:rPr>
          <w:rFonts w:cstheme="minorHAnsi"/>
        </w:rPr>
        <w:t xml:space="preserve">alliances, groups, </w:t>
      </w:r>
      <w:r>
        <w:rPr>
          <w:rFonts w:cstheme="minorHAnsi"/>
        </w:rPr>
        <w:t xml:space="preserve">associations, </w:t>
      </w:r>
      <w:r w:rsidRPr="00012E09">
        <w:rPr>
          <w:rFonts w:cstheme="minorHAnsi"/>
        </w:rPr>
        <w:t xml:space="preserve">networks, </w:t>
      </w:r>
      <w:r>
        <w:rPr>
          <w:rFonts w:cstheme="minorHAnsi"/>
        </w:rPr>
        <w:t xml:space="preserve">and </w:t>
      </w:r>
      <w:r w:rsidRPr="00012E09">
        <w:rPr>
          <w:rFonts w:cstheme="minorHAnsi"/>
        </w:rPr>
        <w:t xml:space="preserve">mergers </w:t>
      </w:r>
      <w:r>
        <w:rPr>
          <w:rFonts w:cstheme="minorHAnsi"/>
        </w:rPr>
        <w:fldChar w:fldCharType="begin" w:fldLock="1"/>
      </w:r>
      <w:r w:rsidR="00EA4B53">
        <w:rPr>
          <w:rFonts w:cstheme="minorHAnsi"/>
        </w:rPr>
        <w:instrText>ADDIN CSL_CITATION {"citationItems":[{"id":"ITEM-1","itemData":{"ISBN":"9780816910229","author":[{"dropping-particle":"","family":"NHS","given":"","non-dropping-particle":"","parse-names":false,"suffix":""}],"id":"ITEM-1","issued":{"date-parts":[["2014"]]},"title":"Five Year Forward View","type":"report"},"uris":["http://www.mendeley.com/documents/?uuid=20dd0889-81df-4d62-9e2e-51461e98be0d"]},{"id":"ITEM-2","itemData":{"author":[{"dropping-particle":"","family":"The Dalton Review","given":"","non-dropping-particle":"","parse-names":false,"suffix":""}],"id":"ITEM-2","issue":"December","issued":{"date-parts":[["2014"]]},"title":"Examining new options and opportunities for providers of NHS care","type":"report"},"uris":["http://www.mendeley.com/documents/?uuid=3caa3c87-117b-4a12-9cbd-c6200d253d9c"]},{"id":"ITEM-3","itemData":{"author":[{"dropping-particle":"","family":"NHS England","given":"","non-dropping-particle":"","parse-names":false,"suffix":""},{"dropping-particle":"","family":"NHS Improvement","given":"","non-dropping-particle":"","parse-names":false,"suffix":""}],"id":"ITEM-3","issue":"January","issued":{"date-parts":[["2020"]]},"number-of-pages":"34","title":"Supporting providers to work together","type":"report"},"uris":["http://www.mendeley.com/documents/?uuid=f7595fab-7c08-4e5a-965d-76af0b374e43"]},{"id":"ITEM-4","itemData":{"author":[{"dropping-particle":"","family":"Care Quality Commission","given":"","non-dropping-particle":"","parse-names":false,"suffix":""},{"dropping-particle":"","family":"NHS Improvement","given":"","non-dropping-particle":"","parse-names":false,"suffix":""}],"id":"ITEM-4","issued":{"date-parts":[["2017"]]},"number-of-pages":"1-15","title":"Special measures for quality reasons: guidance for trusts","type":"report"},"uris":["http://www.mendeley.com/documents/?uuid=ec8515ec-98b9-41c1-bcda-b82d36d8f4a3"]},{"id":"ITEM-5","itemData":{"DOI":"10.5334/ijic.4635","ISSN":"15684156","abstract":"Introduction: Current U.S. policy and payment initiatives aim to encourage health care provider accountability for population health and higher value care, resulting in efforts to integrate providers along the continuum. Providers work together through diverse organizational structures, yet evidence is limited regarding how to best organize the delivery system to achieve higher value care. Methods: In 2016, we conducted a narrative review of 10 years of literature to identify definitional components of key organizational structures in the United States. A clear accounting of common organizational structures is foundational for understanding the system attributes that are associated with higher value care. Results: We distinguish between structures characterized by the horizontal integration of providers delivering similar services and the vertical integration of providers fulfilling different functions along the care continuum. We characterize these structures in terms of their origins, included providers and services, care management functions, and governance. Conclusions and discussion: Increasingly, U.S. policymakers seek to promote provider integration and coordination. Emerging evidence suggests that organizational structures, composition, and other characteristics influence cost and quality performance. Given current efforts to reform the U.S. delivery system, future research should seek to systematically examine the role of organizational structure in cost and quality outcomes.","author":[{"dropping-particle":"","family":"Heeringa","given":"Jessica","non-dropping-particle":"","parse-names":false,"suffix":""},{"dropping-particle":"","family":"Mutti","given":"Anne","non-dropping-particle":"","parse-names":false,"suffix":""},{"dropping-particle":"","family":"Furukawa","given":"Michael F.","non-dropping-particle":"","parse-names":false,"suffix":""},{"dropping-particle":"","family":"Lechner","given":"Amanda","non-dropping-particle":"","parse-names":false,"suffix":""},{"dropping-particle":"","family":"Maurer","given":"Kristin A.","non-dropping-particle":"","parse-names":false,"suffix":""},{"dropping-particle":"","family":"Rich","given":"Eugene","non-dropping-particle":"","parse-names":false,"suffix":""}],"container-title":"International Journal of Integrated Care","id":"ITEM-5","issue":"1","issued":{"date-parts":[["2020"]]},"page":"1-10","title":"Horizontal and vertical integration of health care providers: A framework for understanding various provider organizational structures","type":"article-journal","volume":"20"},"uris":["http://www.mendeley.com/documents/?uuid=0bcedc55-a71c-4e3c-9ee7-b60203fd8078"]}],"mendeley":{"formattedCitation":"&lt;sup&gt;3–7&lt;/sup&gt;","plainTextFormattedCitation":"3–7","previouslyFormattedCitation":"&lt;sup&gt;3–7&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3–7</w:t>
      </w:r>
      <w:r>
        <w:rPr>
          <w:rFonts w:cstheme="minorHAnsi"/>
        </w:rPr>
        <w:fldChar w:fldCharType="end"/>
      </w:r>
      <w:r>
        <w:rPr>
          <w:rFonts w:cstheme="minorHAnsi"/>
        </w:rPr>
        <w:t>. Such arrangements</w:t>
      </w:r>
      <w:r w:rsidRPr="009C5EDE">
        <w:rPr>
          <w:rFonts w:cstheme="minorHAnsi"/>
        </w:rPr>
        <w:t xml:space="preserve"> have been closely linked to policy </w:t>
      </w:r>
      <w:r>
        <w:rPr>
          <w:rFonts w:cstheme="minorHAnsi"/>
        </w:rPr>
        <w:t>contexts where governments have mandated collaboration</w:t>
      </w:r>
      <w:r w:rsidRPr="009C5EDE">
        <w:rPr>
          <w:rFonts w:cstheme="minorHAnsi"/>
        </w:rPr>
        <w:t xml:space="preserve"> or </w:t>
      </w:r>
      <w:r>
        <w:rPr>
          <w:rFonts w:cstheme="minorHAnsi"/>
        </w:rPr>
        <w:t>have sought to create conditions for ‘</w:t>
      </w:r>
      <w:r w:rsidRPr="009C5EDE">
        <w:rPr>
          <w:rFonts w:cstheme="minorHAnsi"/>
        </w:rPr>
        <w:t>co-opetition</w:t>
      </w:r>
      <w:r>
        <w:rPr>
          <w:rFonts w:cstheme="minorHAnsi"/>
        </w:rPr>
        <w:t>’</w:t>
      </w:r>
      <w:r w:rsidRPr="009C5EDE">
        <w:rPr>
          <w:rFonts w:cstheme="minorHAnsi"/>
        </w:rPr>
        <w:t xml:space="preserve"> </w:t>
      </w:r>
      <w:r>
        <w:rPr>
          <w:rFonts w:cstheme="minorHAnsi"/>
        </w:rPr>
        <w:t>between</w:t>
      </w:r>
      <w:r w:rsidRPr="009C5EDE">
        <w:rPr>
          <w:rFonts w:cstheme="minorHAnsi"/>
        </w:rPr>
        <w:t xml:space="preserve"> providers</w:t>
      </w:r>
      <w:r>
        <w:rPr>
          <w:rFonts w:cstheme="minorHAnsi"/>
        </w:rPr>
        <w:t xml:space="preserve"> in order to expand the </w:t>
      </w:r>
      <w:r w:rsidRPr="009C5EDE">
        <w:rPr>
          <w:rFonts w:cstheme="minorHAnsi"/>
        </w:rPr>
        <w:t>m</w:t>
      </w:r>
      <w:r>
        <w:rPr>
          <w:rFonts w:cstheme="minorHAnsi"/>
        </w:rPr>
        <w:t xml:space="preserve">arket position of high performing organisations </w:t>
      </w:r>
      <w:r w:rsidR="00951ACD">
        <w:rPr>
          <w:rFonts w:cstheme="minorHAnsi"/>
        </w:rPr>
        <w:fldChar w:fldCharType="begin" w:fldLock="1"/>
      </w:r>
      <w:r w:rsidR="00EA4B53">
        <w:rPr>
          <w:rFonts w:cstheme="minorHAnsi"/>
        </w:rPr>
        <w:instrText>ADDIN CSL_CITATION {"citationItems":[{"id":"ITEM-1","itemData":{"DOI":"10.1177/0951484820971456","ISSN":"0951-4848","abstract":"Across OECD countries, healthcare organizations increasingly rely on inter-organizational collaboration (IOC). Yet, systematic insight into the relations across different healthcare sectors is lacking. The aim of this explorative study is twofold. First, to understand how IOC differs across healthcare sectors with regards to characteristics, motives and the role of health policy. Second, to understand which potential effects healthcare executives consider prior to the establishment of the collaborations. For this purpose, a survey was conducted among a representative panel of Dutch healthcare executives from medium-sized or large healthcare organizations. Almost half (n = 344, 48%) of the invited executives participated. Our results suggest that differences in policy changes and institutional developments across healthcare sectors affect the scope and type of IOC: hospitals generally operate in small horizontal collaborations, while larger and more complex mixed and non-horizontal collaborations are more present among nursing homes, disability care and mental care organizations. We find that before establishing IOCs, most healthcare executives conduct a self-assessment including the potential effects of the collaboration. The extensive overview of policy developments, collaboration types and intended outcomes presented in our study offers a useful starting point for a more in-depth assessment of the effectiveness of collaborations among healthcare organizations.","author":[{"dropping-particle":"","family":"Schors","given":"Wouter","non-dropping-particle":"van der","parse-names":false,"suffix":""},{"dropping-particle":"","family":"Roos","given":"Anne-Fleur","non-dropping-particle":"","parse-names":false,"suffix":""},{"dropping-particle":"","family":"Kemp","given":"Ron","non-dropping-particle":"","parse-names":false,"suffix":""},{"dropping-particle":"","family":"Varkevisser","given":"Marco","non-dropping-particle":"","parse-names":false,"suffix":""}],"container-title":"Health Services Management Research","id":"ITEM-1","issued":{"date-parts":[["2020"]]},"page":"095148482097145","title":"Inter-organizational collaboration between healthcare providers","type":"article-journal"},"uris":["http://www.mendeley.com/documents/?uuid=e06df7c9-8d76-4348-b947-97392b10bd39"]}],"mendeley":{"formattedCitation":"&lt;sup&gt;1&lt;/sup&gt;","plainTextFormattedCitation":"1","previouslyFormattedCitation":"&lt;sup&gt;1&lt;/sup&gt;"},"properties":{"noteIndex":0},"schema":"https://github.com/citation-style-language/schema/raw/master/csl-citation.json"}</w:instrText>
      </w:r>
      <w:r w:rsidR="00951ACD">
        <w:rPr>
          <w:rFonts w:cstheme="minorHAnsi"/>
        </w:rPr>
        <w:fldChar w:fldCharType="separate"/>
      </w:r>
      <w:r w:rsidR="00E25884" w:rsidRPr="00E25884">
        <w:rPr>
          <w:rFonts w:cstheme="minorHAnsi"/>
          <w:noProof/>
          <w:vertAlign w:val="superscript"/>
        </w:rPr>
        <w:t>1</w:t>
      </w:r>
      <w:r w:rsidR="00951ACD">
        <w:rPr>
          <w:rFonts w:cstheme="minorHAnsi"/>
        </w:rPr>
        <w:fldChar w:fldCharType="end"/>
      </w:r>
      <w:r w:rsidR="00951ACD">
        <w:rPr>
          <w:rFonts w:cstheme="minorHAnsi"/>
        </w:rPr>
        <w:t>.</w:t>
      </w:r>
    </w:p>
    <w:p w14:paraId="37FCFC57" w14:textId="26F6A791" w:rsidR="002B7278" w:rsidRDefault="002B7278" w:rsidP="00525BE0">
      <w:pPr>
        <w:spacing w:line="360" w:lineRule="auto"/>
        <w:jc w:val="both"/>
        <w:rPr>
          <w:rFonts w:cstheme="minorHAnsi"/>
        </w:rPr>
      </w:pPr>
      <w:r>
        <w:rPr>
          <w:rFonts w:cstheme="minorHAnsi"/>
        </w:rPr>
        <w:t>A variety of</w:t>
      </w:r>
      <w:r w:rsidRPr="0075193C">
        <w:rPr>
          <w:rFonts w:cstheme="minorHAnsi"/>
        </w:rPr>
        <w:t xml:space="preserve"> fa</w:t>
      </w:r>
      <w:r>
        <w:rPr>
          <w:rFonts w:cstheme="minorHAnsi"/>
        </w:rPr>
        <w:t>ctors have been attributed to achieving success within such initiatives. These include the importance of</w:t>
      </w:r>
      <w:r w:rsidRPr="0075193C">
        <w:rPr>
          <w:rFonts w:cstheme="minorHAnsi"/>
        </w:rPr>
        <w:t xml:space="preserve"> organisati</w:t>
      </w:r>
      <w:r>
        <w:rPr>
          <w:rFonts w:cstheme="minorHAnsi"/>
        </w:rPr>
        <w:t xml:space="preserve">onal capacity, having a shared vision with </w:t>
      </w:r>
      <w:r w:rsidRPr="0075193C">
        <w:rPr>
          <w:rFonts w:cstheme="minorHAnsi"/>
        </w:rPr>
        <w:t xml:space="preserve">realistic aims, </w:t>
      </w:r>
      <w:r>
        <w:rPr>
          <w:rFonts w:cstheme="minorHAnsi"/>
        </w:rPr>
        <w:t xml:space="preserve">building </w:t>
      </w:r>
      <w:r w:rsidRPr="0075193C">
        <w:rPr>
          <w:rFonts w:cstheme="minorHAnsi"/>
        </w:rPr>
        <w:t xml:space="preserve">trust, </w:t>
      </w:r>
      <w:r>
        <w:rPr>
          <w:rFonts w:cstheme="minorHAnsi"/>
        </w:rPr>
        <w:t xml:space="preserve">the availability of robust </w:t>
      </w:r>
      <w:r w:rsidRPr="0075193C">
        <w:rPr>
          <w:rFonts w:cstheme="minorHAnsi"/>
        </w:rPr>
        <w:t xml:space="preserve">governance </w:t>
      </w:r>
      <w:r>
        <w:rPr>
          <w:rFonts w:cstheme="minorHAnsi"/>
        </w:rPr>
        <w:t>structures</w:t>
      </w:r>
      <w:r w:rsidR="0091639D">
        <w:rPr>
          <w:rFonts w:cstheme="minorHAnsi"/>
        </w:rPr>
        <w:t>,</w:t>
      </w:r>
      <w:r>
        <w:rPr>
          <w:rFonts w:cstheme="minorHAnsi"/>
        </w:rPr>
        <w:t xml:space="preserve"> </w:t>
      </w:r>
      <w:r w:rsidRPr="0075193C">
        <w:rPr>
          <w:rFonts w:cstheme="minorHAnsi"/>
        </w:rPr>
        <w:t xml:space="preserve">and </w:t>
      </w:r>
      <w:r>
        <w:rPr>
          <w:rFonts w:cstheme="minorHAnsi"/>
        </w:rPr>
        <w:t xml:space="preserve">collaborative leadership </w:t>
      </w:r>
      <w:r>
        <w:rPr>
          <w:rFonts w:cstheme="minorHAnsi"/>
        </w:rPr>
        <w:fldChar w:fldCharType="begin" w:fldLock="1"/>
      </w:r>
      <w:r w:rsidR="00EA4B53">
        <w:rPr>
          <w:rFonts w:cstheme="minorHAnsi"/>
        </w:rPr>
        <w:instrText>ADDIN CSL_CITATION {"citationItems":[{"id":"ITEM-1","itemData":{"author":[{"dropping-particle":"","family":"Glasby","given":"Jon","non-dropping-particle":"","parse-names":false,"suffix":""},{"dropping-particle":"","family":"Dickinson","given":"Helen","non-dropping-particle":"","parse-names":false,"suffix":""},{"dropping-particle":"","family":"Miller","given":"Robin","non-dropping-particle":"","parse-names":false,"suffix":""}],"container-title":"International journal of integrated care","id":"ITEM-1","issue":"Special 10th Anniversary Edition","issued":{"date-parts":[["2011"]]},"publisher":"Ubiquity Press","title":"Partnership working in England—where we are now and where we’ve come from","type":"article-journal","volume":"11"},"uris":["http://www.mendeley.com/documents/?uuid=782efd7e-68dc-4407-ae5b-28f03456b567"]},{"id":"ITEM-2","itemData":{"ISSN":"1477-7266","author":[{"dropping-particle":"","family":"Warwick-Giles","given":"Lynsey","non-dropping-particle":"","parse-names":false,"suffix":""},{"dropping-particle":"","family":"Checkland","given":"Kath","non-dropping-particle":"","parse-names":false,"suffix":""}],"container-title":"Journal of health organization and management","id":"ITEM-2","issue":"1","issued":{"date-parts":[["2018"]]},"page":"85-100","publisher":"Emerald Publishing Limited","title":"Integrated care: Using “sensemaking” to understand how organisations are working together to transform local health and social care services","type":"article-journal","volume":"32"},"uris":["http://www.mendeley.com/documents/?uuid=7f96db00-8ed8-4c6b-8a66-0e6e827034e1"]},{"id":"ITEM-3","itemData":{"abstract":"Abstract Purpose The purpose of this paper is to investigate the perceptions of key informants on a national support programme for the development of new care models (NCM) in England (2015/2016–2017/2018). It focuses on the perceived facilitators and barriers affecting the development and implementation of the NCM programme and offers some insight into the role of national level support in enabling local integration initiatives. Design/methodology/approach A set of 29 interviews were carried out with a variety of respondents at the national level (including current and past programme leads, strategic account managers, advisors to the programme and external regulators) between October 2017 and March 2018, and analysed thematically. Findings A set of facilitative elements of the programme were identified: the development of relationships and alliances, strong local and national leadership, the availability of expert knowledge and skills, and additional funding. Challenges to success included perceived expectations from the national Vanguard programme, oversight and performance monitoring, engagement with regulators, data availability and quality, as well as timetables and timescales. Crucially, the facilitators and challenges were found to interact in dynamic and complex ways, which resulted in significant tensions and ambiguities within the support programme. Research limitations/implications While the sample was drawn from a range of different senior players and the authors ensured a diverse sample associated with the NCM support programme, it inevitably cannot be complete and there may have been valuable perspectives absent. Originality/value The paper demonstrates that the analysis of facilitators and challenges with respect to the national support of implementation of integrated care initiatives should move beyond the focus on separate influencing factors and address the tensions that the complex interplay among these factors create.","author":[{"dropping-particle":"","family":"Billings","given":"Jenny","non-dropping-particle":"","parse-names":false,"suffix":""},{"dropping-particle":"","family":"Mikelyte","given":"Rasa","non-dropping-particle":"","parse-names":false,"suffix":""},{"dropping-particle":"","family":"MacInnes","given":"Julie D","non-dropping-particle":"","parse-names":false,"suffix":""},{"dropping-particle":"","family":"Allen","given":"Pauline","non-dropping-particle":"","parse-names":false,"suffix":""},{"dropping-particle":"","family":"Croke","given":"Sarah","non-dropping-particle":"","parse-names":false,"suffix":""},{"dropping-particle":"","family":"Checkland","given":"Kath","non-dropping-particle":"","parse-names":false,"suffix":""}],"container-title":"Journal of Integrated Care","id":"ITEM-3","issue":"1","issued":{"date-parts":[["2019"]]},"page":"27-40","title":"Supporting integrated care in practice: Perceptions of a national support programme for the development of New Care Models in England","type":"article-journal","volume":"28"},"uris":["http://www.mendeley.com/documents/?uuid=51f3facf-56c2-4f07-9898-9da767133837"]},{"id":"ITEM-4","itemData":{"ISSN":"1476-9018","author":[{"dropping-particle":"","family":"Erens","given":"Bob","non-dropping-particle":"","parse-names":false,"suffix":""},{"dropping-particle":"","family":"Wistow","given":"Gerald","non-dropping-particle":"","parse-names":false,"suffix":""},{"dropping-particle":"","family":"Mays","given":"Nicholas","non-dropping-particle":"","parse-names":false,"suffix":""},{"dropping-particle":"","family":"Manacorda","given":"Tommaso","non-dropping-particle":"","parse-names":false,"suffix":""},{"dropping-particle":"","family":"Douglas","given":"Nick","non-dropping-particle":"","parse-names":false,"suffix":""},{"dropping-particle":"","family":"Mounier-Jack","given":"Sandra","non-dropping-particle":"","parse-names":false,"suffix":""},{"dropping-particle":"","family":"Durand","given":"Mary Alison","non-dropping-particle":"","parse-names":false,"suffix":""}],"container-title":"Journal of Integrated Care","id":"ITEM-4","issued":{"date-parts":[["2019"]]},"publisher":"Emerald Publishing Limited","title":"Can health and social care integration make long-term progress? Findings from key informant surveys of the integration Pioneers in England","type":"article-journal"},"uris":["http://www.mendeley.com/documents/?uuid=3f53865d-5cc3-4233-a943-f4e8ba2be2b0"]},{"id":"ITEM-5","itemData":{"author":[{"dropping-particle":"","family":"Alderwick","given":"Hugh","non-dropping-particle":"","parse-names":false,"suffix":""},{"dropping-particle":"","family":"Hutchings","given":"Andrew","non-dropping-particle":"","parse-names":false,"suffix":""},{"dropping-particle":"","family":"Briggs","given":"Adam","non-dropping-particle":"","parse-names":false,"suffix":""},{"dropping-particle":"","family":"Mays","given":"Nicholas","non-dropping-particle":"","parse-names":false,"suffix":""}],"id":"ITEM-5","issued":{"date-parts":[["2021"]]},"page":"1-16","publisher":"BMC Public Health","title":"The impacts of collaboration between local health care and non-health care organizations and factors shaping how they work : a systematic review of reviews","type":"article-journal"},"uris":["http://www.mendeley.com/documents/?uuid=5cd7d0c2-1345-4851-a43f-fa864eb1a204"]},{"id":"ITEM-6","itemData":{"abstract":"Introduction The idea of partnerships and collaboration across organisational boundaries is not new in the NHS in England, but it is reaching a zenith in policymakers’ minds. The 2017–19 planning guidance for the NHS put it simply: partnership behaviours are becoming ‘the new norm’ and ‘What makes most sense for patients, communities and the taxpayer should always trump the narrower interests of individual organisations.’1 This idea underpins the sustainability and transformation partnerships and the new models of care set out in the Five year forward view for the NHS in England.2 It also builds on the experience of initiatives that have been tried over the past decade, ranging from new forms of organisational links (eg buddying and franchises) to building networks and communities of practitioners to help improve health service delivery. The Health Foundation has contributed to developing the evidence base for networks – for example, by funding programmes to help clinical communities improve quality of care in specific areas of practice,3 reviewing how to develop and manage effective networks to support quality improvement,4 and developing Q, a connected community of people who have improvement expertise from across the UK.5 But less is known about what makes for successful partnerships between providers at an organisational level. For this reason, the Health Foundation commissioned the Health Services Management Centre (HSMC) at the University of Birmingham to look at a range of current organisational partnerships, and draw some tentative learning to help inform and guide both policymakers and providers. This briefing by the Health Foundation and HSMC summarises the main findings of the research report and what providers and policymakers can learn. The research report, Partnering for improvement: inter-organisational developments in the NHS, is available at www.birmingham.ac.uk/partnering-for-improvement.6","author":[{"dropping-particle":"","family":"Miller","given":"Robin","non-dropping-particle":"","parse-names":false,"suffix":""},{"dropping-particle":"","family":"Millar","given":"Ross","non-dropping-particle":"","parse-names":false,"suffix":""}],"container-title":"Health Foundation","id":"ITEM-6","issue":"September","issued":{"date-parts":[["2017"]]},"title":"Partnerships for improvement: ingredients for success","type":"report"},"uris":["http://www.mendeley.com/documents/?uuid=d0c5f80f-2b8d-4582-ae88-734dcb538e8d"]}],"mendeley":{"formattedCitation":"&lt;sup&gt;8–13&lt;/sup&gt;","plainTextFormattedCitation":"8–13","previouslyFormattedCitation":"&lt;sup&gt;8–13&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8–13</w:t>
      </w:r>
      <w:r>
        <w:rPr>
          <w:rFonts w:cstheme="minorHAnsi"/>
        </w:rPr>
        <w:fldChar w:fldCharType="end"/>
      </w:r>
      <w:r w:rsidRPr="0075193C">
        <w:rPr>
          <w:rFonts w:cstheme="minorHAnsi"/>
        </w:rPr>
        <w:t>.</w:t>
      </w:r>
      <w:r>
        <w:rPr>
          <w:rFonts w:cstheme="minorHAnsi"/>
        </w:rPr>
        <w:t xml:space="preserve"> </w:t>
      </w:r>
      <w:r>
        <w:t xml:space="preserve">However, realising the advantages of collaboration is far from straightforward </w:t>
      </w:r>
      <w:r w:rsidR="00CE7824">
        <w:fldChar w:fldCharType="begin" w:fldLock="1"/>
      </w:r>
      <w:r w:rsidR="00EA4B53">
        <w:instrText>ADDIN CSL_CITATION {"citationItems":[{"id":"ITEM-1","itemData":{"DOI":"10.1177/0021886303253179","abstract":"Many organizations aspire to gain collaborative advantage by working in partnerships across organizational, sectoral, and even national boundaries. Such collaborations, however , are difficult to manage, and the likelihood of disappointing outputs is high. To create advantage, practitioners need to engage in a continuous process of nurturing the collabo-rative processes. One issue that appears significant in the nurturing process is trust. This article incorporates a synthesis of research on trust with research on other aspects of collaboration. It develops a trust-building loop and examines its validity to inform practice. It argues that trust building is problematic and that management of trust implies both the ability to cope in situations where trust is lacking and the ability to build trust in situations where this is possible. It summarizes pragmatic implications in a tool for thinking about and addressing trust management in different collaborative situations.","author":[{"dropping-particle":"","family":"Vangen","given":"Siv","non-dropping-particle":"","parse-names":false,"suffix":""},{"dropping-particle":"","family":"Huxham","given":"Chris","non-dropping-particle":"","parse-names":false,"suffix":""}],"container-title":"Journal of Applied Behavioral Science","id":"ITEM-1","issue":"1","issued":{"date-parts":[["2003"]]},"page":"5-31","title":"Nurturing collaborative relations: Building Trust in Interorganizational Collaboration","type":"article-journal","volume":"39"},"uris":["http://www.mendeley.com/documents/?uuid=b9ed2b75-5dea-48de-9b1c-9679832ee22f"]}],"mendeley":{"formattedCitation":"&lt;sup&gt;14&lt;/sup&gt;","plainTextFormattedCitation":"14","previouslyFormattedCitation":"&lt;sup&gt;14&lt;/sup&gt;"},"properties":{"noteIndex":0},"schema":"https://github.com/citation-style-language/schema/raw/master/csl-citation.json"}</w:instrText>
      </w:r>
      <w:r w:rsidR="00CE7824">
        <w:fldChar w:fldCharType="separate"/>
      </w:r>
      <w:r w:rsidR="00E25884" w:rsidRPr="00E25884">
        <w:rPr>
          <w:noProof/>
          <w:vertAlign w:val="superscript"/>
        </w:rPr>
        <w:t>14</w:t>
      </w:r>
      <w:r w:rsidR="00CE7824">
        <w:fldChar w:fldCharType="end"/>
      </w:r>
      <w:r w:rsidR="00CE7824">
        <w:t>.</w:t>
      </w:r>
      <w:r w:rsidRPr="00E155EB">
        <w:t xml:space="preserve"> </w:t>
      </w:r>
      <w:r>
        <w:rPr>
          <w:rFonts w:cstheme="minorHAnsi"/>
        </w:rPr>
        <w:t xml:space="preserve">Notable barriers to IOCs are include the </w:t>
      </w:r>
      <w:r w:rsidRPr="00A22049">
        <w:rPr>
          <w:rFonts w:cstheme="minorHAnsi"/>
        </w:rPr>
        <w:t>geographical distance</w:t>
      </w:r>
      <w:r>
        <w:rPr>
          <w:rFonts w:cstheme="minorHAnsi"/>
        </w:rPr>
        <w:t xml:space="preserve"> between partners</w:t>
      </w:r>
      <w:r w:rsidRPr="00A22049">
        <w:rPr>
          <w:rFonts w:cstheme="minorHAnsi"/>
        </w:rPr>
        <w:t xml:space="preserve">, </w:t>
      </w:r>
      <w:r>
        <w:rPr>
          <w:rFonts w:cstheme="minorHAnsi"/>
        </w:rPr>
        <w:t xml:space="preserve">the influence of </w:t>
      </w:r>
      <w:r w:rsidRPr="00A22049">
        <w:rPr>
          <w:rFonts w:cstheme="minorHAnsi"/>
        </w:rPr>
        <w:t xml:space="preserve">historical </w:t>
      </w:r>
      <w:r>
        <w:rPr>
          <w:rFonts w:cstheme="minorHAnsi"/>
        </w:rPr>
        <w:t>events, competitive behaviour</w:t>
      </w:r>
      <w:r w:rsidRPr="00A22049">
        <w:rPr>
          <w:rFonts w:cstheme="minorHAnsi"/>
        </w:rPr>
        <w:t xml:space="preserve">, </w:t>
      </w:r>
      <w:r>
        <w:rPr>
          <w:rFonts w:cstheme="minorHAnsi"/>
        </w:rPr>
        <w:t>the regulatory environment</w:t>
      </w:r>
      <w:r w:rsidRPr="00A22049">
        <w:rPr>
          <w:rFonts w:cstheme="minorHAnsi"/>
        </w:rPr>
        <w:t xml:space="preserve">, </w:t>
      </w:r>
      <w:r>
        <w:rPr>
          <w:rFonts w:cstheme="minorHAnsi"/>
        </w:rPr>
        <w:t xml:space="preserve">a </w:t>
      </w:r>
      <w:r w:rsidRPr="00A22049">
        <w:rPr>
          <w:rFonts w:cstheme="minorHAnsi"/>
        </w:rPr>
        <w:t>lack of organisational resources and coordination, power imbalances</w:t>
      </w:r>
      <w:r w:rsidR="0091639D">
        <w:rPr>
          <w:rFonts w:cstheme="minorHAnsi"/>
        </w:rPr>
        <w:t>,</w:t>
      </w:r>
      <w:r w:rsidRPr="00A22049">
        <w:rPr>
          <w:rFonts w:cstheme="minorHAnsi"/>
        </w:rPr>
        <w:t xml:space="preserve"> and incompatible organisational structures and cultures</w:t>
      </w:r>
      <w:r w:rsidR="00CE7824">
        <w:rPr>
          <w:rFonts w:cstheme="minorHAnsi"/>
        </w:rPr>
        <w:t xml:space="preserve"> </w:t>
      </w:r>
      <w:r>
        <w:rPr>
          <w:rFonts w:cstheme="minorHAnsi"/>
        </w:rPr>
        <w:fldChar w:fldCharType="begin" w:fldLock="1"/>
      </w:r>
      <w:r w:rsidR="00EA4B53">
        <w:rPr>
          <w:rFonts w:cstheme="minorHAnsi"/>
        </w:rPr>
        <w:instrText>ADDIN CSL_CITATION {"citationItems":[{"id":"ITEM-1","itemData":{"author":[{"dropping-particle":"","family":"Glasby","given":"Jon","non-dropping-particle":"","parse-names":false,"suffix":""},{"dropping-particle":"","family":"Dickinson","given":"Helen","non-dropping-particle":"","parse-names":false,"suffix":""},{"dropping-particle":"","family":"Miller","given":"Robin","non-dropping-particle":"","parse-names":false,"suffix":""}],"container-title":"International journal of integrated care","id":"ITEM-1","issue":"Special 10th Anniversary Edition","issued":{"date-parts":[["2011"]]},"publisher":"Ubiquity Press","title":"Partnership working in England—where we are now and where we’ve come from","type":"article-journal","volume":"11"},"uris":["http://www.mendeley.com/documents/?uuid=782efd7e-68dc-4407-ae5b-28f03456b567"]},{"id":"ITEM-2","itemData":{"DOI":"10.5334/ijic.3068","ISSN":"15684156","abstract":"Introduction: In recent years, inter-organisational collaboration between healthcare organisations has become of increasingly vital importance in order to improve the integration of health service delivery. However, different barriers reported in academic literature seem to hinder the formation and development of such collaboration. Theory and methods: This systematic literature review of forty studies summarises and categorises the barriers to integrated care in inter-organisational settings as reported in previous studies. It analyses how these barriers operate. Results: Within these studies, twenty types of barriers have been identified and then categorised in six groups (barriers related to administration and regulation, barriers related to funding, barriers related to the inter-organisational domain, barriers related to the organisational domain, barriers related to service delivery, and barriers related to clinical practices). Not all of these barriers emerge passively, some are set up intentionally. They are not only context-specific, but are also often related and influence each other. Discussion and conclusion: The compilation of these results allows for a better understanding of the characteristics and reasons for the occurrence of barriers that impede collaboration aiming for the integration of care, not only for researchers but also for practitioners. It can help to explain and counteract the slow progress and limited efficiency and effectiveness of some of the inter-organisational collaboration in healthcare settings.","author":[{"dropping-particle":"","family":"Auschra","given":"Carolin","non-dropping-particle":"","parse-names":false,"suffix":""}],"container-title":"International Journal of Integrated Care","id":"ITEM-2","issue":"1","issued":{"date-parts":[["2018"]]},"note":"From Duplicate 2 (Barriers to the integration of care in inter-organisational settings: a literature review - Carolin, AUSCHRA)\n\nUseful review of inter-organisational factors which hinder joint working","page":"1-14","publisher":"International Foundation for Integrated Care","title":"Barriers to the integration of care in inter-organisational settings: a literature review","type":"article-journal","volume":"18"},"uris":["http://www.mendeley.com/documents/?uuid=dbe1602a-b818-4478-808a-1caa27a3d8fa"]},{"id":"ITEM-3","itemData":{"DOI":"10.1108/14777261111178538","ISSN":"14777266","PMID":"22256663","abstract":"Purpose: The National Health Service (NHS) Local Improvement Finance Trust (LIFT) programme was launched in 2001 as an innovative public-private partnership to address the historical under-investment in local primary care facilities in England. The organisations from the public and private sector that comprise a local LIFT partnership each have their own distinctive norms of behaviour and acceptable working practices - ultimately different organisational cultures. The purpose of this article is to assess the role of organisational culture in facilitating (or impeding) LIFT partnerships and to contribute to an understanding of how cultural diversity in public-private partnerships is managed at the local level. Design/methodology/approach: The approach taken was qualitative case studies, with data gathering comprising interviews and a review of background documentation in three LIFT companies purposefully sampled to represent a range of background factors. Elite interviews were also conducted with senior policy makers responsible for implementing LIFT policy at the national level. Findings: Interpreting the data against a conceptual framework designed to assess approaches to managing strategic alliances, the authors identified a number of key differences in the values, working practices and cultures in public and private organisations that influenced the quality of joint working. On the whole, however, partners in the three LIFT companies appeared to be working well together, with neither side dominating the development of strategy. Differences in culture were being managed and accommodated as partnerships matured. Research limitations/implications: As LIFT develops and becomes the primary source of investment for managing, developing and channelling funding into regenerating the primary care infrastructure, further longitudinal work might examine how ongoing partnerships are working, and how changes in the cultures of public and private partners impact upon wider relationships within local health economies and shape the delivery of patient care. Originality/value: To the authors' knowledge this is the first study of the role of culture in mediating LIFT partnerships and the findings add to the evidence on public-private partnerships in the NHS. © Emerald Group Publishing Limited.","author":[{"dropping-particle":"","family":"Mannion","given":"Russell","non-dropping-particle":"","parse-names":false,"suffix":""},{"dropping-particle":"","family":"Brown","given":"Sally","non-dropping-particle":"","parse-names":false,"suffix":""},{"dropping-particle":"","family":"Beck","given":"Matthias","non-dropping-particle":"","parse-names":false,"suffix":""},{"dropping-particle":"","family":"Lunt","given":"Neil","non-dropping-particle":"","parse-names":false,"suffix":""}],"container-title":"Journal of Health, Organisation and Management","id":"ITEM-3","issue":"6","issued":{"date-parts":[["2011"]]},"page":"645-657","title":"Managing cultural diversity in healthcare partnerships: The case of LIFT","type":"article-journal","volume":"25"},"uris":["http://www.mendeley.com/documents/?uuid=9abd5a82-4ab9-4a54-b0e3-ad15f4c174f6"]},{"id":"ITEM-4","itemData":{"ISSN":"1471-9037","author":[{"dropping-particle":"","family":"Dickinson","given":"Helen","non-dropping-particle":"","parse-names":false,"suffix":""},{"dropping-particle":"","family":"Glasby","given":"Jon","non-dropping-particle":"","parse-names":false,"suffix":""}],"container-title":"Public Management Review","id":"ITEM-4","issue":"6","issued":{"date-parts":[["2010"]]},"page":"811-828","publisher":"Taylor &amp; Francis","title":"‘Why Partnership Working Doesn't Work’ Pitfalls, problems and possibilities in English health and social care","type":"article-journal","volume":"12"},"uris":["http://www.mendeley.com/documents/?uuid=6c0a5c3d-f9fa-42ec-80e8-50fdcb45a5cf"]}],"mendeley":{"formattedCitation":"&lt;sup&gt;8,15–17&lt;/sup&gt;","plainTextFormattedCitation":"8,15–17","previouslyFormattedCitation":"&lt;sup&gt;8,15–17&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8,15–17</w:t>
      </w:r>
      <w:r>
        <w:rPr>
          <w:rFonts w:cstheme="minorHAnsi"/>
        </w:rPr>
        <w:fldChar w:fldCharType="end"/>
      </w:r>
      <w:r w:rsidR="00CE7824">
        <w:rPr>
          <w:rFonts w:cstheme="minorHAnsi"/>
        </w:rPr>
        <w:t>.</w:t>
      </w:r>
    </w:p>
    <w:p w14:paraId="7F696C4B" w14:textId="77777777" w:rsidR="002B7278" w:rsidRPr="00012E09" w:rsidRDefault="002B7278" w:rsidP="00525BE0">
      <w:pPr>
        <w:spacing w:line="360" w:lineRule="auto"/>
        <w:jc w:val="both"/>
        <w:rPr>
          <w:rFonts w:cstheme="minorHAnsi"/>
        </w:rPr>
      </w:pPr>
    </w:p>
    <w:p w14:paraId="0A6C7F85" w14:textId="77777777" w:rsidR="002B7278" w:rsidRPr="007067ED" w:rsidRDefault="002B7278" w:rsidP="00525BE0">
      <w:pPr>
        <w:pStyle w:val="Heading2"/>
        <w:jc w:val="both"/>
      </w:pPr>
      <w:bookmarkStart w:id="13" w:name="_Toc85066401"/>
      <w:r w:rsidRPr="007A4C25">
        <w:t>Historical developments</w:t>
      </w:r>
      <w:bookmarkEnd w:id="13"/>
      <w:r w:rsidRPr="007A4C25">
        <w:t xml:space="preserve"> </w:t>
      </w:r>
    </w:p>
    <w:p w14:paraId="7F64D7F8" w14:textId="77777777" w:rsidR="002B7278" w:rsidRDefault="002B7278" w:rsidP="00525BE0">
      <w:pPr>
        <w:spacing w:after="160" w:line="360" w:lineRule="auto"/>
        <w:jc w:val="both"/>
        <w:rPr>
          <w:rFonts w:cstheme="minorHAnsi"/>
        </w:rPr>
      </w:pPr>
    </w:p>
    <w:p w14:paraId="5ABE504F" w14:textId="323333AA" w:rsidR="002B7278" w:rsidRDefault="002B7278" w:rsidP="00525BE0">
      <w:pPr>
        <w:spacing w:line="360" w:lineRule="auto"/>
        <w:jc w:val="both"/>
      </w:pPr>
      <w:r>
        <w:t>England has seen no shortage of attempts to promote inter-organisational collaboration</w:t>
      </w:r>
      <w:r>
        <w:rPr>
          <w:rFonts w:cstheme="minorHAnsi"/>
        </w:rPr>
        <w:t xml:space="preserve">. </w:t>
      </w:r>
      <w:r>
        <w:t xml:space="preserve">The apparent need for improved </w:t>
      </w:r>
      <w:r w:rsidRPr="007A4C25">
        <w:t>partnership working</w:t>
      </w:r>
      <w:r>
        <w:t xml:space="preserve"> can be </w:t>
      </w:r>
      <w:r w:rsidRPr="007A4C25">
        <w:t xml:space="preserve">traced back </w:t>
      </w:r>
      <w:r>
        <w:t xml:space="preserve">at least as far as the </w:t>
      </w:r>
      <w:r w:rsidRPr="007A4C25">
        <w:t>introduction of ‘national</w:t>
      </w:r>
      <w:r>
        <w:t xml:space="preserve"> planning systems’ in the 1960s. Subsequent </w:t>
      </w:r>
      <w:r w:rsidRPr="0064657E">
        <w:t xml:space="preserve">policy developments </w:t>
      </w:r>
      <w:r>
        <w:t>include</w:t>
      </w:r>
      <w:r w:rsidRPr="0064657E">
        <w:t xml:space="preserve"> </w:t>
      </w:r>
      <w:r>
        <w:t>t</w:t>
      </w:r>
      <w:r w:rsidRPr="007A4C25">
        <w:t xml:space="preserve">he 1974 NHS reorganisation </w:t>
      </w:r>
      <w:r>
        <w:t xml:space="preserve">and 1990 </w:t>
      </w:r>
      <w:r w:rsidRPr="007A4C25">
        <w:t>The NHS and Community Care Act</w:t>
      </w:r>
      <w:r>
        <w:t xml:space="preserve">. </w:t>
      </w:r>
      <w:r w:rsidRPr="007A4C25">
        <w:t xml:space="preserve"> </w:t>
      </w:r>
      <w:r>
        <w:t>Both encouraged</w:t>
      </w:r>
      <w:r w:rsidRPr="007A4C25">
        <w:t xml:space="preserve"> </w:t>
      </w:r>
      <w:r>
        <w:t xml:space="preserve">improved collaboration between the NHS and local authorities </w:t>
      </w:r>
      <w:r w:rsidRPr="007A4C25">
        <w:fldChar w:fldCharType="begin" w:fldLock="1"/>
      </w:r>
      <w:r w:rsidR="00EA4B53">
        <w:instrText>ADDIN CSL_CITATION {"citationItems":[{"id":"ITEM-1","itemData":{"ISBN":"1134334508","author":[{"dropping-particle":"","family":"Talbot-Smith","given":"Alison","non-dropping-particle":"","parse-names":false,"suffix":""},{"dropping-particle":"","family":"Pollock","given":"Allyson M","non-dropping-particle":"","parse-names":false,"suffix":""}],"id":"ITEM-1","issued":{"date-parts":[["2006"]]},"publisher":"Routledge","title":"The new NHS: a guide","type":"book"},"uris":["http://www.mendeley.com/documents/?uuid=9a08a7ec-5a7a-4f4b-a91f-587228a6cdc7"]}],"mendeley":{"formattedCitation":"&lt;sup&gt;18&lt;/sup&gt;","plainTextFormattedCitation":"18","previouslyFormattedCitation":"&lt;sup&gt;18&lt;/sup&gt;"},"properties":{"noteIndex":0},"schema":"https://github.com/citation-style-language/schema/raw/master/csl-citation.json"}</w:instrText>
      </w:r>
      <w:r w:rsidRPr="007A4C25">
        <w:fldChar w:fldCharType="separate"/>
      </w:r>
      <w:r w:rsidR="00E25884" w:rsidRPr="00E25884">
        <w:rPr>
          <w:noProof/>
          <w:vertAlign w:val="superscript"/>
        </w:rPr>
        <w:t>18</w:t>
      </w:r>
      <w:r w:rsidRPr="007A4C25">
        <w:fldChar w:fldCharType="end"/>
      </w:r>
      <w:r>
        <w:t>. The New Labour</w:t>
      </w:r>
      <w:r w:rsidRPr="007A4C25">
        <w:t xml:space="preserve"> government </w:t>
      </w:r>
      <w:r>
        <w:t>during their early years of government espoused a shift away from competition to collaboration with a raft of policy initiatives including joint commissioning arrangements</w:t>
      </w:r>
      <w:r w:rsidRPr="007A4C25">
        <w:t xml:space="preserve">, </w:t>
      </w:r>
      <w:r>
        <w:t xml:space="preserve">pooled budgets, </w:t>
      </w:r>
      <w:r w:rsidRPr="007A4C25">
        <w:t xml:space="preserve">Health Improvement Programmes, Health Action Zones, and a Duty of Partnership for NHS bodies and local authorities </w:t>
      </w:r>
      <w:r w:rsidRPr="007A4C25">
        <w:fldChar w:fldCharType="begin" w:fldLock="1"/>
      </w:r>
      <w:r w:rsidR="00EA4B53">
        <w:instrText>ADDIN CSL_CITATION {"citationItems":[{"id":"ITEM-1","itemData":{"DOI":"10.1332/0305573022501610","ISSN":"03055736","abstract":"The boundary between health and social care in England has been problematic throughout the postwar period. The 1997 Labour government put a specific emphasis on partnership working across these two policy areas and developed a coherent strategy for promoting the collaboration agenda. However, it has almost simultaneously turned against partnership working and in favour of restructuring as a way of securing integrated care. This has caused confusion and resentment in the field and is argued to be inconsistent with the complex requirements of governance and the management of 'wicked issues'.","author":[{"dropping-particle":"","family":"Hudson","given":"Bob","non-dropping-particle":"","parse-names":false,"suffix":""},{"dropping-particle":"","family":"Henwood","given":"Melanie","non-dropping-particle":"","parse-names":false,"suffix":""}],"container-title":"Policy and Politics","id":"ITEM-1","issue":"2","issued":{"date-parts":[["2002"]]},"page":"153-166","title":"The NHS and social care: The final countdown?","type":"article-journal","volume":"30"},"uris":["http://www.mendeley.com/documents/?uuid=8e2934c5-6270-4937-833a-3809050c8ac3"]},{"id":"ITEM-2","itemData":{"ISBN":"1134334508","author":[{"dropping-particle":"","family":"Talbot-Smith","given":"Alison","non-dropping-particle":"","parse-names":false,"suffix":""},{"dropping-particle":"","family":"Pollock","given":"Allyson M","non-dropping-particle":"","parse-names":false,"suffix":""}],"id":"ITEM-2","issued":{"date-parts":[["2006"]]},"publisher":"Routledge","title":"The new NHS: a guide","type":"book"},"uris":["http://www.mendeley.com/documents/?uuid=9a08a7ec-5a7a-4f4b-a91f-587228a6cdc7"]}],"mendeley":{"formattedCitation":"&lt;sup&gt;18,19&lt;/sup&gt;","manualFormatting":"8,19,20","plainTextFormattedCitation":"18,19","previouslyFormattedCitation":"&lt;sup&gt;18,19&lt;/sup&gt;"},"properties":{"noteIndex":0},"schema":"https://github.com/citation-style-language/schema/raw/master/csl-citation.json"}</w:instrText>
      </w:r>
      <w:r w:rsidRPr="007A4C25">
        <w:fldChar w:fldCharType="separate"/>
      </w:r>
      <w:r w:rsidRPr="007A4C25">
        <w:rPr>
          <w:noProof/>
        </w:rPr>
        <w:fldChar w:fldCharType="begin" w:fldLock="1"/>
      </w:r>
      <w:r w:rsidR="00EA4B53">
        <w:rPr>
          <w:noProof/>
        </w:rPr>
        <w:instrText>ADDIN CSL_CITATION {"citationItems":[{"id":"ITEM-1","itemData":{"DOI":"10.1002/(SICI)1099-1050(199803)7:2&lt;105::AID-HEC333&gt;3.0.CO;2-K","ISSN":"10579230","PMID":"9565167","abstract":"The Labour government has outlined its plans to 'replace' the competitive internal market with a more collaborative system based on partnership. Agreement amongst purchasers and providers is to be based on co-operation rather than competition. Longer term agreements covering periods of 3-5 years are to replace annual contracts within this new environment. The aim of this paper is to explore the potential economic implications of these policy changes by drawing on the economics of co-operation and the transaction costs approach to longer term contracting. Issues surrounding the role of trust in contractual relationships are explored and the relevance of experience and evidence from non-health care sectors is considered in the context of the NHS. It is concluded that both theory and empirical evidence suggest that co-operation and trust can play a central role in the efficient organisation of contractual arrangements in circumstances similar to those under which the NHS operates. However, we warn against the expectation that the policy changes will produce automatically the scale of benefits predicted by the Labour government, especially as they will have to find a way of extracting reasonable performance from providers under a system of collaboration and long term agreements. They may find they need to tread a fine line between competition and co-operation in order to reap the benefits of both.","author":[{"dropping-particle":"","family":"Goddard","given":"M.","non-dropping-particle":"","parse-names":false,"suffix":""},{"dropping-particle":"","family":"Mannion","given":"R.","non-dropping-particle":"","parse-names":false,"suffix":""}],"container-title":"Health Economics","id":"ITEM-1","issue":"2","issued":{"date-parts":[["1998"]]},"page":"105-119","title":"From competition to co-operation: New economic relationships in the National Health Service","type":"article-journal","volume":"7"},"uris":["http://www.mendeley.com/documents/?uuid=49bf13e6-2cca-43d9-be38-f42a52ea452f"]},{"id":"ITEM-2","itemData":{"DOI":"10.1332/0305573022501610","ISSN":"03055736","abstract":"The boundary between health and social care in England has been problematic throughout the postwar period. The 1997 Labour government put a specific emphasis on partnership working across these two policy areas and developed a coherent strategy for promoting the collaboration agenda. However, it has almost simultaneously turned against partnership working and in favour of restructuring as a way of securing integrated care. This has caused confusion and resentment in the field and is argued to be inconsistent with the complex requirements of governance and the management of 'wicked issues'.","author":[{"dropping-particle":"","family":"Hudson","given":"Bob","non-dropping-particle":"","parse-names":false,"suffix":""},{"dropping-particle":"","family":"Henwood","given":"Melanie","non-dropping-particle":"","parse-names":false,"suffix":""}],"container-title":"Policy and Politics","id":"ITEM-2","issue":"2","issued":{"date-parts":[["2002"]]},"page":"153-166","title":"The NHS and social care: The final countdown?","type":"article-journal","volume":"30"},"uris":["http://www.mendeley.com/documents/?uuid=8e2934c5-6270-4937-833a-3809050c8ac3"]},{"id":"ITEM-3","itemData":{"author":[{"dropping-particle":"","family":"Glasby","given":"Jon","non-dropping-particle":"","parse-names":false,"suffix":""},{"dropping-particle":"","family":"Dickinson","given":"Helen","non-dropping-particle":"","parse-names":false,"suffix":""},{"dropping-particle":"","family":"Miller","given":"Robin","non-dropping-particle":"","parse-names":false,"suffix":""}],"container-title":"International journal of integrated care","id":"ITEM-3","issue":"Special 10th Anniversary Edition","issued":{"date-parts":[["2011"]]},"publisher":"Ubiquity Press","title":"Partnership working in England—where we are now and where we’ve come from","type":"article-journal","volume":"11"},"uris":["http://www.mendeley.com/documents/?uuid=782efd7e-68dc-4407-ae5b-28f03456b567"]}],"mendeley":{"formattedCitation":"&lt;sup&gt;8,19,20&lt;/sup&gt;","plainTextFormattedCitation":"8,19,20","previouslyFormattedCitation":"&lt;sup&gt;8,19,20&lt;/sup&gt;"},"properties":{"noteIndex":0},"schema":"https://github.com/citation-style-language/schema/raw/master/csl-citation.json"}</w:instrText>
      </w:r>
      <w:r w:rsidRPr="007A4C25">
        <w:rPr>
          <w:noProof/>
        </w:rPr>
        <w:fldChar w:fldCharType="separate"/>
      </w:r>
      <w:r w:rsidR="00E25884" w:rsidRPr="00E25884">
        <w:rPr>
          <w:noProof/>
          <w:vertAlign w:val="superscript"/>
        </w:rPr>
        <w:t>8,19,20</w:t>
      </w:r>
      <w:r w:rsidRPr="007A4C25">
        <w:rPr>
          <w:noProof/>
        </w:rPr>
        <w:fldChar w:fldCharType="end"/>
      </w:r>
      <w:r w:rsidRPr="007A4C25">
        <w:fldChar w:fldCharType="end"/>
      </w:r>
      <w:r>
        <w:t>. Nevertheless these</w:t>
      </w:r>
      <w:r w:rsidRPr="00310995">
        <w:t xml:space="preserve"> </w:t>
      </w:r>
      <w:r>
        <w:t xml:space="preserve">initiatives struggled to achieve their desired goals and outcomes </w:t>
      </w:r>
      <w:r>
        <w:fldChar w:fldCharType="begin" w:fldLock="1"/>
      </w:r>
      <w:r w:rsidR="00EA4B53">
        <w:instrText>ADDIN CSL_CITATION {"citationItems":[{"id":"ITEM-1","itemData":{"DOI":"10.1332/0305573022501610","ISSN":"03055736","abstract":"The boundary between health and social care in England has been problematic throughout the postwar period. The 1997 Labour government put a specific emphasis on partnership working across these two policy areas and developed a coherent strategy for promoting the collaboration agenda. However, it has almost simultaneously turned against partnership working and in favour of restructuring as a way of securing integrated care. This has caused confusion and resentment in the field and is argued to be inconsistent with the complex requirements of governance and the management of 'wicked issues'.","author":[{"dropping-particle":"","family":"Hudson","given":"Bob","non-dropping-particle":"","parse-names":false,"suffix":""},{"dropping-particle":"","family":"Henwood","given":"Melanie","non-dropping-particle":"","parse-names":false,"suffix":""}],"container-title":"Policy and Politics","id":"ITEM-1","issue":"2","issued":{"date-parts":[["2002"]]},"page":"153-166","title":"The NHS and social care: The final countdown?","type":"article-journal","volume":"30"},"uris":["http://www.mendeley.com/documents/?uuid=8e2934c5-6270-4937-833a-3809050c8ac3"]},{"id":"ITEM-2","itemData":{"DOI":"10.1111/j.1365-2524.2004.00500.x","ISSN":"09660410","abstract":"Partnership working has become a central feature of British social welfare policy since 1997. Although this development is applicable to all areas of public welfare, nowhere is it more evident than in the planning and provision of care that overlaps health and social services. The literature survey described in the present paper focused on research examining the impact of partnership working in these areas to assess the evidence concerning its effects and to investigate how partnership 'success' is conceptualised. The literature conceptualised the success of partnerships in two main ways: (1) process issues, such as how well the partners work together in addressing joint aims and the long-term sustainability of the partnership; and (2) outcome issues, including changes in service delivery, and subsequent effects on the health or well-being of service users. The authors found that research into partnerships has centred heavily on process issues, while much less emphasis has been given to outcome success. If social welfare policy is to be more concerned with improving service delivery and user outcomes than with the internal mechanics of administrative structures and decision-making, this is a knowledge gap that urgently needs to be filled.","author":[{"dropping-particle":"","family":"Dowling","given":"Bernard","non-dropping-particle":"","parse-names":false,"suffix":""},{"dropping-particle":"","family":"Powell","given":"Martin","non-dropping-particle":"","parse-names":false,"suffix":""},{"dropping-particle":"","family":"Glendinning","given":"Caroline","non-dropping-particle":"","parse-names":false,"suffix":""}],"container-title":"Health and Social Care in the Community","id":"ITEM-2","issue":"4","issued":{"date-parts":[["2004"]]},"page":"309-317","title":"Conceptualising successful partnerships","type":"article-journal","volume":"12"},"uris":["http://www.mendeley.com/documents/?uuid=b53b7fb5-8b37-4e2f-93ca-e414db9fd41a"]}],"mendeley":{"formattedCitation":"&lt;sup&gt;19,21&lt;/sup&gt;","plainTextFormattedCitation":"19,21","previouslyFormattedCitation":"&lt;sup&gt;19,21&lt;/sup&gt;"},"properties":{"noteIndex":0},"schema":"https://github.com/citation-style-language/schema/raw/master/csl-citation.json"}</w:instrText>
      </w:r>
      <w:r>
        <w:fldChar w:fldCharType="separate"/>
      </w:r>
      <w:r w:rsidR="00E25884" w:rsidRPr="00E25884">
        <w:rPr>
          <w:noProof/>
          <w:vertAlign w:val="superscript"/>
        </w:rPr>
        <w:t>19,21</w:t>
      </w:r>
      <w:r>
        <w:fldChar w:fldCharType="end"/>
      </w:r>
      <w:r>
        <w:t>, with t</w:t>
      </w:r>
      <w:r w:rsidRPr="00D85084">
        <w:t xml:space="preserve">he ambiguity surrounding collaborative </w:t>
      </w:r>
      <w:r w:rsidR="00AA5CB6">
        <w:t xml:space="preserve">arrangements </w:t>
      </w:r>
      <w:r w:rsidRPr="00D85084">
        <w:t xml:space="preserve">such as joint commissioning </w:t>
      </w:r>
      <w:r w:rsidR="00AA5CB6">
        <w:t xml:space="preserve">posing further practical and technical challenges </w:t>
      </w:r>
      <w:r w:rsidR="00D91907">
        <w:t>to</w:t>
      </w:r>
      <w:r w:rsidR="00AA5CB6">
        <w:t xml:space="preserve"> </w:t>
      </w:r>
      <w:r w:rsidR="00D91907">
        <w:t>attributing any</w:t>
      </w:r>
      <w:r w:rsidR="00AA5CB6">
        <w:t xml:space="preserve"> performance improvement</w:t>
      </w:r>
      <w:r w:rsidR="00D91907">
        <w:t>s being made</w:t>
      </w:r>
      <w:r w:rsidR="00AA5CB6" w:rsidRPr="00AA5CB6">
        <w:t xml:space="preserve"> </w:t>
      </w:r>
      <w:r w:rsidR="00C853E1">
        <w:fldChar w:fldCharType="begin" w:fldLock="1"/>
      </w:r>
      <w:r w:rsidR="00EA4B53">
        <w:instrText>ADDIN CSL_CITATION {"citationItems":[{"id":"ITEM-1","itemData":{"ISSN":"1476-9018","abstract":"PURPOSE: This paper reports research undertaken into the practices, processes and outcomes of joint commissioning at five English localities. This paper reflects on the implications of this study for the practice of joint commissioning. DESIGN/METHODOLOGY/APPROACH: A case study approach to the research was adopted where the assumptions about what joint commissioning should deliver in five \"best practice\" sites. These hypothesised relationships about organisational processes, services and outcomes were then tested through the collection of primary and secondary data. Methods of data collection included an online tool based on Q methodology, documentary analysis, interviews and focus groups. FINDINGS: Very little of what we found seemed to relate directly to issues of joint commissioning. Respondents often spoke of joint commissioning conflating it with issues of commissioning or joint working more generally. We found a variety of different definitions and meanings of joint commissioning in practice suggesting that this is not a coherent model but varies across localities. Little evidence of improved outcomes was found, due to practical and technical difficulties. RESEARCH LIMITATIONS/IMPLICATIONS: Joint commissioning is not a coherent model and is applied in different ways across different contexts. As such we may need to ask very different questions of joint commissioning to those typically asked. PRACTICAL IMPLICATIONS: It is important that local sites are clear about what they are trying to deliver through joint commissioning or else risk that it becomes an end in itself. Some of the current reforms taking place in health and social care risk pulling apart existing relationships that have taken significant time and resource to develop. ORIGINALITY/VALUE: This is one of the first large-scale studies of joint commissioning conducted in England. [Abstract]","author":[{"dropping-particle":"","family":"Dickinson","given":"Helen","non-dropping-particle":"","parse-names":false,"suffix":""},{"dropping-particle":"","family":"Glasby","given":"Jon","non-dropping-particle":"","parse-names":false,"suffix":""}],"container-title":"Journal of Integrated Care","id":"ITEM-1","issue":"4","issued":{"date-parts":[["2013"]]},"page":"221-232","publisher":"2013","title":"How effective is joint commissioning? A study of five English localities.","type":"article-journal","volume":"21"},"uris":["http://www.mendeley.com/documents/?uuid=6ec42eb0-70b6-40da-a4f5-9e7639723a05"]}],"mendeley":{"formattedCitation":"&lt;sup&gt;22&lt;/sup&gt;","plainTextFormattedCitation":"22","previouslyFormattedCitation":"&lt;sup&gt;22&lt;/sup&gt;"},"properties":{"noteIndex":0},"schema":"https://github.com/citation-style-language/schema/raw/master/csl-citation.json"}</w:instrText>
      </w:r>
      <w:r w:rsidR="00C853E1">
        <w:fldChar w:fldCharType="separate"/>
      </w:r>
      <w:r w:rsidR="00E25884" w:rsidRPr="00E25884">
        <w:rPr>
          <w:noProof/>
          <w:vertAlign w:val="superscript"/>
        </w:rPr>
        <w:t>22</w:t>
      </w:r>
      <w:r w:rsidR="00C853E1">
        <w:fldChar w:fldCharType="end"/>
      </w:r>
      <w:r w:rsidR="00C853E1">
        <w:t>.</w:t>
      </w:r>
      <w:r>
        <w:t xml:space="preserve"> </w:t>
      </w:r>
      <w:r w:rsidR="0091639D">
        <w:t>T</w:t>
      </w:r>
      <w:r>
        <w:t xml:space="preserve">he challenging policy logics of hierarchical control and market competition </w:t>
      </w:r>
      <w:r w:rsidR="00143DA5">
        <w:t>that characterised New Labour’s term of office</w:t>
      </w:r>
      <w:r w:rsidR="0091639D">
        <w:t xml:space="preserve"> are also noted</w:t>
      </w:r>
      <w:r w:rsidR="00C853E1">
        <w:t xml:space="preserve"> </w:t>
      </w:r>
      <w:r w:rsidR="00D91907">
        <w:t>as challenges for developing</w:t>
      </w:r>
      <w:r w:rsidR="00D91907" w:rsidRPr="00D91907">
        <w:t xml:space="preserve"> collaboration</w:t>
      </w:r>
      <w:r w:rsidR="00D91907">
        <w:t xml:space="preserve"> across NHS providers </w:t>
      </w:r>
      <w:r w:rsidR="00D91907" w:rsidRPr="00D91907">
        <w:t xml:space="preserve"> </w:t>
      </w:r>
      <w:r w:rsidR="00C853E1">
        <w:fldChar w:fldCharType="begin" w:fldLock="1"/>
      </w:r>
      <w:r w:rsidR="00EA4B53">
        <w:instrText>ADDIN CSL_CITATION {"citationItems":[{"id":"ITEM-1","itemData":{"DOI":"10.1258/jhsrp.2011.010189","ISSN":"13558196","PMID":"22315474","abstract":"Objectives: To examine whether the Health System Reforms delivered the promise of being a coherent and mutually supporting reform programme; to identify the underlying programme theory of the reform programme; to reflect on whether lessons have been learned. Methods: Documentary analysis mapping the implicit and explicit programme theories about how the reforms intended to achieve its goals and outcomes. Semi-structured interviews with policy-makers to further understand the programme theory. Results: The Health System Reforms assumed a 'one size fits all' approach to policy implementation with little recognition that some contexts can be more receptive than others. There was evidence of some policy evolution and rebalancing between the reform streams as policy-makers became aware of some perverse incentives and unforeseen consequences. Later elements aimed to restore balance to the system. Conclusions: The Health System Reforms do not appear to comprise a coherent and mutually supportive set of levers and incentives. They appear unbalanced with the centre of gravity favouring suppliers over commissioners. However, recent reform changes have sought to redress this imbalance to some extent, suggesting that lessons have been learned and policies have been adapted over time. © The Royal Society of Medicine Press Ltd 2012.","author":[{"dropping-particle":"","family":"Millar","given":"Ross","non-dropping-particle":"","parse-names":false,"suffix":""},{"dropping-particle":"","family":"Powell","given":"Martin","non-dropping-particle":"","parse-names":false,"suffix":""},{"dropping-particle":"","family":"Dixon","given":"Anna","non-dropping-particle":"","parse-names":false,"suffix":""}],"container-title":"Journal of Health Services Research and Policy","id":"ITEM-1","issue":"SUPPL. 1","issued":{"date-parts":[["2012"]]},"page":"7-15","title":"What was the programme theory of New Labour's Health System Reforms?","type":"article-journal","volume":"17"},"uris":["http://www.mendeley.com/documents/?uuid=bd0f3fae-1e97-4d84-b576-87d44dafcf6f"]},{"id":"ITEM-2","itemData":{"DOI":"10.1017/S1744133114000048","ISSN":"1744134X","abstract":"There has been much recent debate on the impact of competition on the English National Health Service (NHS). However, studies have tended to view competition in isolation and are controversial. This study examines the impact of programme theories associated with the health system reforms, which sought to move from a dominant target-led 'central control' programme theory, to one based on 'market forces', on orthopaedics across six case-study local health economies. It draws on a realistic evaluation approach to open up the policy 'black box' across different contexts using a mixed methods approach: analysis of 152 interviews with key informants and analysis of waiting times and admissions. We find that the urban health economies were more successful in reaching the access targets than the rural health economies, although the gap in performance closed over time. Most interviewees were aware of the policies to increase choice and competition, but their role appeared comparatively weak. Local commissioners' ability to influence demand appeared limited with providers' incentives dominating service delivery. Looking forward, it is clear that the role of competition in the NHS has to be considered alongside, rather than in isolation from, other policy mechanisms.","author":[{"dropping-particle":"","family":"McLeod","given":"Hugh","non-dropping-particle":"","parse-names":false,"suffix":""},{"dropping-particle":"","family":"Millar","given":"Ross","non-dropping-particle":"","parse-names":false,"suffix":""},{"dropping-particle":"","family":"Goodwin","given":"Nick","non-dropping-particle":"","parse-names":false,"suffix":""},{"dropping-particle":"","family":"Powell","given":"Martin","non-dropping-particle":"","parse-names":false,"suffix":""}],"container-title":"Health economics, policy, and law","id":"ITEM-2","issued":{"date-parts":[["2014"]]},"title":"Perspectives on the policy 'black box': a comparative case study of orthopaedics services in England","type":"article-journal"},"uris":["http://www.mendeley.com/documents/?uuid=a567abe0-44d0-4fdd-9912-fa0056b3a062"]}],"mendeley":{"formattedCitation":"&lt;sup&gt;23,24&lt;/sup&gt;","plainTextFormattedCitation":"23,24","previouslyFormattedCitation":"&lt;sup&gt;23,24&lt;/sup&gt;"},"properties":{"noteIndex":0},"schema":"https://github.com/citation-style-language/schema/raw/master/csl-citation.json"}</w:instrText>
      </w:r>
      <w:r w:rsidR="00C853E1">
        <w:fldChar w:fldCharType="separate"/>
      </w:r>
      <w:r w:rsidR="00E25884" w:rsidRPr="00E25884">
        <w:rPr>
          <w:noProof/>
          <w:vertAlign w:val="superscript"/>
        </w:rPr>
        <w:t>23,24</w:t>
      </w:r>
      <w:r w:rsidR="00C853E1">
        <w:fldChar w:fldCharType="end"/>
      </w:r>
      <w:r w:rsidR="00C853E1">
        <w:t>.</w:t>
      </w:r>
      <w:r>
        <w:t xml:space="preserve"> </w:t>
      </w:r>
    </w:p>
    <w:p w14:paraId="521BD36B" w14:textId="77777777" w:rsidR="002B7278" w:rsidRDefault="002B7278" w:rsidP="00525BE0">
      <w:pPr>
        <w:spacing w:line="360" w:lineRule="auto"/>
        <w:jc w:val="both"/>
      </w:pPr>
    </w:p>
    <w:p w14:paraId="108A9F38" w14:textId="77777777" w:rsidR="002B7278" w:rsidRDefault="002B7278" w:rsidP="00525BE0">
      <w:pPr>
        <w:pStyle w:val="Heading3"/>
        <w:jc w:val="both"/>
      </w:pPr>
      <w:bookmarkStart w:id="14" w:name="_Toc85066402"/>
      <w:r>
        <w:t>The Five Year Forward View</w:t>
      </w:r>
      <w:bookmarkEnd w:id="14"/>
    </w:p>
    <w:p w14:paraId="310AD7AC" w14:textId="54DC73F7" w:rsidR="002B7278" w:rsidRDefault="002B7278" w:rsidP="00525BE0">
      <w:pPr>
        <w:spacing w:after="160" w:line="360" w:lineRule="auto"/>
        <w:jc w:val="both"/>
        <w:rPr>
          <w:rFonts w:cstheme="minorHAnsi"/>
        </w:rPr>
      </w:pPr>
      <w:r>
        <w:t>While t</w:t>
      </w:r>
      <w:r w:rsidRPr="00596D77">
        <w:t xml:space="preserve">he Health and Social Care Act 2012 </w:t>
      </w:r>
      <w:r>
        <w:t xml:space="preserve">promoted </w:t>
      </w:r>
      <w:r w:rsidRPr="00596D77">
        <w:t>competition</w:t>
      </w:r>
      <w:r>
        <w:t>,</w:t>
      </w:r>
      <w:r w:rsidRPr="00596D77">
        <w:t xml:space="preserve"> </w:t>
      </w:r>
      <w:r>
        <w:t>the</w:t>
      </w:r>
      <w:r w:rsidRPr="007A4C25">
        <w:rPr>
          <w:rFonts w:cstheme="minorHAnsi"/>
        </w:rPr>
        <w:t xml:space="preserve"> Five Year Forward </w:t>
      </w:r>
      <w:r>
        <w:rPr>
          <w:rFonts w:cstheme="minorHAnsi"/>
        </w:rPr>
        <w:t>View</w:t>
      </w:r>
      <w:r w:rsidRPr="007A4C25">
        <w:rPr>
          <w:rFonts w:cstheme="minorHAnsi"/>
        </w:rPr>
        <w:t xml:space="preserve"> </w:t>
      </w:r>
      <w:r>
        <w:rPr>
          <w:rFonts w:cstheme="minorHAnsi"/>
        </w:rPr>
        <w:fldChar w:fldCharType="begin" w:fldLock="1"/>
      </w:r>
      <w:r w:rsidR="00EA4B53">
        <w:rPr>
          <w:rFonts w:cstheme="minorHAnsi"/>
        </w:rPr>
        <w:instrText>ADDIN CSL_CITATION {"citationItems":[{"id":"ITEM-1","itemData":{"ISBN":"9780816910229","author":[{"dropping-particle":"","family":"NHS","given":"","non-dropping-particle":"","parse-names":false,"suffix":""}],"id":"ITEM-1","issued":{"date-parts":[["2014"]]},"title":"Five Year Forward View","type":"report"},"uris":["http://www.mendeley.com/documents/?uuid=20dd0889-81df-4d62-9e2e-51461e98be0d"]}],"mendeley":{"formattedCitation":"&lt;sup&gt;3&lt;/sup&gt;","plainTextFormattedCitation":"3","previouslyFormattedCitation":"&lt;sup&gt;3&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3</w:t>
      </w:r>
      <w:r>
        <w:rPr>
          <w:rFonts w:cstheme="minorHAnsi"/>
        </w:rPr>
        <w:fldChar w:fldCharType="end"/>
      </w:r>
      <w:r w:rsidRPr="007A4C25">
        <w:rPr>
          <w:rFonts w:cstheme="minorHAnsi"/>
        </w:rPr>
        <w:t xml:space="preserve"> </w:t>
      </w:r>
      <w:r>
        <w:rPr>
          <w:rFonts w:cstheme="minorHAnsi"/>
        </w:rPr>
        <w:t>gave emphasis to d</w:t>
      </w:r>
      <w:r w:rsidR="00A120B4">
        <w:rPr>
          <w:rFonts w:cstheme="minorHAnsi"/>
        </w:rPr>
        <w:t>eveloping and piloting new care</w:t>
      </w:r>
      <w:r>
        <w:rPr>
          <w:rFonts w:cstheme="minorHAnsi"/>
        </w:rPr>
        <w:t xml:space="preserve"> models </w:t>
      </w:r>
      <w:r w:rsidR="00A120B4">
        <w:rPr>
          <w:rFonts w:cstheme="minorHAnsi"/>
        </w:rPr>
        <w:t>to encourage</w:t>
      </w:r>
      <w:r>
        <w:rPr>
          <w:rFonts w:cstheme="minorHAnsi"/>
        </w:rPr>
        <w:t xml:space="preserve"> inter-organisational and cross-sectoral </w:t>
      </w:r>
      <w:r w:rsidRPr="007A4C25">
        <w:rPr>
          <w:rFonts w:cstheme="minorHAnsi"/>
        </w:rPr>
        <w:t xml:space="preserve">partnership working </w:t>
      </w:r>
      <w:r w:rsidRPr="007A4C25">
        <w:rPr>
          <w:rFonts w:cstheme="minorHAnsi"/>
        </w:rPr>
        <w:fldChar w:fldCharType="begin" w:fldLock="1"/>
      </w:r>
      <w:r w:rsidR="00EA4B53">
        <w:rPr>
          <w:rFonts w:cstheme="minorHAnsi"/>
        </w:rPr>
        <w:instrText>ADDIN CSL_CITATION {"citationItems":[{"id":"ITEM-1","itemData":{"abstract":"This independent report was commissioned by NHS England as part of a package of support provided to primary and acute care system (PACS) vanguard sites by The King's Fund. The views in the report are those of the authors and contributors, and all conclusions are the authors' own. The King's Fund is an independent charity working to improve health and care in England. We help to shape policy and practice through research and analysis; develop individuals, teams and organisations; promote understanding of the health and social care system; and bring people together to learn, share knowledge and debate. Our vision is that the best possible health and care is available to all.","author":[{"dropping-particle":"","family":"Naylor","given":"Chris","non-dropping-particle":"","parse-names":false,"suffix":""},{"dropping-particle":"","family":"Charles","given":"Anna","non-dropping-particle":"","parse-names":false,"suffix":""}],"id":"ITEM-1","issue":"April","issued":{"date-parts":[["2018"]]},"title":"Developing new models of care in the PACS vanguards: A new national approach to large-scale change?","type":"article-journal"},"uris":["http://www.mendeley.com/documents/?uuid=bc39843a-50e4-4025-bced-6a8b5ae08be9"]},{"id":"ITEM-2","itemData":{"ISBN":"9781911615033","ISSN":"9781911615033","abstract":"Drawing on the experiences of those leading the vanguard sites of the new care models programme, this report sets out ten lessons for those seeking to systematically make improvements across local health and care services for those patients who are in most need of joined up care. It emphasises the value of local co-creation and testing of new care models, and offers useful learning for those seeking to drive the development of new models of care within sustainability and transformation partnerships and accountable care systems. The ten lessons to support providers and commissioners seeking to adopt this new approach: start by focusing on a specific population; involve primary care from the start; go where the energy is; spend time developing shared understanding of challenges; work through and thoroughly test assumptions about how activities will achieve results; find ways to learn from others and assess suitability of interventions; set up an ‘engine room' for change; distribute decision-making roles; invest in workforce development at all levels; and test, evaluate and adapt for continuous improvement. While this report focuses on what local leaders can do, it also identifies three key ways national bodies can support cross-organisational change: support new and existing systems – further focus is needed on what the national performance and governance frameworks should look like; send the right message – national messaging should focus on the core aims of system change and not simply on restructuring; continue to build evaluation capability and capacity – investing in robust local and national evaluation will enable sites to understand if changes are improving care.","author":[{"dropping-particle":"","family":"Starling","given":"Anna","non-dropping-particle":"","parse-names":false,"suffix":""}],"id":"ITEM-2","issue":"November","issued":{"date-parts":[["2017"]]},"number-of-pages":"36","publisher":"Health Foundation","publisher-place":"London","title":"Some assembly required: implementing new models of care","type":"book"},"uris":["http://www.mendeley.com/documents/?uuid=7c119f00-3661-47a8-a980-ef55dace6cb8"]}],"mendeley":{"formattedCitation":"&lt;sup&gt;25,26&lt;/sup&gt;","plainTextFormattedCitation":"25,26","previouslyFormattedCitation":"&lt;sup&gt;25,26&lt;/sup&gt;"},"properties":{"noteIndex":0},"schema":"https://github.com/citation-style-language/schema/raw/master/csl-citation.json"}</w:instrText>
      </w:r>
      <w:r w:rsidRPr="007A4C25">
        <w:rPr>
          <w:rFonts w:cstheme="minorHAnsi"/>
        </w:rPr>
        <w:fldChar w:fldCharType="separate"/>
      </w:r>
      <w:r w:rsidR="00E25884" w:rsidRPr="00E25884">
        <w:rPr>
          <w:rFonts w:cstheme="minorHAnsi"/>
          <w:noProof/>
          <w:vertAlign w:val="superscript"/>
        </w:rPr>
        <w:t>25,26</w:t>
      </w:r>
      <w:r w:rsidRPr="007A4C25">
        <w:rPr>
          <w:rFonts w:cstheme="minorHAnsi"/>
        </w:rPr>
        <w:fldChar w:fldCharType="end"/>
      </w:r>
      <w:r w:rsidRPr="007A4C25">
        <w:rPr>
          <w:rFonts w:cstheme="minorHAnsi"/>
        </w:rPr>
        <w:t>.</w:t>
      </w:r>
      <w:r w:rsidRPr="0053674D">
        <w:rPr>
          <w:rFonts w:cstheme="minorHAnsi"/>
        </w:rPr>
        <w:t xml:space="preserve"> </w:t>
      </w:r>
      <w:r>
        <w:rPr>
          <w:rFonts w:cstheme="minorHAnsi"/>
        </w:rPr>
        <w:t>In response to significant</w:t>
      </w:r>
      <w:r w:rsidRPr="007A4C25">
        <w:rPr>
          <w:rFonts w:cstheme="minorHAnsi"/>
        </w:rPr>
        <w:t xml:space="preserve"> variation</w:t>
      </w:r>
      <w:r>
        <w:rPr>
          <w:rFonts w:cstheme="minorHAnsi"/>
        </w:rPr>
        <w:t>s</w:t>
      </w:r>
      <w:r w:rsidRPr="007A4C25">
        <w:rPr>
          <w:rFonts w:cstheme="minorHAnsi"/>
        </w:rPr>
        <w:t xml:space="preserve"> in quality across the </w:t>
      </w:r>
      <w:r>
        <w:rPr>
          <w:rFonts w:cstheme="minorHAnsi"/>
        </w:rPr>
        <w:t>NHS provider sector, the Care Quality Commission</w:t>
      </w:r>
      <w:r w:rsidRPr="007A4C25">
        <w:rPr>
          <w:rFonts w:cstheme="minorHAnsi"/>
        </w:rPr>
        <w:t xml:space="preserve"> </w:t>
      </w:r>
      <w:r w:rsidRPr="007A4C25">
        <w:rPr>
          <w:rFonts w:cstheme="minorHAnsi"/>
        </w:rPr>
        <w:fldChar w:fldCharType="begin" w:fldLock="1"/>
      </w:r>
      <w:r w:rsidR="00EA4B53">
        <w:rPr>
          <w:rFonts w:cstheme="minorHAnsi"/>
        </w:rPr>
        <w:instrText>ADDIN CSL_CITATION {"citationItems":[{"id":"ITEM-1","itemData":{"ISBN":"9781474124935","author":[{"dropping-particle":"","family":"Care Quality Commission","given":"","non-dropping-particle":"","parse-names":false,"suffix":""}],"id":"ITEM-1","issued":{"date-parts":[["2014"]]},"title":"The state of health care and adult social care in England 2014/15","type":"book"},"uris":["http://www.mendeley.com/documents/?uuid=06f69177-9704-4b08-90fc-3fcc13c742ae"]}],"mendeley":{"formattedCitation":"&lt;sup&gt;27&lt;/sup&gt;","plainTextFormattedCitation":"27","previouslyFormattedCitation":"&lt;sup&gt;27&lt;/sup&gt;"},"properties":{"noteIndex":0},"schema":"https://github.com/citation-style-language/schema/raw/master/csl-citation.json"}</w:instrText>
      </w:r>
      <w:r w:rsidRPr="007A4C25">
        <w:rPr>
          <w:rFonts w:cstheme="minorHAnsi"/>
        </w:rPr>
        <w:fldChar w:fldCharType="separate"/>
      </w:r>
      <w:r w:rsidR="00E25884" w:rsidRPr="00E25884">
        <w:rPr>
          <w:rFonts w:cstheme="minorHAnsi"/>
          <w:noProof/>
          <w:vertAlign w:val="superscript"/>
        </w:rPr>
        <w:t>27</w:t>
      </w:r>
      <w:r w:rsidRPr="007A4C25">
        <w:rPr>
          <w:rFonts w:cstheme="minorHAnsi"/>
        </w:rPr>
        <w:fldChar w:fldCharType="end"/>
      </w:r>
      <w:r>
        <w:rPr>
          <w:rFonts w:cstheme="minorHAnsi"/>
        </w:rPr>
        <w:t xml:space="preserve"> also </w:t>
      </w:r>
      <w:r w:rsidRPr="007A4C25">
        <w:rPr>
          <w:rFonts w:cstheme="minorHAnsi"/>
        </w:rPr>
        <w:t xml:space="preserve">promoted a range of partnership options for </w:t>
      </w:r>
      <w:r>
        <w:rPr>
          <w:rFonts w:cstheme="minorHAnsi"/>
        </w:rPr>
        <w:t xml:space="preserve">‘challenged’ organisations and those organisations assessed </w:t>
      </w:r>
      <w:r w:rsidR="0091639D">
        <w:rPr>
          <w:rFonts w:cstheme="minorHAnsi"/>
        </w:rPr>
        <w:t>as requiring ‘special measures’</w:t>
      </w:r>
      <w:r>
        <w:rPr>
          <w:rFonts w:cstheme="minorHAnsi"/>
        </w:rPr>
        <w:t xml:space="preserve"> </w:t>
      </w:r>
      <w:r>
        <w:rPr>
          <w:rFonts w:cstheme="minorHAnsi"/>
        </w:rPr>
        <w:fldChar w:fldCharType="begin" w:fldLock="1"/>
      </w:r>
      <w:r w:rsidR="00EA4B53">
        <w:rPr>
          <w:rFonts w:cstheme="minorHAnsi"/>
        </w:rPr>
        <w:instrText>ADDIN CSL_CITATION {"citationItems":[{"id":"ITEM-1","itemData":{"author":[{"dropping-particle":"","family":"Care Quality Commission","given":"","non-dropping-particle":"","parse-names":false,"suffix":""},{"dropping-particle":"","family":"NHS Improvement","given":"","non-dropping-particle":"","parse-names":false,"suffix":""}],"id":"ITEM-1","issued":{"date-parts":[["2017"]]},"number-of-pages":"1-15","title":"Special measures for quality reasons: guidance for trusts","type":"report"},"uris":["http://www.mendeley.com/documents/?uuid=ec8515ec-98b9-41c1-bcda-b82d36d8f4a3"]}],"mendeley":{"formattedCitation":"&lt;sup&gt;6&lt;/sup&gt;","plainTextFormattedCitation":"6","previouslyFormattedCitation":"&lt;sup&gt;6&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6</w:t>
      </w:r>
      <w:r>
        <w:rPr>
          <w:rFonts w:cstheme="minorHAnsi"/>
        </w:rPr>
        <w:fldChar w:fldCharType="end"/>
      </w:r>
      <w:r>
        <w:rPr>
          <w:rFonts w:cstheme="minorHAnsi"/>
        </w:rPr>
        <w:t xml:space="preserve">. These </w:t>
      </w:r>
      <w:r w:rsidRPr="007A4C25">
        <w:rPr>
          <w:rFonts w:cstheme="minorHAnsi"/>
        </w:rPr>
        <w:t xml:space="preserve">included </w:t>
      </w:r>
      <w:r>
        <w:rPr>
          <w:rFonts w:cstheme="minorHAnsi"/>
        </w:rPr>
        <w:t xml:space="preserve">options for </w:t>
      </w:r>
      <w:r w:rsidRPr="007A4C25">
        <w:rPr>
          <w:rFonts w:cstheme="minorHAnsi"/>
        </w:rPr>
        <w:t>mandated support</w:t>
      </w:r>
      <w:r>
        <w:rPr>
          <w:rFonts w:cstheme="minorHAnsi"/>
        </w:rPr>
        <w:t>, with the</w:t>
      </w:r>
      <w:r w:rsidRPr="007A4C25">
        <w:rPr>
          <w:rFonts w:cstheme="minorHAnsi"/>
        </w:rPr>
        <w:t xml:space="preserve"> appointment of one or more partner (or ‘buddy’) organisation</w:t>
      </w:r>
      <w:r w:rsidR="00403578">
        <w:rPr>
          <w:rFonts w:cstheme="minorHAnsi"/>
        </w:rPr>
        <w:t>s</w:t>
      </w:r>
      <w:r w:rsidRPr="007A4C25">
        <w:rPr>
          <w:rFonts w:cstheme="minorHAnsi"/>
        </w:rPr>
        <w:t xml:space="preserve"> to provide support </w:t>
      </w:r>
      <w:r>
        <w:rPr>
          <w:rFonts w:cstheme="minorHAnsi"/>
        </w:rPr>
        <w:t xml:space="preserve">with </w:t>
      </w:r>
      <w:r w:rsidRPr="007A4C25">
        <w:rPr>
          <w:rFonts w:cstheme="minorHAnsi"/>
        </w:rPr>
        <w:t>longer term options</w:t>
      </w:r>
      <w:r>
        <w:rPr>
          <w:rFonts w:cstheme="minorHAnsi"/>
        </w:rPr>
        <w:t xml:space="preserve"> including merger and acquisition. T</w:t>
      </w:r>
      <w:r w:rsidRPr="007F1110">
        <w:rPr>
          <w:rFonts w:cstheme="minorHAnsi"/>
        </w:rPr>
        <w:t>o improve co-ordination and standardisation of services</w:t>
      </w:r>
      <w:r>
        <w:rPr>
          <w:rFonts w:cstheme="minorHAnsi"/>
        </w:rPr>
        <w:t xml:space="preserve"> across the provider sector, </w:t>
      </w:r>
      <w:r w:rsidRPr="007A4C25">
        <w:rPr>
          <w:rFonts w:cstheme="minorHAnsi"/>
        </w:rPr>
        <w:t xml:space="preserve">the Dalton Review (2014) </w:t>
      </w:r>
      <w:r>
        <w:rPr>
          <w:rFonts w:cstheme="minorHAnsi"/>
        </w:rPr>
        <w:t>outlined a menu of</w:t>
      </w:r>
      <w:r w:rsidRPr="007A4C25">
        <w:rPr>
          <w:rFonts w:cstheme="minorHAnsi"/>
        </w:rPr>
        <w:t xml:space="preserve"> </w:t>
      </w:r>
      <w:r>
        <w:rPr>
          <w:rFonts w:cstheme="minorHAnsi"/>
        </w:rPr>
        <w:t xml:space="preserve">collaborative </w:t>
      </w:r>
      <w:r w:rsidRPr="007A4C25">
        <w:rPr>
          <w:rFonts w:cstheme="minorHAnsi"/>
        </w:rPr>
        <w:t>approaches</w:t>
      </w:r>
      <w:r>
        <w:rPr>
          <w:rFonts w:cstheme="minorHAnsi"/>
        </w:rPr>
        <w:t xml:space="preserve">, including </w:t>
      </w:r>
      <w:r w:rsidRPr="007A4C25">
        <w:rPr>
          <w:rFonts w:cstheme="minorHAnsi"/>
        </w:rPr>
        <w:t>the voluntary pooling of resources by multiple organisations such as joint vent</w:t>
      </w:r>
      <w:r>
        <w:rPr>
          <w:rFonts w:cstheme="minorHAnsi"/>
        </w:rPr>
        <w:t xml:space="preserve">ures and federations; consolidation arrangements such as </w:t>
      </w:r>
      <w:r w:rsidRPr="007A4C25">
        <w:rPr>
          <w:rFonts w:cstheme="minorHAnsi"/>
        </w:rPr>
        <w:t>integrated care organisations and merger</w:t>
      </w:r>
      <w:r>
        <w:rPr>
          <w:rFonts w:cstheme="minorHAnsi"/>
        </w:rPr>
        <w:t>s; as well</w:t>
      </w:r>
      <w:r w:rsidRPr="007A4C25">
        <w:rPr>
          <w:rFonts w:cstheme="minorHAnsi"/>
        </w:rPr>
        <w:t xml:space="preserve"> </w:t>
      </w:r>
      <w:r>
        <w:rPr>
          <w:rFonts w:cstheme="minorHAnsi"/>
        </w:rPr>
        <w:t>as buddying arrangements between</w:t>
      </w:r>
      <w:r w:rsidRPr="007A4C25">
        <w:rPr>
          <w:rFonts w:cstheme="minorHAnsi"/>
        </w:rPr>
        <w:t xml:space="preserve"> lower-performing </w:t>
      </w:r>
      <w:r>
        <w:rPr>
          <w:rFonts w:cstheme="minorHAnsi"/>
        </w:rPr>
        <w:t>and</w:t>
      </w:r>
      <w:r w:rsidRPr="007A4C25">
        <w:rPr>
          <w:rFonts w:cstheme="minorHAnsi"/>
        </w:rPr>
        <w:t xml:space="preserve"> better-performing </w:t>
      </w:r>
      <w:r>
        <w:rPr>
          <w:rFonts w:cstheme="minorHAnsi"/>
        </w:rPr>
        <w:t xml:space="preserve">organisations to facilitate the sharing of best practices. </w:t>
      </w:r>
    </w:p>
    <w:p w14:paraId="0800C165" w14:textId="5F336D40" w:rsidR="002B7278" w:rsidRDefault="002B7278" w:rsidP="00525BE0">
      <w:pPr>
        <w:spacing w:line="360" w:lineRule="auto"/>
        <w:jc w:val="both"/>
        <w:rPr>
          <w:rFonts w:cstheme="minorHAnsi"/>
        </w:rPr>
      </w:pPr>
      <w:r>
        <w:rPr>
          <w:rFonts w:cstheme="minorHAnsi"/>
        </w:rPr>
        <w:t xml:space="preserve">A stream of research has sought to evaluate the  collaborative approaches introduced by </w:t>
      </w:r>
      <w:r w:rsidRPr="007903FA">
        <w:rPr>
          <w:rFonts w:cstheme="minorHAnsi"/>
        </w:rPr>
        <w:t xml:space="preserve">the Five Year Forward View </w:t>
      </w:r>
      <w:r>
        <w:rPr>
          <w:rFonts w:cstheme="minorHAnsi"/>
        </w:rPr>
        <w:fldChar w:fldCharType="begin" w:fldLock="1"/>
      </w:r>
      <w:r w:rsidR="00EA4B53">
        <w:rPr>
          <w:rFonts w:cstheme="minorHAnsi"/>
        </w:rPr>
        <w:instrText>ADDIN CSL_CITATION {"citationItems":[{"id":"ITEM-1","itemData":{"author":[{"dropping-particle":"","family":"Alderwick","given":"Hugh","non-dropping-particle":"","parse-names":false,"suffix":""},{"dropping-particle":"","family":"Hutchings","given":"Andrew","non-dropping-particle":"","parse-names":false,"suffix":""},{"dropping-particle":"","family":"Briggs","given":"Adam","non-dropping-particle":"","parse-names":false,"suffix":""},{"dropping-particle":"","family":"Mays","given":"Nicholas","non-dropping-particle":"","parse-names":false,"suffix":""}],"id":"ITEM-1","issued":{"date-parts":[["2021"]]},"page":"1-16","publisher":"BMC Public Health","title":"The impacts of collaboration between local health care and non-health care organizations and factors shaping how they work : a systematic review of reviews","type":"article-journal"},"uris":["http://www.mendeley.com/documents/?uuid=5cd7d0c2-1345-4851-a43f-fa864eb1a204"]},{"id":"ITEM-2","itemData":{"abstract":"This independent report was commissioned by NHS England as part of a package of support provided to primary and acute care system (PACS) vanguard sites by The King's Fund. The views in the report are those of the authors and contributors, and all conclusions are the authors' own. The King's Fund is an independent charity working to improve health and care in England. We help to shape policy and practice through research and analysis; develop individuals, teams and organisations; promote understanding of the health and social care system; and bring people together to learn, share knowledge and debate. Our vision is that the best possible health and care is available to all.","author":[{"dropping-particle":"","family":"Naylor","given":"Chris","non-dropping-particle":"","parse-names":false,"suffix":""},{"dropping-particle":"","family":"Charles","given":"Anna","non-dropping-particle":"","parse-names":false,"suffix":""}],"id":"ITEM-2","issue":"April","issued":{"date-parts":[["2018"]]},"title":"Developing new models of care in the PACS vanguards: A new national approach to large-scale change?","type":"article-journal"},"uris":["http://www.mendeley.com/documents/?uuid=bc39843a-50e4-4025-bced-6a8b5ae08be9"]},{"id":"ITEM-3","itemData":{"abstract":"Abstract Purpose The purpose of this paper is to investigate the perceptions of key informants on a national support programme for the development of new care models (NCM) in England (2015/2016–2017/2018). It focuses on the perceived facilitators and barriers affecting the development and implementation of the NCM programme and offers some insight into the role of national level support in enabling local integration initiatives. Design/methodology/approach A set of 29 interviews were carried out with a variety of respondents at the national level (including current and past programme leads, strategic account managers, advisors to the programme and external regulators) between October 2017 and March 2018, and analysed thematically. Findings A set of facilitative elements of the programme were identified: the development of relationships and alliances, strong local and national leadership, the availability of expert knowledge and skills, and additional funding. Challenges to success included perceived expectations from the national Vanguard programme, oversight and performance monitoring, engagement with regulators, data availability and quality, as well as timetables and timescales. Crucially, the facilitators and challenges were found to interact in dynamic and complex ways, which resulted in significant tensions and ambiguities within the support programme. Research limitations/implications While the sample was drawn from a range of different senior players and the authors ensured a diverse sample associated with the NCM support programme, it inevitably cannot be complete and there may have been valuable perspectives absent. Originality/value The paper demonstrates that the analysis of facilitators and challenges with respect to the national support of implementation of integrated care initiatives should move beyond the focus on separate influencing factors and address the tensions that the complex interplay among these factors create.","author":[{"dropping-particle":"","family":"Billings","given":"Jenny","non-dropping-particle":"","parse-names":false,"suffix":""},{"dropping-particle":"","family":"Mikelyte","given":"Rasa","non-dropping-particle":"","parse-names":false,"suffix":""},{"dropping-particle":"","family":"MacInnes","given":"Julie D","non-dropping-particle":"","parse-names":false,"suffix":""},{"dropping-particle":"","family":"Allen","given":"Pauline","non-dropping-particle":"","parse-names":false,"suffix":""},{"dropping-particle":"","family":"Croke","given":"Sarah","non-dropping-particle":"","parse-names":false,"suffix":""},{"dropping-particle":"","family":"Checkland","given":"Kath","non-dropping-particle":"","parse-names":false,"suffix":""}],"container-title":"Journal of Integrated Care","id":"ITEM-3","issue":"1","issued":{"date-parts":[["2019"]]},"page":"27-40","title":"Supporting integrated care in practice: Perceptions of a national support programme for the development of New Care Models in England","type":"article-journal","volume":"28"},"uris":["http://www.mendeley.com/documents/?uuid=51f3facf-56c2-4f07-9898-9da767133837"]},{"id":"ITEM-4","itemData":{"author":[{"dropping-particle":"","family":"Checkland","given":"Kath","non-dropping-particle":"","parse-names":false,"suffix":""},{"dropping-particle":"","family":"Coleman","given":"Anna","non-dropping-particle":"","parse-names":false,"suffix":""},{"dropping-particle":"","family":"Croke","given":"Sarah","non-dropping-particle":"","parse-names":false,"suffix":""},{"dropping-particle":"","family":"Billings","given":"Jenny","non-dropping-particle":"","parse-names":false,"suffix":""},{"dropping-particle":"","family":"Mikelyte","given":"Rasa","non-dropping-particle":"","parse-names":false,"suffix":""},{"dropping-particle":"","family":"Macinnes","given":"Julie","non-dropping-particle":"","parse-names":false,"suffix":""},{"dropping-particle":"","family":"Allen","given":"Pauline","non-dropping-particle":"","parse-names":false,"suffix":""}],"id":"ITEM-4","issued":{"date-parts":[["2021"]]},"number-of-pages":"1-112","title":"National Evaluation of the Vanguard New Care Models Programme report of qualitative case studies: understanding system change","type":"report"},"uris":["http://www.mendeley.com/documents/?uuid=68f1e8ec-389e-4aaf-a43b-3ffd0de7fedd"]}],"mendeley":{"formattedCitation":"&lt;sup&gt;10,12,25,28&lt;/sup&gt;","plainTextFormattedCitation":"10,12,25,28","previouslyFormattedCitation":"&lt;sup&gt;10,12,25,28&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10,12,25,28</w:t>
      </w:r>
      <w:r>
        <w:rPr>
          <w:rFonts w:cstheme="minorHAnsi"/>
        </w:rPr>
        <w:fldChar w:fldCharType="end"/>
      </w:r>
      <w:r w:rsidR="00CE7824">
        <w:rPr>
          <w:rFonts w:cstheme="minorHAnsi"/>
        </w:rPr>
        <w:t xml:space="preserve">. </w:t>
      </w:r>
      <w:r>
        <w:rPr>
          <w:rFonts w:cstheme="minorHAnsi"/>
        </w:rPr>
        <w:t>Studies provide evidence of how</w:t>
      </w:r>
      <w:r w:rsidRPr="007A4C25">
        <w:rPr>
          <w:rFonts w:cstheme="minorHAnsi"/>
        </w:rPr>
        <w:t xml:space="preserve"> new care</w:t>
      </w:r>
      <w:r w:rsidR="00D91907">
        <w:rPr>
          <w:rFonts w:cstheme="minorHAnsi"/>
        </w:rPr>
        <w:t xml:space="preserve"> models</w:t>
      </w:r>
      <w:r w:rsidRPr="007A4C25">
        <w:rPr>
          <w:rFonts w:cstheme="minorHAnsi"/>
        </w:rPr>
        <w:t xml:space="preserve"> </w:t>
      </w:r>
      <w:r>
        <w:rPr>
          <w:rFonts w:cstheme="minorHAnsi"/>
        </w:rPr>
        <w:t xml:space="preserve">have helped to stimulate </w:t>
      </w:r>
      <w:r w:rsidRPr="007A4C25">
        <w:rPr>
          <w:rFonts w:cstheme="minorHAnsi"/>
        </w:rPr>
        <w:t>organisational innovation and pr</w:t>
      </w:r>
      <w:r>
        <w:rPr>
          <w:rFonts w:cstheme="minorHAnsi"/>
        </w:rPr>
        <w:t>omote</w:t>
      </w:r>
      <w:r w:rsidRPr="007A4C25">
        <w:rPr>
          <w:rFonts w:cstheme="minorHAnsi"/>
        </w:rPr>
        <w:t xml:space="preserve"> system-wide collaboration </w:t>
      </w:r>
      <w:r w:rsidRPr="007A4C25">
        <w:rPr>
          <w:rFonts w:cstheme="minorHAnsi"/>
        </w:rPr>
        <w:fldChar w:fldCharType="begin" w:fldLock="1"/>
      </w:r>
      <w:r w:rsidR="00EA4B53">
        <w:rPr>
          <w:rFonts w:cstheme="minorHAnsi"/>
        </w:rPr>
        <w:instrText>ADDIN CSL_CITATION {"citationItems":[{"id":"ITEM-1","itemData":{"abstract":"This independent report was commissioned by NHS England as part of a package of support provided to primary and acute care system (PACS) vanguard sites by The King's Fund. The views in the report are those of the authors and contributors, and all conclusions are the authors' own. The King's Fund is an independent charity working to improve health and care in England. We help to shape policy and practice through research and analysis; develop individuals, teams and organisations; promote understanding of the health and social care system; and bring people together to learn, share knowledge and debate. Our vision is that the best possible health and care is available to all.","author":[{"dropping-particle":"","family":"Naylor","given":"Chris","non-dropping-particle":"","parse-names":false,"suffix":""},{"dropping-particle":"","family":"Charles","given":"Anna","non-dropping-particle":"","parse-names":false,"suffix":""}],"id":"ITEM-1","issue":"April","issued":{"date-parts":[["2018"]]},"title":"Developing new models of care in the PACS vanguards: A new national approach to large-scale change?","type":"article-journal"},"uris":["http://www.mendeley.com/documents/?uuid=bc39843a-50e4-4025-bced-6a8b5ae08be9"]}],"mendeley":{"formattedCitation":"&lt;sup&gt;25&lt;/sup&gt;","plainTextFormattedCitation":"25","previouslyFormattedCitation":"&lt;sup&gt;25&lt;/sup&gt;"},"properties":{"noteIndex":0},"schema":"https://github.com/citation-style-language/schema/raw/master/csl-citation.json"}</w:instrText>
      </w:r>
      <w:r w:rsidRPr="007A4C25">
        <w:rPr>
          <w:rFonts w:cstheme="minorHAnsi"/>
        </w:rPr>
        <w:fldChar w:fldCharType="separate"/>
      </w:r>
      <w:r w:rsidR="00E25884" w:rsidRPr="00E25884">
        <w:rPr>
          <w:rFonts w:cstheme="minorHAnsi"/>
          <w:noProof/>
          <w:vertAlign w:val="superscript"/>
        </w:rPr>
        <w:t>25</w:t>
      </w:r>
      <w:r w:rsidRPr="007A4C25">
        <w:rPr>
          <w:rFonts w:cstheme="minorHAnsi"/>
        </w:rPr>
        <w:fldChar w:fldCharType="end"/>
      </w:r>
      <w:r>
        <w:rPr>
          <w:rFonts w:cstheme="minorHAnsi"/>
        </w:rPr>
        <w:t>. Billing</w:t>
      </w:r>
      <w:r w:rsidR="00973650">
        <w:rPr>
          <w:rFonts w:cstheme="minorHAnsi"/>
        </w:rPr>
        <w:t>s</w:t>
      </w:r>
      <w:r>
        <w:rPr>
          <w:rFonts w:cstheme="minorHAnsi"/>
        </w:rPr>
        <w:t xml:space="preserve"> et al</w:t>
      </w:r>
      <w:r w:rsidR="00973650">
        <w:rPr>
          <w:rFonts w:cstheme="minorHAnsi"/>
        </w:rPr>
        <w:t>.</w:t>
      </w:r>
      <w:r>
        <w:rPr>
          <w:rFonts w:cstheme="minorHAnsi"/>
        </w:rPr>
        <w:t xml:space="preserve"> (2019) note a</w:t>
      </w:r>
      <w:r w:rsidRPr="00F31C75">
        <w:rPr>
          <w:rFonts w:cstheme="minorHAnsi"/>
        </w:rPr>
        <w:t xml:space="preserve"> set of facilitative </w:t>
      </w:r>
      <w:r>
        <w:rPr>
          <w:rFonts w:cstheme="minorHAnsi"/>
        </w:rPr>
        <w:t xml:space="preserve">factors including </w:t>
      </w:r>
      <w:r w:rsidRPr="00F31C75">
        <w:rPr>
          <w:rFonts w:cstheme="minorHAnsi"/>
        </w:rPr>
        <w:t xml:space="preserve">the development of relationships and alliances, </w:t>
      </w:r>
      <w:r>
        <w:rPr>
          <w:rFonts w:cstheme="minorHAnsi"/>
        </w:rPr>
        <w:t xml:space="preserve">effective </w:t>
      </w:r>
      <w:r w:rsidRPr="00F31C75">
        <w:rPr>
          <w:rFonts w:cstheme="minorHAnsi"/>
        </w:rPr>
        <w:t xml:space="preserve">local and national leadership, the availability of expert knowledge and skills, and additional </w:t>
      </w:r>
      <w:r>
        <w:rPr>
          <w:rFonts w:cstheme="minorHAnsi"/>
        </w:rPr>
        <w:t xml:space="preserve">tranches of </w:t>
      </w:r>
      <w:r w:rsidRPr="00F31C75">
        <w:rPr>
          <w:rFonts w:cstheme="minorHAnsi"/>
        </w:rPr>
        <w:t>funding</w:t>
      </w:r>
      <w:r w:rsidR="00973650">
        <w:rPr>
          <w:rFonts w:cstheme="minorHAnsi"/>
        </w:rPr>
        <w:t xml:space="preserve"> </w:t>
      </w:r>
      <w:r w:rsidR="00973650">
        <w:rPr>
          <w:rFonts w:cstheme="minorHAnsi"/>
        </w:rPr>
        <w:fldChar w:fldCharType="begin" w:fldLock="1"/>
      </w:r>
      <w:r w:rsidR="00EA4B53">
        <w:rPr>
          <w:rFonts w:cstheme="minorHAnsi"/>
        </w:rPr>
        <w:instrText>ADDIN CSL_CITATION {"citationItems":[{"id":"ITEM-1","itemData":{"abstract":"Abstract Purpose The purpose of this paper is to investigate the perceptions of key informants on a national support programme for the development of new care models (NCM) in England (2015/2016–2017/2018). It focuses on the perceived facilitators and barriers affecting the development and implementation of the NCM programme and offers some insight into the role of national level support in enabling local integration initiatives. Design/methodology/approach A set of 29 interviews were carried out with a variety of respondents at the national level (including current and past programme leads, strategic account managers, advisors to the programme and external regulators) between October 2017 and March 2018, and analysed thematically. Findings A set of facilitative elements of the programme were identified: the development of relationships and alliances, strong local and national leadership, the availability of expert knowledge and skills, and additional funding. Challenges to success included perceived expectations from the national Vanguard programme, oversight and performance monitoring, engagement with regulators, data availability and quality, as well as timetables and timescales. Crucially, the facilitators and challenges were found to interact in dynamic and complex ways, which resulted in significant tensions and ambiguities within the support programme. Research limitations/implications While the sample was drawn from a range of different senior players and the authors ensured a diverse sample associated with the NCM support programme, it inevitably cannot be complete and there may have been valuable perspectives absent. Originality/value The paper demonstrates that the analysis of facilitators and challenges with respect to the national support of implementation of integrated care initiatives should move beyond the focus on separate influencing factors and address the tensions that the complex interplay among these factors create.","author":[{"dropping-particle":"","family":"Billings","given":"Jenny","non-dropping-particle":"","parse-names":false,"suffix":""},{"dropping-particle":"","family":"Mikelyte","given":"Rasa","non-dropping-particle":"","parse-names":false,"suffix":""},{"dropping-particle":"","family":"MacInnes","given":"Julie D","non-dropping-particle":"","parse-names":false,"suffix":""},{"dropping-particle":"","family":"Allen","given":"Pauline","non-dropping-particle":"","parse-names":false,"suffix":""},{"dropping-particle":"","family":"Croke","given":"Sarah","non-dropping-particle":"","parse-names":false,"suffix":""},{"dropping-particle":"","family":"Checkland","given":"Kath","non-dropping-particle":"","parse-names":false,"suffix":""}],"container-title":"Journal of Integrated Care","id":"ITEM-1","issue":"1","issued":{"date-parts":[["2019"]]},"page":"27-40","title":"Supporting integrated care in practice: Perceptions of a national support programme for the development of New Care Models in England","type":"article-journal","volume":"28"},"uris":["http://www.mendeley.com/documents/?uuid=51f3facf-56c2-4f07-9898-9da767133837"]}],"mendeley":{"formattedCitation":"&lt;sup&gt;10&lt;/sup&gt;","plainTextFormattedCitation":"10","previouslyFormattedCitation":"&lt;sup&gt;10&lt;/sup&gt;"},"properties":{"noteIndex":0},"schema":"https://github.com/citation-style-language/schema/raw/master/csl-citation.json"}</w:instrText>
      </w:r>
      <w:r w:rsidR="00973650">
        <w:rPr>
          <w:rFonts w:cstheme="minorHAnsi"/>
        </w:rPr>
        <w:fldChar w:fldCharType="separate"/>
      </w:r>
      <w:r w:rsidR="00E25884" w:rsidRPr="00E25884">
        <w:rPr>
          <w:rFonts w:cstheme="minorHAnsi"/>
          <w:noProof/>
          <w:vertAlign w:val="superscript"/>
        </w:rPr>
        <w:t>10</w:t>
      </w:r>
      <w:r w:rsidR="00973650">
        <w:rPr>
          <w:rFonts w:cstheme="minorHAnsi"/>
        </w:rPr>
        <w:fldChar w:fldCharType="end"/>
      </w:r>
      <w:r w:rsidRPr="00F31C75">
        <w:rPr>
          <w:rFonts w:cstheme="minorHAnsi"/>
        </w:rPr>
        <w:t xml:space="preserve">. Challenges </w:t>
      </w:r>
      <w:r>
        <w:rPr>
          <w:rFonts w:cstheme="minorHAnsi"/>
        </w:rPr>
        <w:t>have also been highlighted with regard to overly ambitious policy</w:t>
      </w:r>
      <w:r w:rsidRPr="00F31C75">
        <w:rPr>
          <w:rFonts w:cstheme="minorHAnsi"/>
        </w:rPr>
        <w:t xml:space="preserve"> expec</w:t>
      </w:r>
      <w:r>
        <w:rPr>
          <w:rFonts w:cstheme="minorHAnsi"/>
        </w:rPr>
        <w:t>tations, the collection and use of performance information, as well as</w:t>
      </w:r>
      <w:r w:rsidRPr="00F31C75">
        <w:rPr>
          <w:rFonts w:cstheme="minorHAnsi"/>
        </w:rPr>
        <w:t xml:space="preserve"> </w:t>
      </w:r>
      <w:r>
        <w:rPr>
          <w:rFonts w:cstheme="minorHAnsi"/>
        </w:rPr>
        <w:t>difficulties in developing ongoing</w:t>
      </w:r>
      <w:r w:rsidRPr="00F31C75">
        <w:rPr>
          <w:rFonts w:cstheme="minorHAnsi"/>
        </w:rPr>
        <w:t xml:space="preserve"> </w:t>
      </w:r>
      <w:r>
        <w:rPr>
          <w:rFonts w:cstheme="minorHAnsi"/>
        </w:rPr>
        <w:t>relationships</w:t>
      </w:r>
      <w:r w:rsidRPr="00F31C75">
        <w:rPr>
          <w:rFonts w:cstheme="minorHAnsi"/>
        </w:rPr>
        <w:t xml:space="preserve"> with regulators.</w:t>
      </w:r>
      <w:r>
        <w:rPr>
          <w:rFonts w:cstheme="minorHAnsi"/>
        </w:rPr>
        <w:t xml:space="preserve"> Furthermore,</w:t>
      </w:r>
      <w:r w:rsidRPr="00F31C75">
        <w:rPr>
          <w:rFonts w:cstheme="minorHAnsi"/>
        </w:rPr>
        <w:t xml:space="preserve"> </w:t>
      </w:r>
      <w:r>
        <w:rPr>
          <w:rFonts w:cstheme="minorHAnsi"/>
        </w:rPr>
        <w:t xml:space="preserve">questions remain about whether the agenda has had </w:t>
      </w:r>
      <w:r w:rsidRPr="007A4C25">
        <w:rPr>
          <w:rFonts w:cstheme="minorHAnsi"/>
        </w:rPr>
        <w:t>sufficient time and support to develop approaches responsive to population need</w:t>
      </w:r>
      <w:r>
        <w:rPr>
          <w:rFonts w:cstheme="minorHAnsi"/>
        </w:rPr>
        <w:t xml:space="preserve"> </w:t>
      </w:r>
      <w:r>
        <w:rPr>
          <w:rFonts w:cstheme="minorHAnsi"/>
        </w:rPr>
        <w:fldChar w:fldCharType="begin" w:fldLock="1"/>
      </w:r>
      <w:r w:rsidR="00EA4B53">
        <w:rPr>
          <w:rFonts w:cstheme="minorHAnsi"/>
        </w:rPr>
        <w:instrText>ADDIN CSL_CITATION {"citationItems":[{"id":"ITEM-1","itemData":{"ISBN":"9781911615033","ISSN":"9781911615033","abstract":"Drawing on the experiences of those leading the vanguard sites of the new care models programme, this report sets out ten lessons for those seeking to systematically make improvements across local health and care services for those patients who are in most need of joined up care. It emphasises the value of local co-creation and testing of new care models, and offers useful learning for those seeking to drive the development of new models of care within sustainability and transformation partnerships and accountable care systems. The ten lessons to support providers and commissioners seeking to adopt this new approach: start by focusing on a specific population; involve primary care from the start; go where the energy is; spend time developing shared understanding of challenges; work through and thoroughly test assumptions about how activities will achieve results; find ways to learn from others and assess suitability of interventions; set up an ‘engine room' for change; distribute decision-making roles; invest in workforce development at all levels; and test, evaluate and adapt for continuous improvement. While this report focuses on what local leaders can do, it also identifies three key ways national bodies can support cross-organisational change: support new and existing systems – further focus is needed on what the national performance and governance frameworks should look like; send the right message – national messaging should focus on the core aims of system change and not simply on restructuring; continue to build evaluation capability and capacity – investing in robust local and national evaluation will enable sites to understand if changes are improving care.","author":[{"dropping-particle":"","family":"Starling","given":"Anna","non-dropping-particle":"","parse-names":false,"suffix":""}],"id":"ITEM-1","issue":"November","issued":{"date-parts":[["2017"]]},"number-of-pages":"36","publisher":"Health Foundation","publisher-place":"London","title":"Some assembly required: implementing new models of care","type":"book"},"uris":["http://www.mendeley.com/documents/?uuid=7c119f00-3661-47a8-a980-ef55dace6cb8"]}],"mendeley":{"formattedCitation":"&lt;sup&gt;26&lt;/sup&gt;","plainTextFormattedCitation":"26","previouslyFormattedCitation":"&lt;sup&gt;26&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26</w:t>
      </w:r>
      <w:r>
        <w:rPr>
          <w:rFonts w:cstheme="minorHAnsi"/>
        </w:rPr>
        <w:fldChar w:fldCharType="end"/>
      </w:r>
      <w:r>
        <w:rPr>
          <w:rFonts w:cstheme="minorHAnsi"/>
        </w:rPr>
        <w:t xml:space="preserve">. And questions remain </w:t>
      </w:r>
      <w:r w:rsidRPr="00080755">
        <w:rPr>
          <w:rFonts w:cstheme="minorHAnsi"/>
        </w:rPr>
        <w:t xml:space="preserve">about the </w:t>
      </w:r>
      <w:r>
        <w:rPr>
          <w:rFonts w:cstheme="minorHAnsi"/>
        </w:rPr>
        <w:t xml:space="preserve">limited </w:t>
      </w:r>
      <w:r w:rsidRPr="00080755">
        <w:rPr>
          <w:rFonts w:cstheme="minorHAnsi"/>
        </w:rPr>
        <w:t>impac</w:t>
      </w:r>
      <w:r>
        <w:rPr>
          <w:rFonts w:cstheme="minorHAnsi"/>
        </w:rPr>
        <w:t xml:space="preserve">t of the Vanguard programme on reducing </w:t>
      </w:r>
      <w:r w:rsidRPr="00080755">
        <w:rPr>
          <w:rFonts w:cstheme="minorHAnsi"/>
        </w:rPr>
        <w:t xml:space="preserve">hospital activity </w:t>
      </w:r>
      <w:r w:rsidR="004042F9">
        <w:rPr>
          <w:rFonts w:cstheme="minorHAnsi"/>
        </w:rPr>
        <w:fldChar w:fldCharType="begin" w:fldLock="1"/>
      </w:r>
      <w:r w:rsidR="00EA4B53">
        <w:rPr>
          <w:rFonts w:cstheme="minorHAnsi"/>
        </w:rPr>
        <w:instrText>ADDIN CSL_CITATION {"citationItems":[{"id":"ITEM-1","itemData":{"DOI":"10.1016/j.healthpol.2020.06.004","ISSN":"18726054","PMID":"32595094","abstract":"Closer integration of health and social care services has become a cornerstone policy in many developed countries, but there is still debate over what population and service level is best to target. In England, the 2019 Long Term Plan for the National Health Service included a commitment to spread the integration prototypes piloted under the Vanguard `New Care Models’ programme. The programme, running from 2015 to 2018, was one of the largest pilots in English history, covering around 9 % of the population. It was largely intended to design prototypes aimed at reducing hospital utilisation by moving specialist care out of hospital into the community and by fostering coordination of health, care and rehabilitation services for (i) the whole population (‘population-based sites’), or (ii) care home residents (‘care home sites’). We evaluate and compare the efficacy of the population-based and care home site integrated care models in reducing hospital utilisation. We use area-level monthly counts of emergency admissions and bed-days obtained from administrative data using a quasi-experimental difference-in-differences design. We found that Vanguard sites had higher hospital utilisation than non-participants in the pre-intervention period. In the post-intervention period, there is clear evidence of a substantial increase in emergency admissions among non-Vanguard sites. The Vanguard integrated care programme slowed the rise in emergency admissions, especially in care home sites and in the third and final year. There was no significant reduction in bed-days. In conclusion, integrated care policies should not be relied upon to make large reductions in hospital activity in the short-run, especially for population-based models.","author":[{"dropping-particle":"","family":"Morciano","given":"Marcello","non-dropping-particle":"","parse-names":false,"suffix":""},{"dropping-particle":"","family":"Checkland","given":"Katherine","non-dropping-particle":"","parse-names":false,"suffix":""},{"dropping-particle":"","family":"Billings","given":"Jenny","non-dropping-particle":"","parse-names":false,"suffix":""},{"dropping-particle":"","family":"Coleman","given":"Anna","non-dropping-particle":"","parse-names":false,"suffix":""},{"dropping-particle":"","family":"Stokes","given":"Jonathan","non-dropping-particle":"","parse-names":false,"suffix":""},{"dropping-particle":"","family":"Tallack","given":"Charles","non-dropping-particle":"","parse-names":false,"suffix":""},{"dropping-particle":"","family":"Sutton","given":"Matt","non-dropping-particle":"","parse-names":false,"suffix":""}],"container-title":"Health Policy","id":"ITEM-1","issue":"8","issued":{"date-parts":[["2020"]]},"page":"826-833","publisher":"Elsevier Ireland Ltd","title":"New integrated care models in England associated with small reduction in hospital admissions in longer-term: A difference-in-differences analysis","type":"article-journal","volume":"124"},"uris":["http://www.mendeley.com/documents/?uuid=b9ada9ac-65db-49fe-a81e-fea071e83359"]}],"mendeley":{"formattedCitation":"&lt;sup&gt;29&lt;/sup&gt;","plainTextFormattedCitation":"29","previouslyFormattedCitation":"&lt;sup&gt;29&lt;/sup&gt;"},"properties":{"noteIndex":0},"schema":"https://github.com/citation-style-language/schema/raw/master/csl-citation.json"}</w:instrText>
      </w:r>
      <w:r w:rsidR="004042F9">
        <w:rPr>
          <w:rFonts w:cstheme="minorHAnsi"/>
        </w:rPr>
        <w:fldChar w:fldCharType="separate"/>
      </w:r>
      <w:r w:rsidR="00E25884" w:rsidRPr="00E25884">
        <w:rPr>
          <w:rFonts w:cstheme="minorHAnsi"/>
          <w:noProof/>
          <w:vertAlign w:val="superscript"/>
        </w:rPr>
        <w:t>29</w:t>
      </w:r>
      <w:r w:rsidR="004042F9">
        <w:rPr>
          <w:rFonts w:cstheme="minorHAnsi"/>
        </w:rPr>
        <w:fldChar w:fldCharType="end"/>
      </w:r>
      <w:r w:rsidR="004042F9">
        <w:rPr>
          <w:rFonts w:cstheme="minorHAnsi"/>
        </w:rPr>
        <w:t>.</w:t>
      </w:r>
    </w:p>
    <w:p w14:paraId="2008065A" w14:textId="79E46771" w:rsidR="002B7278" w:rsidRDefault="002B7278" w:rsidP="00525BE0">
      <w:pPr>
        <w:spacing w:after="160" w:line="360" w:lineRule="auto"/>
        <w:jc w:val="both"/>
        <w:rPr>
          <w:rFonts w:cstheme="minorHAnsi"/>
        </w:rPr>
      </w:pPr>
      <w:r w:rsidRPr="007A4C25">
        <w:rPr>
          <w:rFonts w:cstheme="minorHAnsi"/>
        </w:rPr>
        <w:t xml:space="preserve">Mergers and acquisitions between under-performing and well-performing providers have received much attention, </w:t>
      </w:r>
      <w:r w:rsidRPr="00D25400">
        <w:rPr>
          <w:rFonts w:cstheme="minorHAnsi"/>
        </w:rPr>
        <w:t xml:space="preserve">with concerns raised regarding the time, cost, and complexity for stakeholders involved </w:t>
      </w:r>
      <w:r>
        <w:rPr>
          <w:rFonts w:cstheme="minorHAnsi"/>
        </w:rPr>
        <w:t xml:space="preserve">and the variable </w:t>
      </w:r>
      <w:r w:rsidRPr="007A4C25">
        <w:rPr>
          <w:rFonts w:cstheme="minorHAnsi"/>
        </w:rPr>
        <w:t>financial and clinical quality improvements</w:t>
      </w:r>
      <w:r>
        <w:rPr>
          <w:rFonts w:cstheme="minorHAnsi"/>
        </w:rPr>
        <w:t xml:space="preserve"> being </w:t>
      </w:r>
      <w:r w:rsidR="00D91907">
        <w:rPr>
          <w:rFonts w:cstheme="minorHAnsi"/>
        </w:rPr>
        <w:t>achieved</w:t>
      </w:r>
      <w:r w:rsidRPr="007A4C25">
        <w:rPr>
          <w:rFonts w:cstheme="minorHAnsi"/>
        </w:rPr>
        <w:t xml:space="preserve"> </w:t>
      </w:r>
      <w:r w:rsidRPr="007A4C25">
        <w:rPr>
          <w:rFonts w:cstheme="minorHAnsi"/>
        </w:rPr>
        <w:fldChar w:fldCharType="begin" w:fldLock="1"/>
      </w:r>
      <w:r w:rsidR="00EA4B53">
        <w:rPr>
          <w:rFonts w:cstheme="minorHAnsi"/>
        </w:rPr>
        <w:instrText>ADDIN CSL_CITATION {"citationItems":[{"id":"ITEM-1","itemData":{"abstract":"1. Executive Summary 1. A merger is one option for NHS providers seeking to address the ongoing challenge of providing the best possible services with the greatest efficiency. Understanding the benefits achieved in past NHS mergers can inform those Trusts 1 considering a merger about the benefits that their own transaction could deliver. 2. Monitor has commissioned this review of the benefits achieved in six past NHS mergers to assist Trusts in developing their understanding, and to help Monitor support Trusts considering a merger in future. 3. This report: (i) identifies the benefits to patients and commissioners that were realised by the six case study Trusts following their mergers; (ii) discusses the extent to which these mergers made the realisation of these benefits possible; and (iii) identifies factors common to those Trusts that experienced success in realising merger benefits. 4. The report does not seek to balance the costs and benefits that arose in the six merger case studies. It carries out a more limited consideration of the post-merger benefits that were achieved. Given this approach, the report may come across as more positive about NHS mergers than may be the case in other studies. 2 However, care should be taken in reading this report to remember that it does not seek to review each of these transactions as a whole. 5. In carrying out the six case studies, we have identified efficiencies and service delivery improvements that were realised after each merger; the extent of these benefits varies across the case studies. Savings in corporate overheads and clinical support services of around 1-3% of a merged Trust's turnover were generally realised relatively quickly post-merger.","author":[{"dropping-particle":"","family":"Aldwych Partners","given":"","non-dropping-particle":"","parse-names":false,"suffix":""}],"id":"ITEM-1","issued":{"date-parts":[["2015"]]},"page":"p34","title":"Benefits from mergers: lessons from recent NHS transactions","type":"article-journal"},"uris":["http://www.mendeley.com/documents/?uuid=01155b37-ffde-41ed-bf52-5024144dd7d6"]}],"mendeley":{"formattedCitation":"&lt;sup&gt;30&lt;/sup&gt;","plainTextFormattedCitation":"30","previouslyFormattedCitation":"&lt;sup&gt;30&lt;/sup&gt;"},"properties":{"noteIndex":0},"schema":"https://github.com/citation-style-language/schema/raw/master/csl-citation.json"}</w:instrText>
      </w:r>
      <w:r w:rsidRPr="007A4C25">
        <w:rPr>
          <w:rFonts w:cstheme="minorHAnsi"/>
        </w:rPr>
        <w:fldChar w:fldCharType="separate"/>
      </w:r>
      <w:r w:rsidR="00E25884" w:rsidRPr="00E25884">
        <w:rPr>
          <w:rFonts w:cstheme="minorHAnsi"/>
          <w:noProof/>
          <w:vertAlign w:val="superscript"/>
        </w:rPr>
        <w:t>30</w:t>
      </w:r>
      <w:r w:rsidRPr="007A4C25">
        <w:rPr>
          <w:rFonts w:cstheme="minorHAnsi"/>
        </w:rPr>
        <w:fldChar w:fldCharType="end"/>
      </w:r>
      <w:r w:rsidRPr="007A4C25">
        <w:rPr>
          <w:rFonts w:cstheme="minorHAnsi"/>
        </w:rPr>
        <w:t xml:space="preserve">. The impact of ‘buddy’ hospitals </w:t>
      </w:r>
      <w:r>
        <w:rPr>
          <w:rFonts w:cstheme="minorHAnsi"/>
        </w:rPr>
        <w:t xml:space="preserve">providing </w:t>
      </w:r>
      <w:r w:rsidRPr="007A4C25">
        <w:rPr>
          <w:rFonts w:cstheme="minorHAnsi"/>
        </w:rPr>
        <w:t>support to struggling organisations or those in special measures appear</w:t>
      </w:r>
      <w:r>
        <w:rPr>
          <w:rFonts w:cstheme="minorHAnsi"/>
        </w:rPr>
        <w:t>s</w:t>
      </w:r>
      <w:r w:rsidRPr="007A4C25">
        <w:rPr>
          <w:rFonts w:cstheme="minorHAnsi"/>
        </w:rPr>
        <w:t xml:space="preserve"> to have aided organisational </w:t>
      </w:r>
      <w:r>
        <w:rPr>
          <w:rFonts w:cstheme="minorHAnsi"/>
        </w:rPr>
        <w:t xml:space="preserve">improvement and </w:t>
      </w:r>
      <w:r w:rsidRPr="007A4C25">
        <w:rPr>
          <w:rFonts w:cstheme="minorHAnsi"/>
        </w:rPr>
        <w:t>turnaround as measured by the CQC performance ratings</w:t>
      </w:r>
      <w:r>
        <w:rPr>
          <w:rFonts w:cstheme="minorHAnsi"/>
        </w:rPr>
        <w:t xml:space="preserve"> </w:t>
      </w:r>
      <w:r w:rsidRPr="007A4C25">
        <w:rPr>
          <w:rFonts w:cstheme="minorHAnsi"/>
        </w:rPr>
        <w:fldChar w:fldCharType="begin" w:fldLock="1"/>
      </w:r>
      <w:r w:rsidR="00EA4B53">
        <w:rPr>
          <w:rFonts w:cstheme="minorHAnsi"/>
        </w:rPr>
        <w:instrText>ADDIN CSL_CITATION {"citationItems":[{"id":"ITEM-1","itemData":{"author":[{"dropping-particle":"","family":"Care Quality Commission","given":"","non-dropping-particle":"","parse-names":false,"suffix":""},{"dropping-particle":"","family":"NHS Improvement","given":"","non-dropping-particle":"","parse-names":false,"suffix":""}],"id":"ITEM-1","issued":{"date-parts":[["2017"]]},"number-of-pages":"1-15","title":"Special measures for quality reasons: guidance for trusts","type":"report"},"uris":["http://www.mendeley.com/documents/?uuid=ec8515ec-98b9-41c1-bcda-b82d36d8f4a3"]},{"id":"ITEM-2","itemData":{"author":[{"dropping-particle":"","family":"Fulop","given":"Naomi","non-dropping-particle":"","parse-names":false,"suffix":""},{"dropping-particle":"","family":"Capelas Barbosa","given":"Estela","non-dropping-particle":"","parse-names":false,"suffix":""},{"dropping-particle":"","family":"Hill","given":"Melissa","non-dropping-particle":"","parse-names":false,"suffix":""},{"dropping-particle":"","family":"Ledger","given":"Jean","non-dropping-particle":"","parse-names":false,"suffix":""},{"dropping-particle":"","family":"Ng","given":"Pei Li","non-dropping-particle":"","parse-names":false,"suffix":""},{"dropping-particle":"","family":"Sherlaw-Johnson","given":"Christopher","non-dropping-particle":"","parse-names":false,"suffix":""},{"dropping-particle":"","family":"Rolewicz","given":"Lucina","non-dropping-particle":"","parse-names":false,"suffix":""},{"dropping-particle":"","family":"Schlepper","given":"Laura","non-dropping-particle":"","parse-names":false,"suffix":""},{"dropping-particle":"","family":"Spencer","given":"Jonathan","non-dropping-particle":"","parse-names":false,"suffix":""},{"dropping-particle":"","family":"Tomini","given":"Sonila","non-dropping-particle":"","parse-names":false,"suffix":""},{"dropping-particle":"","family":"Vindrola-Padros","given":"Cecilia","non-dropping-particle":"","parse-names":false,"suffix":""},{"dropping-particle":"","family":"Morris","given":"Steve","non-dropping-particle":"","parse-names":false,"suffix":""}],"id":"ITEM-2","issue":"May 2020","issued":{"date-parts":[["2020"]]},"title":"Rapid Evaluation of the Special Measures for Quality and Challenged Provider Regimes: A mixed-methods study","type":"report"},"uris":["http://www.mendeley.com/documents/?uuid=96cf3eff-5438-4ad8-9188-d26b8175fd24"]}],"mendeley":{"formattedCitation":"&lt;sup&gt;6,31&lt;/sup&gt;","plainTextFormattedCitation":"6,31","previouslyFormattedCitation":"&lt;sup&gt;6,31&lt;/sup&gt;"},"properties":{"noteIndex":0},"schema":"https://github.com/citation-style-language/schema/raw/master/csl-citation.json"}</w:instrText>
      </w:r>
      <w:r w:rsidRPr="007A4C25">
        <w:rPr>
          <w:rFonts w:cstheme="minorHAnsi"/>
        </w:rPr>
        <w:fldChar w:fldCharType="separate"/>
      </w:r>
      <w:r w:rsidR="00E25884" w:rsidRPr="00E25884">
        <w:rPr>
          <w:rFonts w:cstheme="minorHAnsi"/>
          <w:noProof/>
          <w:vertAlign w:val="superscript"/>
        </w:rPr>
        <w:t>6,31</w:t>
      </w:r>
      <w:r w:rsidRPr="007A4C25">
        <w:rPr>
          <w:rFonts w:cstheme="minorHAnsi"/>
        </w:rPr>
        <w:fldChar w:fldCharType="end"/>
      </w:r>
      <w:r>
        <w:rPr>
          <w:rFonts w:cstheme="minorHAnsi"/>
        </w:rPr>
        <w:t>. Despite</w:t>
      </w:r>
      <w:r w:rsidRPr="00596D77">
        <w:rPr>
          <w:rFonts w:cstheme="minorHAnsi"/>
        </w:rPr>
        <w:t xml:space="preserve"> the </w:t>
      </w:r>
      <w:r w:rsidRPr="00083524">
        <w:rPr>
          <w:rFonts w:cstheme="minorHAnsi"/>
        </w:rPr>
        <w:t xml:space="preserve">Health and Social Care Act </w:t>
      </w:r>
      <w:r>
        <w:rPr>
          <w:rFonts w:cstheme="minorHAnsi"/>
        </w:rPr>
        <w:t xml:space="preserve">2012 </w:t>
      </w:r>
      <w:r w:rsidRPr="00596D77">
        <w:rPr>
          <w:rFonts w:cstheme="minorHAnsi"/>
        </w:rPr>
        <w:t>promoting competition,</w:t>
      </w:r>
      <w:r w:rsidRPr="00080755">
        <w:rPr>
          <w:rFonts w:cstheme="minorHAnsi"/>
        </w:rPr>
        <w:t xml:space="preserve"> </w:t>
      </w:r>
      <w:r>
        <w:rPr>
          <w:rFonts w:cstheme="minorHAnsi"/>
        </w:rPr>
        <w:t>Allen et al</w:t>
      </w:r>
      <w:r w:rsidR="00CE7824">
        <w:rPr>
          <w:rFonts w:cstheme="minorHAnsi"/>
        </w:rPr>
        <w:t>.</w:t>
      </w:r>
      <w:r>
        <w:rPr>
          <w:rFonts w:cstheme="minorHAnsi"/>
        </w:rPr>
        <w:t xml:space="preserve"> (201</w:t>
      </w:r>
      <w:r w:rsidR="00CE7824">
        <w:rPr>
          <w:rFonts w:cstheme="minorHAnsi"/>
        </w:rPr>
        <w:t>6</w:t>
      </w:r>
      <w:r>
        <w:rPr>
          <w:rFonts w:cstheme="minorHAnsi"/>
        </w:rPr>
        <w:t>) note how</w:t>
      </w:r>
      <w:r w:rsidRPr="00596D77">
        <w:rPr>
          <w:rFonts w:cstheme="minorHAnsi"/>
        </w:rPr>
        <w:t xml:space="preserve"> commissioners chose mainly to use collaborative strategies to effect major service reconfigurations</w:t>
      </w:r>
      <w:r w:rsidR="00CE7824">
        <w:rPr>
          <w:rFonts w:cstheme="minorHAnsi"/>
        </w:rPr>
        <w:t xml:space="preserve"> </w:t>
      </w:r>
      <w:r w:rsidR="00CE7824">
        <w:rPr>
          <w:rFonts w:cstheme="minorHAnsi"/>
        </w:rPr>
        <w:fldChar w:fldCharType="begin" w:fldLock="1"/>
      </w:r>
      <w:r w:rsidR="00EA4B53">
        <w:rPr>
          <w:rFonts w:cstheme="minorHAnsi"/>
        </w:rPr>
        <w:instrText>ADDIN CSL_CITATION {"citationItems":[{"id":"ITEM-1","itemData":{"DOI":"10.1136/bmjopen-2016-011745","ISSN":"20446055","PMID":"28183806","abstract":"Objective: The Health and Social Care Act 2012 ('HSCA 2012') introduced a new, statutory, form of regulation of competition into the National Health Service (NHS), while at the same time recognising that cooperation was necessary. NHS England's policy document, The Five Year Forward View ('5YFV') of 2014 placed less emphasis on competition without altering the legislation. We explored how commissioners and providers understand the complex regulatory framework, and how they behave in relation to competition and cooperation. Design: We carried out detailed case studies in four clinical commissioning groups, using interviews and documentary analysis to explore the commissioners'and providers' understanding and experience of competition and cooperation. Setting/participants: We conducted 42 interviews with senior managers in commissioning organizations and senior managers in NHS and independent provider organisations (acute and community services). Results: Neither commissioners nor providers fully understand the regulatory regime in respect of competition in the NHS, and have not found that the regulatory authorities have provided adequate guidance. Despite the HSCA 2012 promoting competition, commissioners chose mainly to use collaborative strategies to effect major service reconfigurations, which is endorsed as a suitable approach by providers. Nevertheless, commissioners are using competitive tendering in respect of more peripheral services in order to improve quality of care and value for money. Conclusions: Commissioners regard the use of competition and cooperation as appropriate in the NHS currently, although collaborative strategies appear more helpful in respect of large-scale changes. However, the current regulatory framework contained in the HSCA 2012, particularly since the publication of the 5YFV, is not clear. Better guidance should be issued by the regulatory authorities.","author":[{"dropping-particle":"","family":"Allen","given":"Pauline","non-dropping-particle":"","parse-names":false,"suffix":""},{"dropping-particle":"","family":"Osipovič","given":"Dorota","non-dropping-particle":"","parse-names":false,"suffix":""},{"dropping-particle":"","family":"Shepherd","given":"Elizabeth","non-dropping-particle":"","parse-names":false,"suffix":""},{"dropping-particle":"","family":"Coleman","given":"Anna","non-dropping-particle":"","parse-names":false,"suffix":""},{"dropping-particle":"","family":"Perkins","given":"Neil","non-dropping-particle":"","parse-names":false,"suffix":""},{"dropping-particle":"","family":"Garnett","given":"Emma","non-dropping-particle":"","parse-names":false,"suffix":""},{"dropping-particle":"","family":"Williams","given":"Lorraine","non-dropping-particle":"","parse-names":false,"suffix":""}],"container-title":"BMJ Open","id":"ITEM-1","issue":"2","issued":{"date-parts":[["2016"]]},"note":"From Duplicate 1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1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2 (Commissioning through competition and cooperation: final report - Pauline, ALLEN; al, et)\n\nNot relevant to partnerships\n\nFrom Duplicate 2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1 (Commissioning through competition and cooperation: final report - Allen, Pauline)\n\nNot relevant to partnerships\n\nFrom Duplicate 2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1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2 (Commissioning through competition and cooperation: final report - Pauline, ALLEN; al, et)\n\nNot relevant to partnerships","page":"1-13","publisher":"PRUComm","publisher-place":"London","title":"Commissioning through competition and cooperation in the English NHS under the Health and Social Care Act 2012: Evidence from a qualitative study of four clinical commissioning groups","type":"article-journal","volume":"7"},"uris":["http://www.mendeley.com/documents/?uuid=bfb667d3-9d74-4417-b595-f1912c90acd9"]}],"mendeley":{"formattedCitation":"&lt;sup&gt;32&lt;/sup&gt;","plainTextFormattedCitation":"32","previouslyFormattedCitation":"&lt;sup&gt;32&lt;/sup&gt;"},"properties":{"noteIndex":0},"schema":"https://github.com/citation-style-language/schema/raw/master/csl-citation.json"}</w:instrText>
      </w:r>
      <w:r w:rsidR="00CE7824">
        <w:rPr>
          <w:rFonts w:cstheme="minorHAnsi"/>
        </w:rPr>
        <w:fldChar w:fldCharType="separate"/>
      </w:r>
      <w:r w:rsidR="00E25884" w:rsidRPr="00E25884">
        <w:rPr>
          <w:rFonts w:cstheme="minorHAnsi"/>
          <w:noProof/>
          <w:vertAlign w:val="superscript"/>
        </w:rPr>
        <w:t>32</w:t>
      </w:r>
      <w:r w:rsidR="00CE7824">
        <w:rPr>
          <w:rFonts w:cstheme="minorHAnsi"/>
        </w:rPr>
        <w:fldChar w:fldCharType="end"/>
      </w:r>
      <w:r>
        <w:rPr>
          <w:rFonts w:cstheme="minorHAnsi"/>
        </w:rPr>
        <w:t xml:space="preserve">. This </w:t>
      </w:r>
      <w:r w:rsidRPr="00596D77">
        <w:rPr>
          <w:rFonts w:cstheme="minorHAnsi"/>
        </w:rPr>
        <w:t>was</w:t>
      </w:r>
      <w:r>
        <w:rPr>
          <w:rFonts w:cstheme="minorHAnsi"/>
        </w:rPr>
        <w:t xml:space="preserve"> also </w:t>
      </w:r>
      <w:r w:rsidRPr="00596D77">
        <w:rPr>
          <w:rFonts w:cstheme="minorHAnsi"/>
        </w:rPr>
        <w:t xml:space="preserve">endorsed as a suitable approach by providers. </w:t>
      </w:r>
    </w:p>
    <w:p w14:paraId="6EE8692F" w14:textId="77777777" w:rsidR="002B7278" w:rsidRPr="000933D8" w:rsidRDefault="002B7278" w:rsidP="00525BE0">
      <w:pPr>
        <w:spacing w:line="360" w:lineRule="auto"/>
        <w:jc w:val="both"/>
        <w:rPr>
          <w:rFonts w:cstheme="minorHAnsi"/>
        </w:rPr>
      </w:pPr>
    </w:p>
    <w:p w14:paraId="65181CA5" w14:textId="77777777" w:rsidR="002B7278" w:rsidRDefault="002B7278" w:rsidP="00525BE0">
      <w:pPr>
        <w:pStyle w:val="Heading3"/>
        <w:jc w:val="both"/>
      </w:pPr>
      <w:bookmarkStart w:id="15" w:name="_Toc85066403"/>
      <w:r w:rsidRPr="007A4C25">
        <w:t>NHS Long Term Plan</w:t>
      </w:r>
      <w:r>
        <w:t xml:space="preserve"> and beyond</w:t>
      </w:r>
      <w:bookmarkEnd w:id="15"/>
    </w:p>
    <w:p w14:paraId="690FC76C" w14:textId="77777777" w:rsidR="002B7278" w:rsidRPr="006057E6" w:rsidRDefault="002B7278" w:rsidP="00525BE0">
      <w:pPr>
        <w:jc w:val="both"/>
      </w:pPr>
    </w:p>
    <w:p w14:paraId="1D626024" w14:textId="641AB0B0" w:rsidR="002B7278" w:rsidRDefault="002B7278" w:rsidP="00525BE0">
      <w:pPr>
        <w:spacing w:after="160" w:line="360" w:lineRule="auto"/>
        <w:jc w:val="both"/>
      </w:pPr>
      <w:r>
        <w:t xml:space="preserve">The policy focus on collaboration continued with </w:t>
      </w:r>
      <w:r w:rsidRPr="007A4C25">
        <w:t>the</w:t>
      </w:r>
      <w:r>
        <w:t xml:space="preserve"> publication of the</w:t>
      </w:r>
      <w:r w:rsidRPr="007A4C25">
        <w:t xml:space="preserve"> NHS Long Term Plan </w:t>
      </w:r>
      <w:r w:rsidRPr="007A4C25">
        <w:fldChar w:fldCharType="begin" w:fldLock="1"/>
      </w:r>
      <w:r w:rsidR="00EA4B53">
        <w:instrText>ADDIN CSL_CITATION {"citationItems":[{"id":"ITEM-1","itemData":{"author":[{"dropping-particle":"","family":"NHS England","given":"","non-dropping-particle":"","parse-names":false,"suffix":""}],"id":"ITEM-1","issued":{"date-parts":[["2019"]]},"number-of-pages":"1-134","title":"The NHS Long Term Plan","type":"report"},"uris":["http://www.mendeley.com/documents/?uuid=cd8c0fe5-1067-4d5a-8695-6fd891ad746d"]},{"id":"ITEM-2","itemData":{"author":[{"dropping-particle":"","family":"NHS Providers","given":"","non-dropping-particle":"","parse-names":false,"suffix":""}],"id":"ITEM-2","issue":"September","issued":{"date-parts":[["2018"]]},"page":"56","title":"The journey to integrated care systems. Provider voices.","type":"article-journal"},"uris":["http://www.mendeley.com/documents/?uuid=6f87cb83-8ddf-4f71-958f-1cd77abbb357"]}],"mendeley":{"formattedCitation":"&lt;sup&gt;33,34&lt;/sup&gt;","plainTextFormattedCitation":"33,34","previouslyFormattedCitation":"&lt;sup&gt;33,34&lt;/sup&gt;"},"properties":{"noteIndex":0},"schema":"https://github.com/citation-style-language/schema/raw/master/csl-citation.json"}</w:instrText>
      </w:r>
      <w:r w:rsidRPr="007A4C25">
        <w:fldChar w:fldCharType="separate"/>
      </w:r>
      <w:r w:rsidR="00E25884" w:rsidRPr="00E25884">
        <w:rPr>
          <w:noProof/>
          <w:vertAlign w:val="superscript"/>
        </w:rPr>
        <w:t>33,34</w:t>
      </w:r>
      <w:r w:rsidRPr="007A4C25">
        <w:fldChar w:fldCharType="end"/>
      </w:r>
      <w:r w:rsidRPr="007A4C25">
        <w:t xml:space="preserve">. </w:t>
      </w:r>
      <w:r>
        <w:t xml:space="preserve">Building on </w:t>
      </w:r>
      <w:r w:rsidRPr="005120F7">
        <w:t>Sustainability and Transformation Partnerships (STPs)</w:t>
      </w:r>
      <w:r>
        <w:t xml:space="preserve">, </w:t>
      </w:r>
      <w:r w:rsidRPr="007A4C25">
        <w:t>Integrated Car</w:t>
      </w:r>
      <w:r>
        <w:t xml:space="preserve">e Systems (ICSs) have been introduced which </w:t>
      </w:r>
      <w:r w:rsidRPr="007A4C25">
        <w:t>bring</w:t>
      </w:r>
      <w:r>
        <w:t xml:space="preserve"> together</w:t>
      </w:r>
      <w:r w:rsidRPr="007A4C25">
        <w:t xml:space="preserve"> mental health, social and acute care, specialist services, primary care, and local government</w:t>
      </w:r>
      <w:r w:rsidRPr="00FC05A7">
        <w:t xml:space="preserve"> </w:t>
      </w:r>
      <w:r>
        <w:t>with the aim of promoting</w:t>
      </w:r>
      <w:r w:rsidRPr="005120F7">
        <w:t xml:space="preserve"> greater </w:t>
      </w:r>
      <w:r>
        <w:t xml:space="preserve">regional </w:t>
      </w:r>
      <w:r w:rsidRPr="005120F7">
        <w:t xml:space="preserve">coordination </w:t>
      </w:r>
      <w:r>
        <w:t xml:space="preserve">and more of </w:t>
      </w:r>
      <w:r w:rsidRPr="005120F7">
        <w:t>a population healt</w:t>
      </w:r>
      <w:r>
        <w:t>h focus</w:t>
      </w:r>
      <w:r w:rsidRPr="007A4C25">
        <w:t xml:space="preserve"> </w:t>
      </w:r>
      <w:r w:rsidRPr="007A4C25">
        <w:fldChar w:fldCharType="begin" w:fldLock="1"/>
      </w:r>
      <w:r w:rsidR="00EA4B53">
        <w:instrText>ADDIN CSL_CITATION {"citationItems":[{"id":"ITEM-1","itemData":{"author":[{"dropping-particle":"","family":"NHS England","given":"","non-dropping-particle":"","parse-names":false,"suffix":""}],"id":"ITEM-1","issued":{"date-parts":[["2019"]]},"number-of-pages":"1-134","title":"The NHS Long Term Plan","type":"report"},"uris":["http://www.mendeley.com/documents/?uuid=cd8c0fe5-1067-4d5a-8695-6fd891ad746d"]},{"id":"ITEM-2","itemData":{"ISBN":"9781909029873","abstract":"Overview • Integrated care systems (ICSs) have been proposed as the future model for the health and care system in England. Their development represents a fundamental and far-reaching change in how the NHS works across different services and with external partners. • ICSs' development has been locally led and there is no national blueprint. We carried out interviews in eight of the 'first wave' ICSs to understand how they are developing and to identify lessons for local systems and national policy-makers. • The systems vary widely in their size and complexity. Larger ICSs are working to improve health and care through neighbourhoods and places as well as across whole systems, emphasising the principle of subsidiarity. • Most ICSs are making progress in developing their capabilities to work as systems, and organisations are working more collaboratively to manage finances and performance in a way that was not happening previously. • There are some early signs of progress in delivering service changes, particularly in relation to strengthening primary care, developing integrated care teams and reviewing how specialist services are delivered. It is early days, and more time is needed to embed these changes and determine their impact. • The challenge now is to build on the foundations that have been laid by removing barriers and providing time and support to ICS leaders to take their work to the next stage of development. As this happens, the understandable desire to see change happen quickly needs to be married with realism about the scale and complexity of what is being attempted.","author":[{"dropping-particle":"","family":"Charles","given":"Anna","non-dropping-particle":"","parse-names":false,"suffix":""},{"dropping-particle":"","family":"Wenzel","given":"Lillie","non-dropping-particle":"","parse-names":false,"suffix":""},{"dropping-particle":"","family":"Kershaw","given":"Matthew","non-dropping-particle":"","parse-names":false,"suffix":""},{"dropping-particle":"","family":"Ham","given":"Chris","non-dropping-particle":"","parse-names":false,"suffix":""},{"dropping-particle":"","family":"Walsh","given":"Nicola","non-dropping-particle":"","parse-names":false,"suffix":""}],"container-title":"The King's Fund","id":"ITEM-2","issue":"September","issued":{"date-parts":[["2018"]]},"title":"A year of integrated care systems: reviewing the journey so far","type":"article-journal"},"uris":["http://www.mendeley.com/documents/?uuid=54173cc8-9031-483c-86d6-3eee72c76447"]}],"mendeley":{"formattedCitation":"&lt;sup&gt;33,35&lt;/sup&gt;","plainTextFormattedCitation":"33,35","previouslyFormattedCitation":"&lt;sup&gt;33,35&lt;/sup&gt;"},"properties":{"noteIndex":0},"schema":"https://github.com/citation-style-language/schema/raw/master/csl-citation.json"}</w:instrText>
      </w:r>
      <w:r w:rsidRPr="007A4C25">
        <w:fldChar w:fldCharType="separate"/>
      </w:r>
      <w:r w:rsidR="00E25884" w:rsidRPr="00E25884">
        <w:rPr>
          <w:noProof/>
          <w:vertAlign w:val="superscript"/>
        </w:rPr>
        <w:t>33,35</w:t>
      </w:r>
      <w:r w:rsidRPr="007A4C25">
        <w:fldChar w:fldCharType="end"/>
      </w:r>
      <w:r w:rsidRPr="007A4C25">
        <w:t>. Primary</w:t>
      </w:r>
      <w:r>
        <w:rPr>
          <w:rFonts w:cstheme="minorHAnsi"/>
        </w:rPr>
        <w:t xml:space="preserve"> </w:t>
      </w:r>
      <w:r w:rsidRPr="007A4C25">
        <w:rPr>
          <w:rFonts w:cstheme="minorHAnsi"/>
        </w:rPr>
        <w:t xml:space="preserve">care networks (PCNs) hold shared budgets </w:t>
      </w:r>
      <w:r>
        <w:rPr>
          <w:rFonts w:cstheme="minorHAnsi"/>
        </w:rPr>
        <w:t>with the aim of developing</w:t>
      </w:r>
      <w:r w:rsidRPr="007A4C25">
        <w:rPr>
          <w:rFonts w:cstheme="minorHAnsi"/>
        </w:rPr>
        <w:t xml:space="preserve"> new services to enhance integration, improve sustainability, secure additional funding, and improve economies of scale </w:t>
      </w:r>
      <w:r w:rsidRPr="007A4C25">
        <w:rPr>
          <w:rFonts w:cstheme="minorHAnsi"/>
        </w:rPr>
        <w:fldChar w:fldCharType="begin" w:fldLock="1"/>
      </w:r>
      <w:r w:rsidR="00EA4B53">
        <w:rPr>
          <w:rFonts w:cstheme="minorHAnsi"/>
        </w:rPr>
        <w:instrText>ADDIN CSL_CITATION {"citationItems":[{"id":"ITEM-1","itemData":{"author":[{"dropping-particle":"","family":"Smith","given":"Judith","non-dropping-particle":"","parse-names":false,"suffix":""}],"container-title":"Health Service Journal","id":"ITEM-1","issued":{"date-parts":[["2019"]]},"title":"Primary care networks: a marathon not a sprint","type":"article-journal"},"uris":["http://www.mendeley.com/documents/?uuid=63896916-111b-4592-9b44-6408a69cbfc8"]},{"id":"ITEM-2","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-2","issue":"November","issued":{"date-parts":[["2020"]]},"title":"HS &amp; DR Rapid Evaluation Centre Topic Report Early evidence of the development of primary care networks in England: a rapid evaluation study","type":"report"},"uris":["http://www.mendeley.com/documents/?uuid=d8ac51e3-1c56-426a-b71e-68e97e21b386"]}],"mendeley":{"formattedCitation":"&lt;sup&gt;36,37&lt;/sup&gt;","plainTextFormattedCitation":"36,37","previouslyFormattedCitation":"&lt;sup&gt;36,37&lt;/sup&gt;"},"properties":{"noteIndex":0},"schema":"https://github.com/citation-style-language/schema/raw/master/csl-citation.json"}</w:instrText>
      </w:r>
      <w:r w:rsidRPr="007A4C25">
        <w:rPr>
          <w:rFonts w:cstheme="minorHAnsi"/>
        </w:rPr>
        <w:fldChar w:fldCharType="separate"/>
      </w:r>
      <w:r w:rsidR="00E25884" w:rsidRPr="00E25884">
        <w:rPr>
          <w:rFonts w:cstheme="minorHAnsi"/>
          <w:noProof/>
          <w:vertAlign w:val="superscript"/>
        </w:rPr>
        <w:t>36,37</w:t>
      </w:r>
      <w:r w:rsidRPr="007A4C25">
        <w:rPr>
          <w:rFonts w:cstheme="minorHAnsi"/>
        </w:rPr>
        <w:fldChar w:fldCharType="end"/>
      </w:r>
      <w:r w:rsidRPr="007A4C25">
        <w:rPr>
          <w:rFonts w:cstheme="minorHAnsi"/>
        </w:rPr>
        <w:t>.</w:t>
      </w:r>
      <w:r w:rsidRPr="00815067">
        <w:rPr>
          <w:rFonts w:cstheme="minorHAnsi"/>
        </w:rPr>
        <w:t xml:space="preserve"> </w:t>
      </w:r>
      <w:r>
        <w:rPr>
          <w:rFonts w:cstheme="minorHAnsi"/>
        </w:rPr>
        <w:t>NHS Provider Collaboratives also contribute</w:t>
      </w:r>
      <w:r w:rsidRPr="007A4C25">
        <w:rPr>
          <w:rFonts w:cstheme="minorHAnsi"/>
        </w:rPr>
        <w:t xml:space="preserve"> to</w:t>
      </w:r>
      <w:r>
        <w:rPr>
          <w:rFonts w:cstheme="minorHAnsi"/>
        </w:rPr>
        <w:t>wards</w:t>
      </w:r>
      <w:r w:rsidRPr="007A4C25">
        <w:rPr>
          <w:rFonts w:cstheme="minorHAnsi"/>
        </w:rPr>
        <w:t xml:space="preserve"> </w:t>
      </w:r>
      <w:r>
        <w:rPr>
          <w:rFonts w:cstheme="minorHAnsi"/>
        </w:rPr>
        <w:t>the ICS agenda</w:t>
      </w:r>
      <w:r w:rsidRPr="007A4C25">
        <w:rPr>
          <w:rFonts w:cstheme="minorHAnsi"/>
        </w:rPr>
        <w:t xml:space="preserve"> </w:t>
      </w:r>
      <w:r>
        <w:rPr>
          <w:rFonts w:cstheme="minorHAnsi"/>
        </w:rPr>
        <w:t>with the development of</w:t>
      </w:r>
      <w:r w:rsidRPr="007A4C25">
        <w:rPr>
          <w:rFonts w:cstheme="minorHAnsi"/>
        </w:rPr>
        <w:t xml:space="preserve"> specialist mental health care pathway</w:t>
      </w:r>
      <w:r>
        <w:rPr>
          <w:rFonts w:cstheme="minorHAnsi"/>
        </w:rPr>
        <w:t>s</w:t>
      </w:r>
      <w:r w:rsidRPr="007A4C25">
        <w:rPr>
          <w:rFonts w:cstheme="minorHAnsi"/>
        </w:rPr>
        <w:t xml:space="preserve"> </w:t>
      </w:r>
      <w:r w:rsidRPr="007A4C25">
        <w:rPr>
          <w:rFonts w:cstheme="minorHAnsi"/>
        </w:rPr>
        <w:fldChar w:fldCharType="begin" w:fldLock="1"/>
      </w:r>
      <w:r w:rsidR="00EA4B53">
        <w:rPr>
          <w:rFonts w:cstheme="minorHAnsi"/>
        </w:rPr>
        <w:instrText>ADDIN CSL_CITATION {"citationItems":[{"id":"ITEM-1","itemData":{"abstract":"The NHS long term plan (LTP) builds on the commitments for mental health services set out in the five year forward view for mental health (FYFVMH), emphasising collaboration and the use of digital innovations to deliver more personalised and streamlined care. The implementation plan provides a framework to support the delivery of these commitments locally, and sets out a combination of fixed, flexible and targeted approaches, with core national targets supported by flexibility for local systems to agree how best to deliver services. A core element of the plans is workforce. Local areas are expected to ensure the ‘appropriate workforce’ is in place underpinned by local people plans. The implementation plan estimates that an additional 27,500 staff are required to deliver the LTP ambitions. Plans are also expected to contribute to progress against mental health inequalities, ensuring equity of access. Sustainability and transformation partnerships (STPs) and integrated care systems (ICSs) have been directed to ensure plans are aligned with other priorities in the LTP including primary care, personalised care, learning disabilities and autism, and maternity transformation. The implementation plan sets out deliverables across 13 core areas of mental health services provision, including child and adolescent mental health, maternal mental health services, the mental health of older people , and care for people with serious mental illness. This briefing summarises the deliverables and timeframes for implementing these.","author":[{"dropping-particle":"","family":"NHS","given":"","non-dropping-particle":"","parse-names":false,"suffix":""}],"id":"ITEM-1","issue":"July","issued":{"date-parts":[["2019"]]},"page":"7pp.","title":"NHS Mental health implementation plan","type":"article-journal"},"uris":["http://www.mendeley.com/documents/?uuid=e299fbc9-3272-4f51-97c6-010870ecf4e1"]}],"mendeley":{"formattedCitation":"&lt;sup&gt;38&lt;/sup&gt;","plainTextFormattedCitation":"38","previouslyFormattedCitation":"&lt;sup&gt;38&lt;/sup&gt;"},"properties":{"noteIndex":0},"schema":"https://github.com/citation-style-language/schema/raw/master/csl-citation.json"}</w:instrText>
      </w:r>
      <w:r w:rsidRPr="007A4C25">
        <w:rPr>
          <w:rFonts w:cstheme="minorHAnsi"/>
        </w:rPr>
        <w:fldChar w:fldCharType="separate"/>
      </w:r>
      <w:r w:rsidR="00E25884" w:rsidRPr="00E25884">
        <w:rPr>
          <w:rFonts w:cstheme="minorHAnsi"/>
          <w:noProof/>
          <w:vertAlign w:val="superscript"/>
        </w:rPr>
        <w:t>38</w:t>
      </w:r>
      <w:r w:rsidRPr="007A4C25">
        <w:rPr>
          <w:rFonts w:cstheme="minorHAnsi"/>
        </w:rPr>
        <w:fldChar w:fldCharType="end"/>
      </w:r>
      <w:r>
        <w:rPr>
          <w:rFonts w:cstheme="minorHAnsi"/>
        </w:rPr>
        <w:t xml:space="preserve">. </w:t>
      </w:r>
    </w:p>
    <w:p w14:paraId="620EF9C0" w14:textId="647D4D61" w:rsidR="002B7278" w:rsidRDefault="002B7278" w:rsidP="00525BE0">
      <w:pPr>
        <w:spacing w:after="160" w:line="360" w:lineRule="auto"/>
        <w:jc w:val="both"/>
        <w:rPr>
          <w:rFonts w:cstheme="minorHAnsi"/>
        </w:rPr>
      </w:pPr>
      <w:r>
        <w:rPr>
          <w:rFonts w:cstheme="minorHAnsi"/>
        </w:rPr>
        <w:t xml:space="preserve">Within the current context of the pandemic </w:t>
      </w:r>
      <w:r w:rsidRPr="007A4C25">
        <w:rPr>
          <w:rFonts w:cstheme="minorHAnsi"/>
        </w:rPr>
        <w:fldChar w:fldCharType="begin" w:fldLock="1"/>
      </w:r>
      <w:r w:rsidR="00EA4B53">
        <w:rPr>
          <w:rFonts w:cstheme="minorHAnsi"/>
        </w:rPr>
        <w:instrText>ADDIN CSL_CITATION {"citationItems":[{"id":"ITEM-1","itemData":{"DOI":"10.1136/bmj.m1932","abstract":"Too little, too late, too flawedThe UK government and its advisers were confident that they were “well prepared” when covid-19 swept East Asia. The four-pronged plan of 3 March to contain, delay, research, and mitigate was supported by all UK countries and backed, they claimed, by science.1 With over 30 000 hospital and community deaths by 12 May, where did the plan go wrong?2 What was the role of public health in the biggest public health crisis since the Spanish flu of 1918? And what now needs to be done?What is clear is that the UK’s response so far has neither been well prepared nor remotely adequate (see infographic). The weakness of the preparations was exposed in 2016 by Exercise Cygnus, a pandemic simulation, and the necessary remedial steps were not taken.3 On 30 January, the World Health Organization declared a public health emergency of international concern and governments were urged to prepare for global spread of covid-19 from East Asia.4 Detailed case studies followed showing the need for high levels of mechanical ventilation and high death rates.56 But the UK ignored these warnings.By 11 March, Italy had taken firm public health action and was in full lockdown, followed closely by Spain and France. The UK’s Scientific Advisory Group for Emergencies (SAGE) rejected lockdown, believing that the population would not accept it. SAGE, chaired by Patrick Vallance, the government’s chief scientific adviser, reports into the Civil Contingencies Committee (popularly known as Cobra), which coordinates the governmental response to national or regional emergencies.7One day later, the government inexplicably announced a move from the containment phase in its strategy to the delay phase.8 Chris Whitty, England’s chief medical officer, explained it was no longer necessary to identify every new case and …","author":[{"dropping-particle":"","family":"Scally","given":"Gabriel","non-dropping-particle":"","parse-names":false,"suffix":""},{"dropping-particle":"","family":"Jacobson","given":"Bobbie","non-dropping-particle":"","parse-names":false,"suffix":""},{"dropping-particle":"","family":"Abbasi","given":"Kamran","non-dropping-particle":"","parse-names":false,"suffix":""}],"container-title":"BMJ","id":"ITEM-1","issued":{"date-parts":[["2020","5","15"]]},"page":"m1932","title":"The UK’s public health response to covid-19","type":"article-journal","volume":"369"},"uris":["http://www.mendeley.com/documents/?uuid=c1a6ba59-9a7e-4f91-90a5-6793d70cb93a"]}],"mendeley":{"formattedCitation":"&lt;sup&gt;39&lt;/sup&gt;","plainTextFormattedCitation":"39","previouslyFormattedCitation":"&lt;sup&gt;39&lt;/sup&gt;"},"properties":{"noteIndex":0},"schema":"https://github.com/citation-style-language/schema/raw/master/csl-citation.json"}</w:instrText>
      </w:r>
      <w:r w:rsidRPr="007A4C25">
        <w:rPr>
          <w:rFonts w:cstheme="minorHAnsi"/>
        </w:rPr>
        <w:fldChar w:fldCharType="separate"/>
      </w:r>
      <w:r w:rsidR="00E25884" w:rsidRPr="00E25884">
        <w:rPr>
          <w:rFonts w:cstheme="minorHAnsi"/>
          <w:noProof/>
          <w:vertAlign w:val="superscript"/>
        </w:rPr>
        <w:t>39</w:t>
      </w:r>
      <w:r w:rsidRPr="007A4C25">
        <w:rPr>
          <w:rFonts w:cstheme="minorHAnsi"/>
        </w:rPr>
        <w:fldChar w:fldCharType="end"/>
      </w:r>
      <w:r w:rsidR="004B3968">
        <w:rPr>
          <w:rFonts w:cstheme="minorHAnsi"/>
        </w:rPr>
        <w:t>,</w:t>
      </w:r>
      <w:r>
        <w:rPr>
          <w:rFonts w:cstheme="minorHAnsi"/>
        </w:rPr>
        <w:t xml:space="preserve"> </w:t>
      </w:r>
      <w:r>
        <w:t>the</w:t>
      </w:r>
      <w:r w:rsidRPr="007A4C25">
        <w:t xml:space="preserve"> new Health and Care bill </w:t>
      </w:r>
      <w:r>
        <w:t xml:space="preserve">aims to accelerate the </w:t>
      </w:r>
      <w:r w:rsidRPr="007A4C25">
        <w:t>shift towards greater collaboration</w:t>
      </w:r>
      <w:r>
        <w:t xml:space="preserve"> with the</w:t>
      </w:r>
      <w:r w:rsidRPr="007A4C25">
        <w:t xml:space="preserve"> </w:t>
      </w:r>
      <w:r>
        <w:t xml:space="preserve">accompanying </w:t>
      </w:r>
      <w:r w:rsidRPr="007A4C25">
        <w:t>legislati</w:t>
      </w:r>
      <w:r>
        <w:t xml:space="preserve">on to </w:t>
      </w:r>
      <w:r w:rsidRPr="007A4C25">
        <w:t xml:space="preserve">accomplish much of what was put forward in the NHS Long Term Plan </w:t>
      </w:r>
      <w:r w:rsidRPr="007A4C25">
        <w:fldChar w:fldCharType="begin" w:fldLock="1"/>
      </w:r>
      <w:r w:rsidR="00EA4B53">
        <w:instrText>ADDIN CSL_CITATION {"citationItems":[{"id":"ITEM-1","itemData":{"ISBN":"9781528624077","author":[{"dropping-particle":"","family":"Department for Health &amp; Social Care","given":"","non-dropping-particle":"","parse-names":false,"suffix":""}],"id":"ITEM-1","issue":"February","issued":{"date-parts":[["2021"]]},"title":"Integration and Innovation : working together to improve health and social care for all","type":"report"},"uris":["http://www.mendeley.com/documents/?uuid=440880c0-2d4f-4565-a1e9-8843cbc0a1e8"]}],"mendeley":{"formattedCitation":"&lt;sup&gt;40&lt;/sup&gt;","plainTextFormattedCitation":"40","previouslyFormattedCitation":"&lt;sup&gt;40&lt;/sup&gt;"},"properties":{"noteIndex":0},"schema":"https://github.com/citation-style-language/schema/raw/master/csl-citation.json"}</w:instrText>
      </w:r>
      <w:r w:rsidRPr="007A4C25">
        <w:fldChar w:fldCharType="separate"/>
      </w:r>
      <w:r w:rsidR="00E25884" w:rsidRPr="00E25884">
        <w:rPr>
          <w:noProof/>
          <w:vertAlign w:val="superscript"/>
        </w:rPr>
        <w:t>40</w:t>
      </w:r>
      <w:r w:rsidRPr="007A4C25">
        <w:fldChar w:fldCharType="end"/>
      </w:r>
      <w:r>
        <w:t xml:space="preserve">. Proposals include </w:t>
      </w:r>
      <w:r w:rsidRPr="006057E6">
        <w:t>a duty for the NHS and l</w:t>
      </w:r>
      <w:r>
        <w:t xml:space="preserve">ocal authorities to collaborate with ICSs which are now statutory bodies comprised of ICS Health and Care Partnerships (bringing systems together to support integration) and an ICS NHS Body (responsible for day-to-day running of the ICS) that will include commissioning functions. The arrangements will allow NHS providers and CCGs (now ICS NHS Bodies) to make joint decisions via joint committees and committees-in-common arrangements, as well as bring in other partners. Competition law (Competition and Markets Authority) and regulatory functions promoting competition are removed, along with the need for competitive tendering if not providing value. </w:t>
      </w:r>
      <w:r>
        <w:rPr>
          <w:rFonts w:cstheme="minorHAnsi"/>
        </w:rPr>
        <w:t>T</w:t>
      </w:r>
      <w:r w:rsidRPr="001D4B33">
        <w:rPr>
          <w:rFonts w:cstheme="minorHAnsi"/>
        </w:rPr>
        <w:t xml:space="preserve">he </w:t>
      </w:r>
      <w:r>
        <w:rPr>
          <w:rFonts w:cstheme="minorHAnsi"/>
        </w:rPr>
        <w:t>introduction of</w:t>
      </w:r>
      <w:r w:rsidRPr="001D4B33">
        <w:rPr>
          <w:rFonts w:cstheme="minorHAnsi"/>
        </w:rPr>
        <w:t xml:space="preserve"> provider collaboration</w:t>
      </w:r>
      <w:r>
        <w:rPr>
          <w:rFonts w:cstheme="minorHAnsi"/>
        </w:rPr>
        <w:t xml:space="preserve"> </w:t>
      </w:r>
      <w:r w:rsidRPr="001D4B33">
        <w:rPr>
          <w:rFonts w:cstheme="minorHAnsi"/>
        </w:rPr>
        <w:t xml:space="preserve">reviews (PCRs) </w:t>
      </w:r>
      <w:r w:rsidR="00D91907">
        <w:rPr>
          <w:rFonts w:cstheme="minorHAnsi"/>
        </w:rPr>
        <w:t xml:space="preserve">by CQC </w:t>
      </w:r>
      <w:r>
        <w:rPr>
          <w:rFonts w:cstheme="minorHAnsi"/>
        </w:rPr>
        <w:t>to encourage</w:t>
      </w:r>
      <w:r w:rsidRPr="001D4B33">
        <w:rPr>
          <w:rFonts w:cstheme="minorHAnsi"/>
        </w:rPr>
        <w:t xml:space="preserve"> learning about health and social care </w:t>
      </w:r>
      <w:r>
        <w:rPr>
          <w:rFonts w:cstheme="minorHAnsi"/>
        </w:rPr>
        <w:t xml:space="preserve">collaboration </w:t>
      </w:r>
      <w:r w:rsidRPr="006B3C7A">
        <w:rPr>
          <w:rFonts w:cstheme="minorHAnsi"/>
        </w:rPr>
        <w:t>provide</w:t>
      </w:r>
      <w:r>
        <w:rPr>
          <w:rFonts w:cstheme="minorHAnsi"/>
        </w:rPr>
        <w:t>s a</w:t>
      </w:r>
      <w:r w:rsidRPr="006B3C7A">
        <w:rPr>
          <w:rFonts w:cstheme="minorHAnsi"/>
        </w:rPr>
        <w:t xml:space="preserve"> </w:t>
      </w:r>
      <w:r>
        <w:rPr>
          <w:rFonts w:cstheme="minorHAnsi"/>
        </w:rPr>
        <w:t xml:space="preserve">further </w:t>
      </w:r>
      <w:r w:rsidRPr="006B3C7A">
        <w:rPr>
          <w:rFonts w:cstheme="minorHAnsi"/>
        </w:rPr>
        <w:t>statement</w:t>
      </w:r>
      <w:r>
        <w:rPr>
          <w:rFonts w:cstheme="minorHAnsi"/>
        </w:rPr>
        <w:t xml:space="preserve"> </w:t>
      </w:r>
      <w:r w:rsidRPr="006B3C7A">
        <w:rPr>
          <w:rFonts w:cstheme="minorHAnsi"/>
        </w:rPr>
        <w:t xml:space="preserve">of intent with regards to </w:t>
      </w:r>
      <w:r>
        <w:rPr>
          <w:rFonts w:cstheme="minorHAnsi"/>
        </w:rPr>
        <w:t>how regulation can facilitate collaboration and</w:t>
      </w:r>
      <w:r w:rsidRPr="006B3C7A">
        <w:rPr>
          <w:rFonts w:cstheme="minorHAnsi"/>
        </w:rPr>
        <w:t xml:space="preserve"> partnership working in the delivery of services</w:t>
      </w:r>
      <w:r>
        <w:rPr>
          <w:rFonts w:cstheme="minorHAnsi"/>
        </w:rPr>
        <w:t xml:space="preserve"> </w:t>
      </w:r>
      <w:r>
        <w:rPr>
          <w:rFonts w:cstheme="minorHAnsi"/>
        </w:rPr>
        <w:fldChar w:fldCharType="begin" w:fldLock="1"/>
      </w:r>
      <w:r w:rsidR="00EA4B53">
        <w:rPr>
          <w:rFonts w:cstheme="minorHAnsi"/>
        </w:rPr>
        <w:instrText>ADDIN CSL_CITATION {"citationItems":[{"id":"ITEM-1","itemData":{"author":[{"dropping-particle":"","family":"Care Quality Commission","given":"","non-dropping-particle":"","parse-names":false,"suffix":""}],"id":"ITEM-1","issued":{"date-parts":[["2021"]]},"title":"A new strategy for the changing world of health and social care","type":"report"},"uris":["http://www.mendeley.com/documents/?uuid=03f4653d-e19b-4b0f-a351-a6173568459a"]}],"mendeley":{"formattedCitation":"&lt;sup&gt;41&lt;/sup&gt;","plainTextFormattedCitation":"41","previouslyFormattedCitation":"&lt;sup&gt;41&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41</w:t>
      </w:r>
      <w:r>
        <w:rPr>
          <w:rFonts w:cstheme="minorHAnsi"/>
        </w:rPr>
        <w:fldChar w:fldCharType="end"/>
      </w:r>
      <w:r>
        <w:rPr>
          <w:rFonts w:cstheme="minorHAnsi"/>
        </w:rPr>
        <w:t xml:space="preserve">. </w:t>
      </w:r>
    </w:p>
    <w:p w14:paraId="73902F30" w14:textId="56F0D599" w:rsidR="002B7278" w:rsidRDefault="002B7278" w:rsidP="00525BE0">
      <w:pPr>
        <w:spacing w:line="360" w:lineRule="auto"/>
        <w:jc w:val="both"/>
      </w:pPr>
      <w:r>
        <w:t>The formation of a mandated ICS agenda raises questions about ICSs potential to undermine existing collaborative relationships and their susceptibility to enacting hierarchy-based governance and behaviours rather than ‘place-based collaboration’</w:t>
      </w:r>
      <w:r w:rsidR="00DE75FA">
        <w:t xml:space="preserve"> </w:t>
      </w:r>
      <w:r w:rsidR="00DE75FA">
        <w:fldChar w:fldCharType="begin" w:fldLock="1"/>
      </w:r>
      <w:r w:rsidR="00EA4B53">
        <w:instrText>ADDIN CSL_CITATION {"citationItems":[{"id":"ITEM-1","itemData":{"author":[{"dropping-particle":"","family":"Ham","given":"Chris","non-dropping-particle":"","parse-names":false,"suffix":""}],"container-title":"Health Service Journal","id":"ITEM-1","issued":{"date-parts":[["2021"]]},"title":"ICSs should focus on relationships as much as governance","type":"article-newspaper"},"uris":["http://www.mendeley.com/documents/?uuid=cc5054f8-e00f-4360-bef3-8f72bf5fedcc"]}],"mendeley":{"formattedCitation":"&lt;sup&gt;42&lt;/sup&gt;","plainTextFormattedCitation":"42","previouslyFormattedCitation":"&lt;sup&gt;42&lt;/sup&gt;"},"properties":{"noteIndex":0},"schema":"https://github.com/citation-style-language/schema/raw/master/csl-citation.json"}</w:instrText>
      </w:r>
      <w:r w:rsidR="00DE75FA">
        <w:fldChar w:fldCharType="separate"/>
      </w:r>
      <w:r w:rsidR="00E25884" w:rsidRPr="00E25884">
        <w:rPr>
          <w:noProof/>
          <w:vertAlign w:val="superscript"/>
        </w:rPr>
        <w:t>42</w:t>
      </w:r>
      <w:r w:rsidR="00DE75FA">
        <w:fldChar w:fldCharType="end"/>
      </w:r>
      <w:r w:rsidR="00DE75FA">
        <w:t xml:space="preserve">. </w:t>
      </w:r>
      <w:r>
        <w:t xml:space="preserve">Emerging findings from ICS so far point to challenges ahead in developing the relationships, trust, accountability and authority for successful joint working </w:t>
      </w:r>
      <w:r>
        <w:fldChar w:fldCharType="begin" w:fldLock="1"/>
      </w:r>
      <w:r w:rsidR="00EA4B53">
        <w:instrText>ADDIN CSL_CITATION {"citationItems":[{"id":"ITEM-1","itemData":{"author":[{"dropping-particle":"","family":"Carnall Farrar","given":"","non-dropping-particle":"","parse-names":false,"suffix":""}],"id":"ITEM-1","issue":"November","issued":{"date-parts":[["2020"]]},"title":"BLMK ICS stocktake","type":"report"},"uris":["http://www.mendeley.com/documents/?uuid=8ff9176d-5d48-4324-b8a3-8789c79370d1"]}],"mendeley":{"formattedCitation":"&lt;sup&gt;43&lt;/sup&gt;","plainTextFormattedCitation":"43","previouslyFormattedCitation":"&lt;sup&gt;43&lt;/sup&gt;"},"properties":{"noteIndex":0},"schema":"https://github.com/citation-style-language/schema/raw/master/csl-citation.json"}</w:instrText>
      </w:r>
      <w:r>
        <w:fldChar w:fldCharType="separate"/>
      </w:r>
      <w:r w:rsidR="00E25884" w:rsidRPr="00E25884">
        <w:rPr>
          <w:noProof/>
          <w:vertAlign w:val="superscript"/>
        </w:rPr>
        <w:t>43</w:t>
      </w:r>
      <w:r>
        <w:fldChar w:fldCharType="end"/>
      </w:r>
      <w:r>
        <w:t xml:space="preserve">. A similar picture is painted with regards to primary care networks (PCNs) with limited progress being reported </w:t>
      </w:r>
      <w:r>
        <w:fldChar w:fldCharType="begin" w:fldLock="1"/>
      </w:r>
      <w:r w:rsidR="00EA4B53">
        <w:instrText>ADDIN CSL_CITATION {"citationItems":[{"id":"ITEM-1","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-1","issue":"November","issued":{"date-parts":[["2020"]]},"title":"HS &amp; DR Rapid Evaluation Centre Topic Report Early evidence of the development of primary care networks in England: a rapid evaluation study","type":"report"},"uris":["http://www.mendeley.com/documents/?uuid=d8ac51e3-1c56-426a-b71e-68e97e21b386"]}],"mendeley":{"formattedCitation":"&lt;sup&gt;37&lt;/sup&gt;","plainTextFormattedCitation":"37","previouslyFormattedCitation":"&lt;sup&gt;37&lt;/sup&gt;"},"properties":{"noteIndex":0},"schema":"https://github.com/citation-style-language/schema/raw/master/csl-citation.json"}</w:instrText>
      </w:r>
      <w:r>
        <w:fldChar w:fldCharType="separate"/>
      </w:r>
      <w:r w:rsidR="00E25884" w:rsidRPr="00E25884">
        <w:rPr>
          <w:noProof/>
          <w:vertAlign w:val="superscript"/>
        </w:rPr>
        <w:t>37</w:t>
      </w:r>
      <w:r>
        <w:fldChar w:fldCharType="end"/>
      </w:r>
      <w:r>
        <w:t xml:space="preserve">. Concerns have also been raised about the regulatory implications of the policy proposals. For example, with the current inspection regime focused on individual organisations </w:t>
      </w:r>
      <w:r w:rsidR="00DE75FA">
        <w:fldChar w:fldCharType="begin" w:fldLock="1"/>
      </w:r>
      <w:r w:rsidR="00EA4B53">
        <w:instrText>ADDIN CSL_CITATION {"citationItems":[{"id":"ITEM-1","itemData":{"author":[{"dropping-particle":"","family":"NHS Employers","given":"","non-dropping-particle":"","parse-names":false,"suffix":""}],"id":"ITEM-1","issued":{"date-parts":[["2017"]]},"page":"1-56","title":"Trustworthy Collaboration","type":"article-journal"},"uris":["http://www.mendeley.com/documents/?uuid=419502eb-b01f-41ca-aec3-bc02a63dec92"]}],"mendeley":{"formattedCitation":"&lt;sup&gt;44&lt;/sup&gt;","plainTextFormattedCitation":"44","previouslyFormattedCitation":"&lt;sup&gt;44&lt;/sup&gt;"},"properties":{"noteIndex":0},"schema":"https://github.com/citation-style-language/schema/raw/master/csl-citation.json"}</w:instrText>
      </w:r>
      <w:r w:rsidR="00DE75FA">
        <w:fldChar w:fldCharType="separate"/>
      </w:r>
      <w:r w:rsidR="00E25884" w:rsidRPr="00E25884">
        <w:rPr>
          <w:noProof/>
          <w:vertAlign w:val="superscript"/>
        </w:rPr>
        <w:t>44</w:t>
      </w:r>
      <w:r w:rsidR="00DE75FA">
        <w:fldChar w:fldCharType="end"/>
      </w:r>
      <w:r w:rsidR="00DE75FA">
        <w:t xml:space="preserve">, </w:t>
      </w:r>
      <w:r>
        <w:t xml:space="preserve">it is not at all clear how ICSs will be scrutinised and performance rated </w:t>
      </w:r>
      <w:r>
        <w:fldChar w:fldCharType="begin" w:fldLock="1"/>
      </w:r>
      <w:r w:rsidR="00EA4B53">
        <w:instrText>ADDIN CSL_CITATION {"citationItems":[{"id":"ITEM-1","itemData":{"author":[{"dropping-particle":"","family":"Brennan","given":"Sharon","non-dropping-particle":"","parse-names":false,"suffix":""}],"container-title":"Health Service Journal","id":"ITEM-1","issued":{"date-parts":[["2021"]]},"title":"Integrated care systems to be CQC-rated, says Hancock","type":"article-magazine"},"uris":["http://www.mendeley.com/documents/?uuid=83cb3fa2-5188-49c3-a760-790b4607a588"]}],"mendeley":{"formattedCitation":"&lt;sup&gt;45&lt;/sup&gt;","plainTextFormattedCitation":"45","previouslyFormattedCitation":"&lt;sup&gt;45&lt;/sup&gt;"},"properties":{"noteIndex":0},"schema":"https://github.com/citation-style-language/schema/raw/master/csl-citation.json"}</w:instrText>
      </w:r>
      <w:r>
        <w:fldChar w:fldCharType="separate"/>
      </w:r>
      <w:r w:rsidR="00E25884" w:rsidRPr="00E25884">
        <w:rPr>
          <w:noProof/>
          <w:vertAlign w:val="superscript"/>
        </w:rPr>
        <w:t>45</w:t>
      </w:r>
      <w:r>
        <w:fldChar w:fldCharType="end"/>
      </w:r>
      <w:r>
        <w:t xml:space="preserve">. </w:t>
      </w:r>
      <w:r w:rsidRPr="0004227C">
        <w:t xml:space="preserve">Sanderson et al (2020) note that while the intention of STPs was to create conditions for common pool resources at a ‘system’ level, local actors </w:t>
      </w:r>
      <w:r>
        <w:t>often struggled</w:t>
      </w:r>
      <w:r w:rsidRPr="0004227C">
        <w:t xml:space="preserve"> to agree local rules citing conflict</w:t>
      </w:r>
      <w:r>
        <w:t>s</w:t>
      </w:r>
      <w:r w:rsidRPr="0004227C">
        <w:t xml:space="preserve"> with the continued regulatory focus on the financial sustainability of individual organisations</w:t>
      </w:r>
      <w:r w:rsidR="00166053">
        <w:t xml:space="preserve"> </w:t>
      </w:r>
      <w:r w:rsidR="00166053">
        <w:fldChar w:fldCharType="begin" w:fldLock="1"/>
      </w:r>
      <w:r w:rsidR="00EA4B53">
        <w:instrText>ADDIN CSL_CITATION {"citationItems":[{"id":"ITEM-1","itemData":{"ISSN":"0277-9536","author":[{"dropping-particle":"","family":"Sanderson","given":"Marie","non-dropping-particle":"","parse-names":false,"suffix":""},{"dropping-particle":"","family":"Allen","given":"Pauline","non-dropping-particle":"","parse-names":false,"suffix":""},{"dropping-particle":"","family":"Moran","given":"Valerie","non-dropping-particle":"","parse-names":false,"suffix":""},{"dropping-particle":"","family":"McDermott","given":"Imelda","non-dropping-particle":"","parse-names":false,"suffix":""},{"dropping-particle":"","family":"Osipovic","given":"Dorota","non-dropping-particle":"","parse-names":false,"suffix":""}],"container-title":"Social Science &amp; Medicine","id":"ITEM-1","issued":{"date-parts":[["2020"]]},"page":"112888","publisher":"Elsevier","title":"Agreeing the allocation of scarce resources in the English NHS: Ostrom, common pool resources and the role of the state","type":"article-journal","volume":"250"},"uris":["http://www.mendeley.com/documents/?uuid=2be0d508-3124-4684-bf13-c4fea1306e5c"]}],"mendeley":{"formattedCitation":"&lt;sup&gt;46&lt;/sup&gt;","plainTextFormattedCitation":"46","previouslyFormattedCitation":"&lt;sup&gt;46&lt;/sup&gt;"},"properties":{"noteIndex":0},"schema":"https://github.com/citation-style-language/schema/raw/master/csl-citation.json"}</w:instrText>
      </w:r>
      <w:r w:rsidR="00166053">
        <w:fldChar w:fldCharType="separate"/>
      </w:r>
      <w:r w:rsidR="00E25884" w:rsidRPr="00E25884">
        <w:rPr>
          <w:noProof/>
          <w:vertAlign w:val="superscript"/>
        </w:rPr>
        <w:t>46</w:t>
      </w:r>
      <w:r w:rsidR="00166053">
        <w:fldChar w:fldCharType="end"/>
      </w:r>
      <w:r w:rsidRPr="0004227C">
        <w:t>.</w:t>
      </w:r>
    </w:p>
    <w:p w14:paraId="7D6F289D" w14:textId="77777777" w:rsidR="002B7278" w:rsidRDefault="002B7278" w:rsidP="00525BE0">
      <w:pPr>
        <w:spacing w:after="160" w:line="360" w:lineRule="auto"/>
        <w:jc w:val="both"/>
        <w:rPr>
          <w:rFonts w:eastAsiaTheme="majorEastAsia" w:cstheme="minorHAnsi"/>
          <w:color w:val="2F5496" w:themeColor="accent1" w:themeShade="BF"/>
          <w:sz w:val="26"/>
          <w:szCs w:val="26"/>
        </w:rPr>
      </w:pPr>
    </w:p>
    <w:p w14:paraId="2C7609B2" w14:textId="77777777" w:rsidR="002B7278" w:rsidRPr="00CC2EA9" w:rsidRDefault="002B7278" w:rsidP="00525BE0">
      <w:pPr>
        <w:pStyle w:val="Heading2"/>
        <w:jc w:val="both"/>
      </w:pPr>
      <w:bookmarkStart w:id="16" w:name="_Toc85066404"/>
      <w:r w:rsidRPr="00012E09">
        <w:t>Research rationale</w:t>
      </w:r>
      <w:bookmarkEnd w:id="16"/>
    </w:p>
    <w:p w14:paraId="475EB27A" w14:textId="77777777" w:rsidR="002B7278" w:rsidRDefault="002B7278" w:rsidP="00525BE0">
      <w:pPr>
        <w:spacing w:line="360" w:lineRule="auto"/>
        <w:jc w:val="both"/>
        <w:rPr>
          <w:rFonts w:cstheme="minorHAnsi"/>
        </w:rPr>
      </w:pPr>
    </w:p>
    <w:p w14:paraId="16F1D0BC" w14:textId="0AA2AB80" w:rsidR="002B7278" w:rsidRDefault="002B7278" w:rsidP="00525BE0">
      <w:pPr>
        <w:spacing w:line="360" w:lineRule="auto"/>
        <w:jc w:val="both"/>
        <w:rPr>
          <w:rFonts w:cstheme="minorHAnsi"/>
        </w:rPr>
      </w:pPr>
      <w:r w:rsidRPr="00012E09">
        <w:rPr>
          <w:rFonts w:cstheme="minorHAnsi"/>
        </w:rPr>
        <w:t xml:space="preserve">Despite </w:t>
      </w:r>
      <w:r>
        <w:rPr>
          <w:rFonts w:cstheme="minorHAnsi"/>
        </w:rPr>
        <w:t xml:space="preserve">the burgeoning evidence base </w:t>
      </w:r>
      <w:r w:rsidRPr="00012E09">
        <w:rPr>
          <w:rFonts w:cstheme="minorHAnsi"/>
        </w:rPr>
        <w:t xml:space="preserve">and </w:t>
      </w:r>
      <w:r>
        <w:rPr>
          <w:rFonts w:cstheme="minorHAnsi"/>
        </w:rPr>
        <w:t>increased policy</w:t>
      </w:r>
      <w:r w:rsidRPr="00012E09">
        <w:rPr>
          <w:rFonts w:cstheme="minorHAnsi"/>
        </w:rPr>
        <w:t xml:space="preserve"> emphasis on collaborative working, </w:t>
      </w:r>
      <w:r>
        <w:rPr>
          <w:rFonts w:cstheme="minorHAnsi"/>
        </w:rPr>
        <w:t xml:space="preserve"> notable gaps in knowledge persist </w:t>
      </w:r>
      <w:r>
        <w:rPr>
          <w:rFonts w:cstheme="minorHAnsi"/>
        </w:rPr>
        <w:fldChar w:fldCharType="begin" w:fldLock="1"/>
      </w:r>
      <w:r w:rsidR="00EA4B53">
        <w:rPr>
          <w:rFonts w:cstheme="minorHAnsi"/>
        </w:rPr>
        <w:instrText>ADDIN CSL_CITATION {"citationItems":[{"id":"ITEM-1","itemData":{"ISSN":"0952-0767","author":[{"dropping-particle":"","family":"Ball","given":"Rob","non-dropping-particle":"","parse-names":false,"suffix":""},{"dropping-particle":"","family":"Forbes","given":"Tom","non-dropping-particle":"","parse-names":false,"suffix":""},{"dropping-particle":"","family":"Parris","given":"Maxine","non-dropping-particle":"","parse-names":false,"suffix":""},{"dropping-particle":"","family":"Forsyth","given":"Lynn","non-dropping-particle":"","parse-names":false,"suffix":""}],"container-title":"Public Policy and Administration","id":"ITEM-1","issue":"4","issued":{"date-parts":[["2010"]]},"page":"387-407","publisher":"SAGE Publications Sage UK: London, England","title":"The evaluation of partnership working in the delivery of health and social care","type":"article-journal","volume":"25"},"uris":["http://www.mendeley.com/documents/?uuid=e54f26e0-2d73-4ebc-ba66-ddbd0327329b"]},{"id":"ITEM-2","itemData":{"DOI":"10.1111/padm.12048","ISSN":"14679299","abstract":"Much of what has been written about collaboration treats it instrumentally as a means-ends tool of improvement. However, despite considerable collaborative activity there is little evidence that clearly links collaboration to improvements in service-user outcomes or reduced inequalities. In this article we draw on literature from critical public policy and governance studies to recast collaboration as an expression of cultural performance associated with a rather different set of values and measures. We argue that understanding collaboration in the round means that we need to pay attention to all dimensions of performance including cultural performance. We argue that this in turn helps to explain the persistent appeal of collaboration amongst policy makers and practitioners. © 2013 John Wiley &amp; Sons Ltd.","author":[{"dropping-particle":"","family":"Dickinson","given":"Helen","non-dropping-particle":"","parse-names":false,"suffix":""},{"dropping-particle":"","family":"Sullivan","given":"Helen","non-dropping-particle":"","parse-names":false,"suffix":""}],"container-title":"Public Administration","id":"ITEM-2","issue":"1","issued":{"date-parts":[["2014"]]},"page":"161-177","title":"Towards a general theory of collaborative performance: The importance of efficacy and agency","type":"article-journal","volume":"92"},"uris":["http://www.mendeley.com/documents/?uuid=4634c9cd-08ce-43d3-8271-9a9e3d4a1850"]},{"id":"ITEM-3","itemData":{"ISSN":"1471-9037","author":[{"dropping-particle":"","family":"Dickinson","given":"Helen","non-dropping-particle":"","parse-names":false,"suffix":""},{"dropping-particle":"","family":"Glasby","given":"Jon","non-dropping-particle":"","parse-names":false,"suffix":""}],"container-title":"Public Management Review","id":"ITEM-3","issue":"6","issued":{"date-parts":[["2010"]]},"page":"811-828","publisher":"Taylor &amp; Francis","title":"‘Why Partnership Working Doesn't Work’ Pitfalls, problems and possibilities in English health and social care","type":"article-journal","volume":"12"},"uris":["http://www.mendeley.com/documents/?uuid=6c0a5c3d-f9fa-42ec-80e8-50fdcb45a5cf"]}],"mendeley":{"formattedCitation":"&lt;sup&gt;17,47,48&lt;/sup&gt;","plainTextFormattedCitation":"17,47,48","previouslyFormattedCitation":"&lt;sup&gt;17,47,48&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17,47,48</w:t>
      </w:r>
      <w:r>
        <w:rPr>
          <w:rFonts w:cstheme="minorHAnsi"/>
        </w:rPr>
        <w:fldChar w:fldCharType="end"/>
      </w:r>
      <w:r>
        <w:rPr>
          <w:rFonts w:cstheme="minorHAnsi"/>
        </w:rPr>
        <w:t>. Criticisms have been lodged at the</w:t>
      </w:r>
      <w:r w:rsidRPr="00012E09">
        <w:rPr>
          <w:rFonts w:cstheme="minorHAnsi"/>
        </w:rPr>
        <w:t xml:space="preserve"> limited </w:t>
      </w:r>
      <w:r>
        <w:rPr>
          <w:rFonts w:cstheme="minorHAnsi"/>
        </w:rPr>
        <w:t xml:space="preserve">number of </w:t>
      </w:r>
      <w:r w:rsidRPr="00012E09">
        <w:rPr>
          <w:rFonts w:cstheme="minorHAnsi"/>
        </w:rPr>
        <w:t xml:space="preserve">actionable insights </w:t>
      </w:r>
      <w:r>
        <w:rPr>
          <w:rFonts w:cstheme="minorHAnsi"/>
        </w:rPr>
        <w:t>generated from</w:t>
      </w:r>
      <w:r w:rsidRPr="00012E09">
        <w:rPr>
          <w:rFonts w:cstheme="minorHAnsi"/>
        </w:rPr>
        <w:t xml:space="preserve"> integrated care policies</w:t>
      </w:r>
      <w:r>
        <w:rPr>
          <w:rFonts w:cstheme="minorHAnsi"/>
        </w:rPr>
        <w:t xml:space="preserve"> </w:t>
      </w:r>
      <w:r>
        <w:rPr>
          <w:rFonts w:cstheme="minorHAnsi"/>
        </w:rPr>
        <w:fldChar w:fldCharType="begin" w:fldLock="1"/>
      </w:r>
      <w:r w:rsidR="00EA4B53">
        <w:rPr>
          <w:rFonts w:cstheme="minorHAnsi"/>
        </w:rPr>
        <w:instrText>ADDIN CSL_CITATION {"citationItems":[{"id":"ITEM-1","itemData":{"ISSN":"1476-9018","author":[{"dropping-particle":"","family":"Lewis","given":"Richard Q","non-dropping-particle":"","parse-names":false,"suffix":""},{"dropping-particle":"","family":"Ling","given":"Tom","non-dropping-particle":"","parse-names":false,"suffix":""}],"container-title":"Journal of Integrated Care","id":"ITEM-1","issued":{"date-parts":[["2019"]]},"publisher":"Emerald Publishing Limited","title":"Integrated care pilots in England revisited","type":"article-journal"},"uris":["http://www.mendeley.com/documents/?uuid=d216a0dd-5e0d-454f-9342-b6b2daea3412"]}],"mendeley":{"formattedCitation":"&lt;sup&gt;49&lt;/sup&gt;","plainTextFormattedCitation":"49","previouslyFormattedCitation":"&lt;sup&gt;49&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49</w:t>
      </w:r>
      <w:r>
        <w:rPr>
          <w:rFonts w:cstheme="minorHAnsi"/>
        </w:rPr>
        <w:fldChar w:fldCharType="end"/>
      </w:r>
      <w:r>
        <w:rPr>
          <w:rFonts w:cstheme="minorHAnsi"/>
        </w:rPr>
        <w:t xml:space="preserve"> and the failure</w:t>
      </w:r>
      <w:r w:rsidRPr="00012E09">
        <w:rPr>
          <w:rFonts w:cstheme="minorHAnsi"/>
        </w:rPr>
        <w:t xml:space="preserve"> to demonstrate successful outcomes for staff, users, financial sponsors or other stakeholders </w:t>
      </w:r>
      <w:r>
        <w:rPr>
          <w:rFonts w:cstheme="minorHAnsi"/>
        </w:rPr>
        <w:fldChar w:fldCharType="begin" w:fldLock="1"/>
      </w:r>
      <w:r w:rsidR="00EA4B53">
        <w:rPr>
          <w:rFonts w:cstheme="minorHAnsi"/>
        </w:rPr>
        <w:instrText>ADDIN CSL_CITATION {"citationItems":[{"id":"ITEM-1","itemData":{"DOI":"10.1111/j.1365-2524.2004.00500.x","ISSN":"09660410","abstract":"Partnership working has become a central feature of British social welfare policy since 1997. Although this development is applicable to all areas of public welfare, nowhere is it more evident than in the planning and provision of care that overlaps health and social services. The literature survey described in the present paper focused on research examining the impact of partnership working in these areas to assess the evidence concerning its effects and to investigate how partnership 'success' is conceptualised. The literature conceptualised the success of partnerships in two main ways: (1) process issues, such as how well the partners work together in addressing joint aims and the long-term sustainability of the partnership; and (2) outcome issues, including changes in service delivery, and subsequent effects on the health or well-being of service users. The authors found that research into partnerships has centred heavily on process issues, while much less emphasis has been given to outcome success. If social welfare policy is to be more concerned with improving service delivery and user outcomes than with the internal mechanics of administrative structures and decision-making, this is a knowledge gap that urgently needs to be filled.","author":[{"dropping-particle":"","family":"Dowling","given":"Bernard","non-dropping-particle":"","parse-names":false,"suffix":""},{"dropping-particle":"","family":"Powell","given":"Martin","non-dropping-particle":"","parse-names":false,"suffix":""},{"dropping-particle":"","family":"Glendinning","given":"Caroline","non-dropping-particle":"","parse-names":false,"suffix":""}],"container-title":"Health and Social Care in the Community","id":"ITEM-1","issue":"4","issued":{"date-parts":[["2004"]]},"page":"309-317","title":"Conceptualising successful partnerships","type":"article-journal","volume":"12"},"uris":["http://www.mendeley.com/documents/?uuid=b53b7fb5-8b37-4e2f-93ca-e414db9fd41a"]}],"mendeley":{"formattedCitation":"&lt;sup&gt;21&lt;/sup&gt;","plainTextFormattedCitation":"21","previouslyFormattedCitation":"&lt;sup&gt;21&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21</w:t>
      </w:r>
      <w:r>
        <w:rPr>
          <w:rFonts w:cstheme="minorHAnsi"/>
        </w:rPr>
        <w:fldChar w:fldCharType="end"/>
      </w:r>
      <w:r w:rsidRPr="00012E09">
        <w:rPr>
          <w:rFonts w:cstheme="minorHAnsi"/>
        </w:rPr>
        <w:t>.</w:t>
      </w:r>
      <w:r>
        <w:rPr>
          <w:rFonts w:cstheme="minorHAnsi"/>
        </w:rPr>
        <w:t xml:space="preserve"> </w:t>
      </w:r>
      <w:r w:rsidRPr="00817DFF">
        <w:rPr>
          <w:rFonts w:cstheme="minorHAnsi"/>
        </w:rPr>
        <w:t>Collaboration often falls short of expectations, so much so that its continued appeal to policymakers has been likened to ‘an expression of faith’ rather than driven by tangible evidence</w:t>
      </w:r>
      <w:r w:rsidR="0030660A">
        <w:rPr>
          <w:rFonts w:cstheme="minorHAnsi"/>
        </w:rPr>
        <w:t xml:space="preserve"> </w:t>
      </w:r>
      <w:r w:rsidR="0030660A">
        <w:rPr>
          <w:rFonts w:cstheme="minorHAnsi"/>
        </w:rPr>
        <w:fldChar w:fldCharType="begin" w:fldLock="1"/>
      </w:r>
      <w:r w:rsidR="00EA4B53">
        <w:rPr>
          <w:rFonts w:cstheme="minorHAnsi"/>
        </w:rPr>
        <w:instrText>ADDIN CSL_CITATION {"citationItems":[{"id":"ITEM-1","itemData":{"ISSN":"0954-0962","author":[{"dropping-particle":"","family":"Sullivan","given":"Helen","non-dropping-particle":"","parse-names":false,"suffix":""},{"dropping-particle":"","family":"Williams","given":"Paul","non-dropping-particle":"","parse-names":false,"suffix":""},{"dropping-particle":"","family":"Marchington","given":"Mick","non-dropping-particle":"","parse-names":false,"suffix":""},{"dropping-particle":"","family":"Knight","given":"Louise","non-dropping-particle":"","parse-names":false,"suffix":""}],"container-title":"Public Money &amp; Management","id":"ITEM-1","issue":"2","issued":{"date-parts":[["2013"]]},"page":"123-130","publisher":"Taylor &amp; Francis","title":"Collaborative futures: discursive realignments in austere times","type":"article-journal","volume":"33"},"uris":["http://www.mendeley.com/documents/?uuid=67b7ef2d-8236-4936-9f35-4edf7c9d50be"]}],"mendeley":{"formattedCitation":"&lt;sup&gt;50&lt;/sup&gt;","plainTextFormattedCitation":"50","previouslyFormattedCitation":"&lt;sup&gt;50&lt;/sup&gt;"},"properties":{"noteIndex":0},"schema":"https://github.com/citation-style-language/schema/raw/master/csl-citation.json"}</w:instrText>
      </w:r>
      <w:r w:rsidR="0030660A">
        <w:rPr>
          <w:rFonts w:cstheme="minorHAnsi"/>
        </w:rPr>
        <w:fldChar w:fldCharType="separate"/>
      </w:r>
      <w:r w:rsidR="00E25884" w:rsidRPr="00E25884">
        <w:rPr>
          <w:rFonts w:cstheme="minorHAnsi"/>
          <w:noProof/>
          <w:vertAlign w:val="superscript"/>
        </w:rPr>
        <w:t>50</w:t>
      </w:r>
      <w:r w:rsidR="0030660A">
        <w:rPr>
          <w:rFonts w:cstheme="minorHAnsi"/>
        </w:rPr>
        <w:fldChar w:fldCharType="end"/>
      </w:r>
      <w:r w:rsidR="0030660A">
        <w:rPr>
          <w:rFonts w:cstheme="minorHAnsi"/>
        </w:rPr>
        <w:t>.</w:t>
      </w:r>
      <w:r w:rsidRPr="00817DFF">
        <w:rPr>
          <w:rFonts w:cstheme="minorHAnsi"/>
        </w:rPr>
        <w:t xml:space="preserve"> </w:t>
      </w:r>
    </w:p>
    <w:p w14:paraId="6283262F" w14:textId="07931B05" w:rsidR="00403578" w:rsidRDefault="002B7278" w:rsidP="00525BE0">
      <w:pPr>
        <w:spacing w:line="360" w:lineRule="auto"/>
        <w:jc w:val="both"/>
        <w:rPr>
          <w:rFonts w:cstheme="minorHAnsi"/>
        </w:rPr>
      </w:pPr>
      <w:r>
        <w:rPr>
          <w:rFonts w:cstheme="minorHAnsi"/>
        </w:rPr>
        <w:t>T</w:t>
      </w:r>
      <w:r w:rsidRPr="005723EE">
        <w:rPr>
          <w:rFonts w:cstheme="minorHAnsi"/>
        </w:rPr>
        <w:t xml:space="preserve">he ambiguities and uncertainties </w:t>
      </w:r>
      <w:r>
        <w:rPr>
          <w:rFonts w:cstheme="minorHAnsi"/>
        </w:rPr>
        <w:t>surrounding</w:t>
      </w:r>
      <w:r w:rsidRPr="005723EE">
        <w:rPr>
          <w:rFonts w:cstheme="minorHAnsi"/>
        </w:rPr>
        <w:t xml:space="preserve"> the nature and impact of collaboration </w:t>
      </w:r>
      <w:r>
        <w:rPr>
          <w:rFonts w:cstheme="minorHAnsi"/>
        </w:rPr>
        <w:t xml:space="preserve">mean that achieving </w:t>
      </w:r>
      <w:r w:rsidRPr="002F0FA9">
        <w:rPr>
          <w:rFonts w:cstheme="minorHAnsi"/>
          <w:i/>
          <w:iCs/>
        </w:rPr>
        <w:t>ex ante</w:t>
      </w:r>
      <w:r w:rsidRPr="005723EE">
        <w:rPr>
          <w:rFonts w:cstheme="minorHAnsi"/>
        </w:rPr>
        <w:t xml:space="preserve"> objectives </w:t>
      </w:r>
      <w:r>
        <w:rPr>
          <w:rFonts w:cstheme="minorHAnsi"/>
        </w:rPr>
        <w:t>is unlikely given that</w:t>
      </w:r>
      <w:r w:rsidRPr="005723EE">
        <w:rPr>
          <w:rFonts w:cstheme="minorHAnsi"/>
        </w:rPr>
        <w:t xml:space="preserve"> ‘the act of collaborating with others often results in the </w:t>
      </w:r>
      <w:r>
        <w:rPr>
          <w:rFonts w:cstheme="minorHAnsi"/>
        </w:rPr>
        <w:t xml:space="preserve">interactive </w:t>
      </w:r>
      <w:r w:rsidRPr="005723EE">
        <w:rPr>
          <w:rFonts w:cstheme="minorHAnsi"/>
        </w:rPr>
        <w:t>adaptation of perceptions and performance goals</w:t>
      </w:r>
      <w:r>
        <w:rPr>
          <w:rFonts w:cstheme="minorHAnsi"/>
        </w:rPr>
        <w:t>’ over time</w:t>
      </w:r>
      <w:r w:rsidRPr="005723EE">
        <w:rPr>
          <w:rFonts w:cstheme="minorHAnsi"/>
        </w:rPr>
        <w:t xml:space="preserve"> </w:t>
      </w:r>
      <w:r>
        <w:rPr>
          <w:rFonts w:cstheme="minorHAnsi"/>
        </w:rPr>
        <w:fldChar w:fldCharType="begin" w:fldLock="1"/>
      </w:r>
      <w:r w:rsidR="00EA4B53">
        <w:rPr>
          <w:rFonts w:cstheme="minorHAnsi"/>
        </w:rPr>
        <w:instrText>ADDIN CSL_CITATION {"citationItems":[{"id":"ITEM-1","itemData":{"DOI":"10.1111/puar.12888","ISSN":"15406210","abstract":"Collaboration has become the predominant approach to solving complex public problems. This choice, however, often is not driven by demonstrated effectiveness. Collaboration is instead chosen in the hope that a networked arrangement will be more effective than individual organizations working on the issue alone. Questions regarding collaborative effectiveness persist and constitute a significant challenge facing both public management practitioners and public administration scholars. In light of the case study in this issue of Public Administration Review by Maurits Waardenburg and colleagues, this article reviews the current thinking on the measurement of collaborative performance and discusses steps that professionals can take to evaluate the effectiveness of their collaborative endeavors.","author":[{"dropping-particle":"","family":"Silvia","given":"Chris","non-dropping-particle":"","parse-names":false,"suffix":""}],"container-title":"Public Administration Review","id":"ITEM-1","issue":"3","issued":{"date-parts":[["2018"]]},"page":"472-478","title":"Evaluating Collaboration: The Solution to One Problem Often Causes Another","type":"article-journal","volume":"78"},"uris":["http://www.mendeley.com/documents/?uuid=32722cea-a714-431d-b0f3-6b8d0ce5bd97"]}],"mendeley":{"formattedCitation":"&lt;sup&gt;51&lt;/sup&gt;","plainTextFormattedCitation":"51","previouslyFormattedCitation":"&lt;sup&gt;51&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51</w:t>
      </w:r>
      <w:r>
        <w:rPr>
          <w:rFonts w:cstheme="minorHAnsi"/>
        </w:rPr>
        <w:fldChar w:fldCharType="end"/>
      </w:r>
      <w:r>
        <w:rPr>
          <w:rFonts w:cstheme="minorHAnsi"/>
        </w:rPr>
        <w:t xml:space="preserve">. The term collaboration is also deemed </w:t>
      </w:r>
      <w:r w:rsidRPr="00817DFF">
        <w:rPr>
          <w:rFonts w:cstheme="minorHAnsi"/>
        </w:rPr>
        <w:t xml:space="preserve">problematic </w:t>
      </w:r>
      <w:r>
        <w:rPr>
          <w:rFonts w:cstheme="minorHAnsi"/>
        </w:rPr>
        <w:t>in the way</w:t>
      </w:r>
      <w:r w:rsidRPr="00817DFF">
        <w:rPr>
          <w:rFonts w:cstheme="minorHAnsi"/>
        </w:rPr>
        <w:t xml:space="preserve"> it </w:t>
      </w:r>
      <w:r>
        <w:rPr>
          <w:rFonts w:cstheme="minorHAnsi"/>
        </w:rPr>
        <w:t xml:space="preserve">potentially </w:t>
      </w:r>
      <w:r w:rsidRPr="00817DFF">
        <w:rPr>
          <w:rFonts w:cstheme="minorHAnsi"/>
        </w:rPr>
        <w:t xml:space="preserve">glosses over the diverse array of mechanisms </w:t>
      </w:r>
      <w:r>
        <w:rPr>
          <w:rFonts w:cstheme="minorHAnsi"/>
        </w:rPr>
        <w:t xml:space="preserve">that can be used to describe how organisations </w:t>
      </w:r>
      <w:r w:rsidRPr="00817DFF">
        <w:rPr>
          <w:rFonts w:cstheme="minorHAnsi"/>
        </w:rPr>
        <w:t xml:space="preserve">working together and the relative appropriateness of these </w:t>
      </w:r>
      <w:r>
        <w:rPr>
          <w:rFonts w:cstheme="minorHAnsi"/>
        </w:rPr>
        <w:t xml:space="preserve">mechanisms </w:t>
      </w:r>
      <w:r w:rsidRPr="00817DFF">
        <w:rPr>
          <w:rFonts w:cstheme="minorHAnsi"/>
        </w:rPr>
        <w:t>for different t</w:t>
      </w:r>
      <w:r>
        <w:rPr>
          <w:rFonts w:cstheme="minorHAnsi"/>
        </w:rPr>
        <w:t xml:space="preserve">asks and contexts </w:t>
      </w:r>
      <w:r w:rsidR="004042F9">
        <w:rPr>
          <w:rFonts w:cstheme="minorHAnsi"/>
        </w:rPr>
        <w:fldChar w:fldCharType="begin" w:fldLock="1"/>
      </w:r>
      <w:r w:rsidR="00EA4B53">
        <w:rPr>
          <w:rFonts w:cstheme="minorHAnsi"/>
        </w:rPr>
        <w:instrText>ADDIN CSL_CITATION {"citationItems":[{"id":"ITEM-1","itemData":{"DOI":"10.1111/j.1467-8500.2009.00616.x","ISSN":"03136647","abstract":"A 'cult of collaboration' is emerging in Australian public policy circles. In this article I argue this reflects a misunderstanding of the concept and its distinctive characteristics. Here I reintroduce collaboration vis-à-vis other forms of 'working together' and question whether we have taken a collaborative turn in public policy. In doing so I hope to contribute to a debate on the relevance of collaboration for public policy. © 2009 National Council of the Institute of Public Administration Australia.","author":[{"dropping-particle":"","family":"O'Flynn","given":"Janine","non-dropping-particle":"","parse-names":false,"suffix":""}],"container-title":"Australian Journal of Public Administration","id":"ITEM-1","issue":"1","issued":{"date-parts":[["2009"]]},"page":"112-116","title":"The cult of collaboration in public policy","type":"article-journal","volume":"68"},"uris":["http://www.mendeley.com/documents/?uuid=5a33ce9b-0136-474f-8cbc-35fc45bd2d97"]}],"mendeley":{"formattedCitation":"&lt;sup&gt;52&lt;/sup&gt;","plainTextFormattedCitation":"52","previouslyFormattedCitation":"&lt;sup&gt;52&lt;/sup&gt;"},"properties":{"noteIndex":0},"schema":"https://github.com/citation-style-language/schema/raw/master/csl-citation.json"}</w:instrText>
      </w:r>
      <w:r w:rsidR="004042F9">
        <w:rPr>
          <w:rFonts w:cstheme="minorHAnsi"/>
        </w:rPr>
        <w:fldChar w:fldCharType="separate"/>
      </w:r>
      <w:r w:rsidR="00E25884" w:rsidRPr="00E25884">
        <w:rPr>
          <w:rFonts w:cstheme="minorHAnsi"/>
          <w:noProof/>
          <w:vertAlign w:val="superscript"/>
        </w:rPr>
        <w:t>52</w:t>
      </w:r>
      <w:r w:rsidR="004042F9">
        <w:rPr>
          <w:rFonts w:cstheme="minorHAnsi"/>
        </w:rPr>
        <w:fldChar w:fldCharType="end"/>
      </w:r>
      <w:r w:rsidR="004042F9">
        <w:rPr>
          <w:rFonts w:cstheme="minorHAnsi"/>
        </w:rPr>
        <w:t>.</w:t>
      </w:r>
      <w:r>
        <w:rPr>
          <w:rFonts w:cstheme="minorHAnsi"/>
        </w:rPr>
        <w:t xml:space="preserve"> </w:t>
      </w:r>
    </w:p>
    <w:p w14:paraId="55E16AAD" w14:textId="74C2B2B5" w:rsidR="002B7278" w:rsidRDefault="002B7278" w:rsidP="00525BE0">
      <w:pPr>
        <w:spacing w:line="360" w:lineRule="auto"/>
        <w:jc w:val="both"/>
        <w:rPr>
          <w:rFonts w:cstheme="minorHAnsi"/>
        </w:rPr>
      </w:pPr>
      <w:r>
        <w:rPr>
          <w:rFonts w:cstheme="minorHAnsi"/>
        </w:rPr>
        <w:t>As a result, our</w:t>
      </w:r>
      <w:r w:rsidRPr="00012E09">
        <w:rPr>
          <w:rFonts w:cstheme="minorHAnsi"/>
        </w:rPr>
        <w:t xml:space="preserve"> understanding of the mechanisms and processes for spreading and sustaining evidence about successful relationships</w:t>
      </w:r>
      <w:r>
        <w:rPr>
          <w:rFonts w:cstheme="minorHAnsi"/>
        </w:rPr>
        <w:t xml:space="preserve"> is </w:t>
      </w:r>
      <w:r w:rsidRPr="00012E09">
        <w:rPr>
          <w:rFonts w:cstheme="minorHAnsi"/>
        </w:rPr>
        <w:t>limited</w:t>
      </w:r>
      <w:r>
        <w:rPr>
          <w:rFonts w:cstheme="minorHAnsi"/>
        </w:rPr>
        <w:t>. Many questions remain about</w:t>
      </w:r>
      <w:r w:rsidRPr="00012E09">
        <w:rPr>
          <w:rFonts w:cstheme="minorHAnsi"/>
        </w:rPr>
        <w:t xml:space="preserve"> how </w:t>
      </w:r>
      <w:r>
        <w:rPr>
          <w:rFonts w:cstheme="minorHAnsi"/>
        </w:rPr>
        <w:t xml:space="preserve">inter-organisational arrangements, </w:t>
      </w:r>
      <w:r w:rsidRPr="00012E09">
        <w:rPr>
          <w:rFonts w:cstheme="minorHAnsi"/>
        </w:rPr>
        <w:t xml:space="preserve">such as mergers, alliances, joint ventures, or buddying collaborations work, for whom, and in what circumstances. </w:t>
      </w:r>
      <w:r>
        <w:rPr>
          <w:rFonts w:cstheme="minorHAnsi"/>
        </w:rPr>
        <w:t xml:space="preserve">Indeed, appeals have been </w:t>
      </w:r>
      <w:r w:rsidRPr="003C27C2">
        <w:t>to further identify the elements of successful collaboration</w:t>
      </w:r>
      <w:r>
        <w:t>,</w:t>
      </w:r>
      <w:r w:rsidRPr="00F03777">
        <w:t xml:space="preserve"> </w:t>
      </w:r>
      <w:r>
        <w:t>particularly t</w:t>
      </w:r>
      <w:r w:rsidRPr="00F03777">
        <w:t>he assessment of effectiveness for horizontal collaboration</w:t>
      </w:r>
      <w:r>
        <w:t>s</w:t>
      </w:r>
      <w:r w:rsidRPr="00F03777">
        <w:t xml:space="preserve"> </w:t>
      </w:r>
      <w:r>
        <w:t>between</w:t>
      </w:r>
      <w:r w:rsidRPr="00F03777">
        <w:t xml:space="preserve"> healthcare providers</w:t>
      </w:r>
      <w:r>
        <w:t xml:space="preserve"> </w:t>
      </w:r>
      <w:r w:rsidR="004042F9">
        <w:fldChar w:fldCharType="begin" w:fldLock="1"/>
      </w:r>
      <w:r w:rsidR="00EA4B53">
        <w:instrText>ADDIN CSL_CITATION {"citationItems":[{"id":"ITEM-1","itemData":{"DOI":"10.1177/0951484820971456","ISSN":"0951-4848","abstract":"Across OECD countries, healthcare organizations increasingly rely on inter-organizational collaboration (IOC). Yet, systematic insight into the relations across different healthcare sectors is lacking. The aim of this explorative study is twofold. First, to understand how IOC differs across healthcare sectors with regards to characteristics, motives and the role of health policy. Second, to understand which potential effects healthcare executives consider prior to the establishment of the collaborations. For this purpose, a survey was conducted among a representative panel of Dutch healthcare executives from medium-sized or large healthcare organizations. Almost half (n = 344, 48%) of the invited executives participated. Our results suggest that differences in policy changes and institutional developments across healthcare sectors affect the scope and type of IOC: hospitals generally operate in small horizontal collaborations, while larger and more complex mixed and non-horizontal collaborations are more present among nursing homes, disability care and mental care organizations. We find that before establishing IOCs, most healthcare executives conduct a self-assessment including the potential effects of the collaboration. The extensive overview of policy developments, collaboration types and intended outcomes presented in our study offers a useful starting point for a more in-depth assessment of the effectiveness of collaborations among healthcare organizations.","author":[{"dropping-particle":"","family":"Schors","given":"Wouter","non-dropping-particle":"van der","parse-names":false,"suffix":""},{"dropping-particle":"","family":"Roos","given":"Anne-Fleur","non-dropping-particle":"","parse-names":false,"suffix":""},{"dropping-particle":"","family":"Kemp","given":"Ron","non-dropping-particle":"","parse-names":false,"suffix":""},{"dropping-particle":"","family":"Varkevisser","given":"Marco","non-dropping-particle":"","parse-names":false,"suffix":""}],"container-title":"Health Services Management Research","id":"ITEM-1","issued":{"date-parts":[["2020"]]},"page":"095148482097145","title":"Inter-organizational collaboration between healthcare providers","type":"article-journal"},"uris":["http://www.mendeley.com/documents/?uuid=e06df7c9-8d76-4348-b947-97392b10bd39"]}],"mendeley":{"formattedCitation":"&lt;sup&gt;1&lt;/sup&gt;","plainTextFormattedCitation":"1","previouslyFormattedCitation":"&lt;sup&gt;1&lt;/sup&gt;"},"properties":{"noteIndex":0},"schema":"https://github.com/citation-style-language/schema/raw/master/csl-citation.json"}</w:instrText>
      </w:r>
      <w:r w:rsidR="004042F9">
        <w:fldChar w:fldCharType="separate"/>
      </w:r>
      <w:r w:rsidR="00E25884" w:rsidRPr="00E25884">
        <w:rPr>
          <w:noProof/>
          <w:vertAlign w:val="superscript"/>
        </w:rPr>
        <w:t>1</w:t>
      </w:r>
      <w:r w:rsidR="004042F9">
        <w:fldChar w:fldCharType="end"/>
      </w:r>
      <w:r w:rsidR="004042F9">
        <w:t>.</w:t>
      </w:r>
      <w:r>
        <w:t xml:space="preserve"> There is also a need for </w:t>
      </w:r>
      <w:r w:rsidRPr="00817DFF">
        <w:t xml:space="preserve">further empirical research to </w:t>
      </w:r>
      <w:r>
        <w:t xml:space="preserve">better understand </w:t>
      </w:r>
      <w:r w:rsidRPr="00817DFF">
        <w:t>the interplay of barriers and their context-dependence, as well as their underlying causes and visible symptoms</w:t>
      </w:r>
      <w:r w:rsidR="004042F9">
        <w:t xml:space="preserve"> </w:t>
      </w:r>
      <w:r w:rsidR="004042F9">
        <w:fldChar w:fldCharType="begin" w:fldLock="1"/>
      </w:r>
      <w:r w:rsidR="00EA4B53">
        <w:instrText>ADDIN CSL_CITATION {"citationItems":[{"id":"ITEM-1","itemData":{"DOI":"10.5334/ijic.3068","ISSN":"15684156","abstract":"Introduction: In recent years, inter-organisational collaboration between healthcare organisations has become of increasingly vital importance in order to improve the integration of health service delivery. However, different barriers reported in academic literature seem to hinder the formation and development of such collaboration. Theory and methods: This systematic literature review of forty studies summarises and categorises the barriers to integrated care in inter-organisational settings as reported in previous studies. It analyses how these barriers operate. Results: Within these studies, twenty types of barriers have been identified and then categorised in six groups (barriers related to administration and regulation, barriers related to funding, barriers related to the inter-organisational domain, barriers related to the organisational domain, barriers related to service delivery, and barriers related to clinical practices). Not all of these barriers emerge passively, some are set up intentionally. They are not only context-specific, but are also often related and influence each other. Discussion and conclusion: The compilation of these results allows for a better understanding of the characteristics and reasons for the occurrence of barriers that impede collaboration aiming for the integration of care, not only for researchers but also for practitioners. It can help to explain and counteract the slow progress and limited efficiency and effectiveness of some of the inter-organisational collaboration in healthcare settings.","author":[{"dropping-particle":"","family":"Auschra","given":"Carolin","non-dropping-particle":"","parse-names":false,"suffix":""}],"container-title":"International Journal of Integrated Care","id":"ITEM-1","issue":"1","issued":{"date-parts":[["2018"]]},"note":"From Duplicate 2 (Barriers to the integration of care in inter-organisational settings: a literature review - Carolin, AUSCHRA)\n\nUseful review of inter-organisational factors which hinder joint working","page":"1-14","publisher":"International Foundation for Integrated Care","title":"Barriers to the integration of care in inter-organisational settings: a literature review","type":"article-journal","volume":"18"},"uris":["http://www.mendeley.com/documents/?uuid=dbe1602a-b818-4478-808a-1caa27a3d8fa"]}],"mendeley":{"formattedCitation":"&lt;sup&gt;15&lt;/sup&gt;","plainTextFormattedCitation":"15","previouslyFormattedCitation":"&lt;sup&gt;15&lt;/sup&gt;"},"properties":{"noteIndex":0},"schema":"https://github.com/citation-style-language/schema/raw/master/csl-citation.json"}</w:instrText>
      </w:r>
      <w:r w:rsidR="004042F9">
        <w:fldChar w:fldCharType="separate"/>
      </w:r>
      <w:r w:rsidR="00E25884" w:rsidRPr="00E25884">
        <w:rPr>
          <w:noProof/>
          <w:vertAlign w:val="superscript"/>
        </w:rPr>
        <w:t>15</w:t>
      </w:r>
      <w:r w:rsidR="004042F9">
        <w:fldChar w:fldCharType="end"/>
      </w:r>
      <w:r w:rsidR="004042F9">
        <w:t>.</w:t>
      </w:r>
    </w:p>
    <w:p w14:paraId="43C65965" w14:textId="4105E322" w:rsidR="002B7278" w:rsidRDefault="002B7278" w:rsidP="00525BE0">
      <w:pPr>
        <w:spacing w:line="360" w:lineRule="auto"/>
        <w:jc w:val="both"/>
      </w:pPr>
      <w:r>
        <w:rPr>
          <w:rFonts w:cstheme="minorHAnsi"/>
        </w:rPr>
        <w:t>T</w:t>
      </w:r>
      <w:r w:rsidRPr="00012E09">
        <w:rPr>
          <w:rFonts w:cstheme="minorHAnsi"/>
        </w:rPr>
        <w:t xml:space="preserve">he literature in this area calls for </w:t>
      </w:r>
      <w:r>
        <w:rPr>
          <w:rFonts w:cstheme="minorHAnsi"/>
        </w:rPr>
        <w:t xml:space="preserve">more </w:t>
      </w:r>
      <w:r w:rsidRPr="00012E09">
        <w:rPr>
          <w:rFonts w:cstheme="minorHAnsi"/>
        </w:rPr>
        <w:t>robust theoretical frameworks, and more sustained empirical research to explore which types of partnership approaches work (or not) in particular circumstances</w:t>
      </w:r>
      <w:r>
        <w:rPr>
          <w:rFonts w:cstheme="minorHAnsi"/>
        </w:rPr>
        <w:t>,</w:t>
      </w:r>
      <w:r w:rsidRPr="00012E09">
        <w:rPr>
          <w:rFonts w:cstheme="minorHAnsi"/>
        </w:rPr>
        <w:t xml:space="preserve"> why</w:t>
      </w:r>
      <w:r>
        <w:rPr>
          <w:rFonts w:cstheme="minorHAnsi"/>
        </w:rPr>
        <w:t>,</w:t>
      </w:r>
      <w:r w:rsidRPr="00012E09">
        <w:rPr>
          <w:rFonts w:cstheme="minorHAnsi"/>
        </w:rPr>
        <w:t xml:space="preserve"> </w:t>
      </w:r>
      <w:r>
        <w:rPr>
          <w:rFonts w:cstheme="minorHAnsi"/>
        </w:rPr>
        <w:t xml:space="preserve">and for whom </w:t>
      </w:r>
      <w:r>
        <w:rPr>
          <w:rFonts w:cstheme="minorHAnsi"/>
        </w:rPr>
        <w:fldChar w:fldCharType="begin" w:fldLock="1"/>
      </w:r>
      <w:r w:rsidR="00EA4B53">
        <w:rPr>
          <w:rFonts w:cstheme="minorHAnsi"/>
        </w:rPr>
        <w:instrText>ADDIN CSL_CITATION {"citationItems":[{"id":"ITEM-1","itemData":{"abstract":"Introduction The idea of partnerships and collaboration across organisational boundaries is not new in the NHS in England, but it is reaching a zenith in policymakers’ minds. The 2017–19 planning guidance for the NHS put it simply: partnership behaviours are becoming ‘the new norm’ and ‘What makes most sense for patients, communities and the taxpayer should always trump the narrower interests of individual organisations.’1 This idea underpins the sustainability and transformation partnerships and the new models of care set out in the Five year forward view for the NHS in England.2 It also builds on the experience of initiatives that have been tried over the past decade, ranging from new forms of organisational links (eg buddying and franchises) to building networks and communities of practitioners to help improve health service delivery. The Health Foundation has contributed to developing the evidence base for networks – for example, by funding programmes to help clinical communities improve quality of care in specific areas of practice,3 reviewing how to develop and manage effective networks to support quality improvement,4 and developing Q, a connected community of people who have improvement expertise from across the UK.5 But less is known about what makes for successful partnerships between providers at an organisational level. For this reason, the Health Foundation commissioned the Health Services Management Centre (HSMC) at the University of Birmingham to look at a range of current organisational partnerships, and draw some tentative learning to help inform and guide both policymakers and providers. This briefing by the Health Foundation and HSMC summarises the main findings of the research report and what providers and policymakers can learn. The research report, Partnering for improvement: inter-organisational developments in the NHS, is available at www.birmingham.ac.uk/partnering-for-improvement.6","author":[{"dropping-particle":"","family":"Miller","given":"Robin","non-dropping-particle":"","parse-names":false,"suffix":""},{"dropping-particle":"","family":"Millar","given":"Ross","non-dropping-particle":"","parse-names":false,"suffix":""}],"container-title":"Health Foundation","id":"ITEM-1","issue":"September","issued":{"date-parts":[["2017"]]},"title":"Partnerships for improvement: ingredients for success","type":"report"},"uris":["http://www.mendeley.com/documents/?uuid=d0c5f80f-2b8d-4582-ae88-734dcb538e8d"]}],"mendeley":{"formattedCitation":"&lt;sup&gt;13&lt;/sup&gt;","plainTextFormattedCitation":"13","previouslyFormattedCitation":"&lt;sup&gt;13&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13</w:t>
      </w:r>
      <w:r>
        <w:rPr>
          <w:rFonts w:cstheme="minorHAnsi"/>
        </w:rPr>
        <w:fldChar w:fldCharType="end"/>
      </w:r>
      <w:r w:rsidRPr="00012E09">
        <w:rPr>
          <w:rFonts w:cstheme="minorHAnsi"/>
        </w:rPr>
        <w:t xml:space="preserve">. Although general theories of how inter-organisational collaborations work have been proposed, </w:t>
      </w:r>
      <w:r>
        <w:rPr>
          <w:rFonts w:cstheme="minorHAnsi"/>
        </w:rPr>
        <w:t>establishing the causal links between</w:t>
      </w:r>
      <w:r w:rsidRPr="00012E09">
        <w:rPr>
          <w:rFonts w:cstheme="minorHAnsi"/>
        </w:rPr>
        <w:t xml:space="preserve"> </w:t>
      </w:r>
      <w:r>
        <w:rPr>
          <w:rFonts w:cstheme="minorHAnsi"/>
        </w:rPr>
        <w:t xml:space="preserve">issues such as </w:t>
      </w:r>
      <w:r w:rsidRPr="00012E09">
        <w:rPr>
          <w:rFonts w:cstheme="minorHAnsi"/>
        </w:rPr>
        <w:t>culture</w:t>
      </w:r>
      <w:r>
        <w:rPr>
          <w:rFonts w:cstheme="minorHAnsi"/>
        </w:rPr>
        <w:t>,</w:t>
      </w:r>
      <w:r w:rsidRPr="00012E09">
        <w:rPr>
          <w:rFonts w:cstheme="minorHAnsi"/>
        </w:rPr>
        <w:t xml:space="preserve"> leadership, governance</w:t>
      </w:r>
      <w:r>
        <w:rPr>
          <w:rFonts w:cstheme="minorHAnsi"/>
        </w:rPr>
        <w:t xml:space="preserve"> in </w:t>
      </w:r>
      <w:r w:rsidRPr="00012E09">
        <w:rPr>
          <w:rFonts w:cstheme="minorHAnsi"/>
        </w:rPr>
        <w:t>strengthen</w:t>
      </w:r>
      <w:r>
        <w:rPr>
          <w:rFonts w:cstheme="minorHAnsi"/>
        </w:rPr>
        <w:t>ing</w:t>
      </w:r>
      <w:r w:rsidRPr="00012E09">
        <w:rPr>
          <w:rFonts w:cstheme="minorHAnsi"/>
        </w:rPr>
        <w:t xml:space="preserve"> or weaken</w:t>
      </w:r>
      <w:r>
        <w:rPr>
          <w:rFonts w:cstheme="minorHAnsi"/>
        </w:rPr>
        <w:t>ing</w:t>
      </w:r>
      <w:r w:rsidRPr="00012E09">
        <w:rPr>
          <w:rFonts w:cstheme="minorHAnsi"/>
        </w:rPr>
        <w:t xml:space="preserve"> collaborations</w:t>
      </w:r>
      <w:r>
        <w:rPr>
          <w:rFonts w:cstheme="minorHAnsi"/>
        </w:rPr>
        <w:t xml:space="preserve"> requires further development</w:t>
      </w:r>
      <w:r w:rsidRPr="00012E09">
        <w:rPr>
          <w:rFonts w:cstheme="minorHAnsi"/>
        </w:rPr>
        <w:t>.</w:t>
      </w:r>
      <w:r>
        <w:rPr>
          <w:rFonts w:cstheme="minorHAnsi"/>
        </w:rPr>
        <w:t xml:space="preserve"> </w:t>
      </w:r>
      <w:r w:rsidRPr="003C27C2">
        <w:t xml:space="preserve">Auschra (2018) </w:t>
      </w:r>
      <w:r>
        <w:t>for example calls for greater understanding of the</w:t>
      </w:r>
      <w:r w:rsidRPr="003C27C2">
        <w:t xml:space="preserve"> barriers to the integration of care in inter-organisational settings </w:t>
      </w:r>
      <w:r>
        <w:t>with</w:t>
      </w:r>
      <w:r w:rsidRPr="003C27C2">
        <w:t xml:space="preserve"> </w:t>
      </w:r>
      <w:r>
        <w:t xml:space="preserve">the need for </w:t>
      </w:r>
      <w:r w:rsidRPr="003C27C2">
        <w:t xml:space="preserve">more attention </w:t>
      </w:r>
      <w:r>
        <w:t xml:space="preserve">devoted </w:t>
      </w:r>
      <w:r w:rsidRPr="003C27C2">
        <w:t xml:space="preserve">to </w:t>
      </w:r>
      <w:r>
        <w:t xml:space="preserve">using </w:t>
      </w:r>
      <w:r w:rsidRPr="003C27C2">
        <w:t>existing organisation and network theo</w:t>
      </w:r>
      <w:r>
        <w:t>ries that address such barriers</w:t>
      </w:r>
      <w:r w:rsidRPr="003C27C2">
        <w:t xml:space="preserve">. </w:t>
      </w:r>
      <w:r w:rsidR="004042F9">
        <w:t>The author</w:t>
      </w:r>
      <w:r>
        <w:t xml:space="preserve"> note</w:t>
      </w:r>
      <w:r w:rsidR="004042F9">
        <w:t>s</w:t>
      </w:r>
      <w:r>
        <w:t xml:space="preserve"> that “</w:t>
      </w:r>
      <w:r>
        <w:rPr>
          <w:rFonts w:cstheme="minorHAnsi"/>
        </w:rPr>
        <w:t>w</w:t>
      </w:r>
      <w:r w:rsidRPr="003C27C2">
        <w:t>hile reviewing existing literature, it became clear that the notion of “barriers” lacks theoretical underpinning</w:t>
      </w:r>
      <w:r>
        <w:t>”</w:t>
      </w:r>
      <w:r w:rsidRPr="003C27C2">
        <w:t xml:space="preserve">. </w:t>
      </w:r>
    </w:p>
    <w:p w14:paraId="2B605CC5" w14:textId="61862E65" w:rsidR="002B7278" w:rsidRPr="00817DFF" w:rsidRDefault="002B7278" w:rsidP="00525BE0">
      <w:pPr>
        <w:spacing w:line="360" w:lineRule="auto"/>
        <w:jc w:val="both"/>
      </w:pPr>
      <w:r w:rsidRPr="005723EE">
        <w:rPr>
          <w:rFonts w:cstheme="minorHAnsi"/>
        </w:rPr>
        <w:t>Given the complexities of collaborative arrangements, Guarne</w:t>
      </w:r>
      <w:r>
        <w:rPr>
          <w:rFonts w:cstheme="minorHAnsi"/>
        </w:rPr>
        <w:t>ros-Meza et al</w:t>
      </w:r>
      <w:r w:rsidR="004042F9">
        <w:rPr>
          <w:rFonts w:cstheme="minorHAnsi"/>
        </w:rPr>
        <w:t>.</w:t>
      </w:r>
      <w:r>
        <w:rPr>
          <w:rFonts w:cstheme="minorHAnsi"/>
        </w:rPr>
        <w:t xml:space="preserve"> (2018) advocate</w:t>
      </w:r>
      <w:r w:rsidRPr="005723EE">
        <w:rPr>
          <w:rFonts w:cstheme="minorHAnsi"/>
        </w:rPr>
        <w:t xml:space="preserve"> ‘theories of change’ (ToC) approach</w:t>
      </w:r>
      <w:r>
        <w:rPr>
          <w:rFonts w:cstheme="minorHAnsi"/>
        </w:rPr>
        <w:t>es</w:t>
      </w:r>
      <w:r w:rsidRPr="005723EE">
        <w:rPr>
          <w:rFonts w:cstheme="minorHAnsi"/>
        </w:rPr>
        <w:t xml:space="preserve"> </w:t>
      </w:r>
      <w:r w:rsidR="001C5D21" w:rsidRPr="005723EE">
        <w:rPr>
          <w:rFonts w:cstheme="minorHAnsi"/>
        </w:rPr>
        <w:t>to</w:t>
      </w:r>
      <w:r w:rsidRPr="005723EE">
        <w:rPr>
          <w:rFonts w:cstheme="minorHAnsi"/>
        </w:rPr>
        <w:t xml:space="preserve"> assess how collaboration synergies and coordination are shaped by context</w:t>
      </w:r>
      <w:r>
        <w:rPr>
          <w:rFonts w:cstheme="minorHAnsi"/>
        </w:rPr>
        <w:t>s</w:t>
      </w:r>
      <w:r w:rsidRPr="005723EE">
        <w:rPr>
          <w:rFonts w:cstheme="minorHAnsi"/>
        </w:rPr>
        <w:t>, behaviour</w:t>
      </w:r>
      <w:r>
        <w:rPr>
          <w:rFonts w:cstheme="minorHAnsi"/>
        </w:rPr>
        <w:t>s</w:t>
      </w:r>
      <w:r w:rsidRPr="005723EE">
        <w:rPr>
          <w:rFonts w:cstheme="minorHAnsi"/>
        </w:rPr>
        <w:t>, and structure</w:t>
      </w:r>
      <w:r>
        <w:rPr>
          <w:rFonts w:cstheme="minorHAnsi"/>
        </w:rPr>
        <w:t xml:space="preserve">s. This is done </w:t>
      </w:r>
      <w:r w:rsidRPr="005723EE">
        <w:rPr>
          <w:rFonts w:cstheme="minorHAnsi"/>
        </w:rPr>
        <w:t>by asking ‘how’ and ‘why’ partnership practices are carr</w:t>
      </w:r>
      <w:r>
        <w:rPr>
          <w:rFonts w:cstheme="minorHAnsi"/>
        </w:rPr>
        <w:t xml:space="preserve">ied out in different contexts </w:t>
      </w:r>
      <w:r>
        <w:rPr>
          <w:rFonts w:cstheme="minorHAnsi"/>
        </w:rPr>
        <w:fldChar w:fldCharType="begin" w:fldLock="1"/>
      </w:r>
      <w:r w:rsidR="00EA4B53">
        <w:rPr>
          <w:rFonts w:cstheme="minorHAnsi"/>
        </w:rPr>
        <w:instrText>ADDIN CSL_CITATION {"citationItems":[{"id":"ITEM-1","itemData":{"DOI":"10.1080/14719037.2017.1383782","ISSN":"14719045","abstract":"Governments have repeatedly claimed that collaboration improves public service outcomes. However, defining, achieving, and evaluating collaborative outcomes is often problematic. Analysis of multi-sectoral projects in Wales, which were supported by the European Social Fund, exemplifies these challenges. Shifts in policy discourses and the interplay between national and local agendas produced complex and contested understandings of outcomes which made difficult to evaluate the projects’ achievements. We argue that the pursuit of collaboration needs to be understood not simply as an attempt to improve public service effectiveness but also ‘cultural efficacy’. The conclusions offer reflections relevant for theory and practice.","author":[{"dropping-particle":"","family":"Guarneros-Meza","given":"Valeria","non-dropping-particle":"","parse-names":false,"suffix":""},{"dropping-particle":"","family":"Downe","given":"James","non-dropping-particle":"","parse-names":false,"suffix":""},{"dropping-particle":"","family":"Martin","given":"Steve","non-dropping-particle":"","parse-names":false,"suffix":""}],"container-title":"Public Management Review","id":"ITEM-1","issue":"10","issued":{"date-parts":[["2018"]]},"page":"1562-1580","publisher":"Routledge","title":"Defining, achieving, and evaluating collaborative outcomes: a theory of change approach","type":"article-journal","volume":"20"},"uris":["http://www.mendeley.com/documents/?uuid=6c109b87-ef3b-4596-91e7-484853dd83ab"]}],"mendeley":{"formattedCitation":"&lt;sup&gt;53&lt;/sup&gt;","plainTextFormattedCitation":"53","previouslyFormattedCitation":"&lt;sup&gt;53&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53</w:t>
      </w:r>
      <w:r>
        <w:rPr>
          <w:rFonts w:cstheme="minorHAnsi"/>
        </w:rPr>
        <w:fldChar w:fldCharType="end"/>
      </w:r>
      <w:r>
        <w:rPr>
          <w:rFonts w:cstheme="minorHAnsi"/>
        </w:rPr>
        <w:t>. A</w:t>
      </w:r>
      <w:r w:rsidRPr="005723EE">
        <w:rPr>
          <w:rFonts w:cstheme="minorHAnsi"/>
        </w:rPr>
        <w:t xml:space="preserve">pplications of Realist methodology in relation to partnership working </w:t>
      </w:r>
      <w:r>
        <w:rPr>
          <w:rFonts w:cstheme="minorHAnsi"/>
        </w:rPr>
        <w:t xml:space="preserve">are also advocated as an approach </w:t>
      </w:r>
      <w:r w:rsidRPr="005723EE">
        <w:rPr>
          <w:rFonts w:cstheme="minorHAnsi"/>
        </w:rPr>
        <w:t xml:space="preserve">well suited </w:t>
      </w:r>
      <w:r>
        <w:rPr>
          <w:rFonts w:cstheme="minorHAnsi"/>
        </w:rPr>
        <w:t>for studying</w:t>
      </w:r>
      <w:r w:rsidRPr="005723EE">
        <w:rPr>
          <w:rFonts w:cstheme="minorHAnsi"/>
        </w:rPr>
        <w:t xml:space="preserve"> multiple intervention</w:t>
      </w:r>
      <w:r>
        <w:rPr>
          <w:rFonts w:cstheme="minorHAnsi"/>
        </w:rPr>
        <w:t>s</w:t>
      </w:r>
      <w:r w:rsidRPr="005723EE">
        <w:rPr>
          <w:rFonts w:cstheme="minorHAnsi"/>
        </w:rPr>
        <w:t xml:space="preserve"> implemented in diverse contexts with a range of stakeholders</w:t>
      </w:r>
      <w:r>
        <w:rPr>
          <w:rFonts w:cstheme="minorHAnsi"/>
        </w:rPr>
        <w:t xml:space="preserve"> </w:t>
      </w:r>
      <w:r>
        <w:rPr>
          <w:rFonts w:cstheme="minorHAnsi"/>
        </w:rPr>
        <w:fldChar w:fldCharType="begin" w:fldLock="1"/>
      </w:r>
      <w:r w:rsidR="00EA4B53">
        <w:rPr>
          <w:rFonts w:cstheme="minorHAnsi"/>
        </w:rPr>
        <w:instrText>ADDIN CSL_CITATION {"citationItems":[{"id":"ITEM-1","itemData":{"DOI":"10.1186/s12889-015-1949-1","ISSN":"14712458","abstract":"Background: Community-Based Participatory Research (CBPR) is an approach in which researchers and community stakeholders form equitable partnerships to tackle issues related to community health improvement and knowledge production. Our 2012 realist review of CBPR outcomes reported long-term effects that were touched upon but not fully explained in the retained literature. To further explore such effects, interviews were conducted with academic and community partners of partnerships retained in the review. Realist methodology was used to increase the understanding of what supports partnership synergy in successful long-term CBPR partnerships, and to further document how equitable partnerships can result in numerous benefits including the sustainability of relationships, research and solutions. Methods: Building on our previous realist review of CBPR, we contacted the authors of longitudinal studies of academic-community partnerships retained in the review. Twenty-four participants (community members and researchers) from 11 partnerships were interviewed. Realist logic of analysis was used, involving middle-range theory, context-mechanism-outcome configuration (CMOcs) and the concept of the 'ripple effect'. Results: The analysis supports the central importance of developing and strengthening partnership synergy through trust. The ripple effect concept in conjunction with CMOcs showed that a sense of trust amongst CBPR members was a prominent mechanism leading to partnership sustainability. This in turn resulted in population-level outcomes including: (a) sustaining collaborative efforts toward health improvement; (b) generating spin-off projects; and (c) achieving systemic transformations. Conclusion: These results add to other studies on improving the science of CBPR in partnerships with a high level of power-sharing and co-governance. Our results suggest sustaining CBPR and achieving unanticipated benefits likely depend on trust-related mechanisms and a continuing commitment to power-sharing. These findings have implications for building successful CBPR partnerships to address challenging public health problems and the complex assessment of outcomes.","author":[{"dropping-particle":"","family":"Jagosh","given":"Justin","non-dropping-particle":"","parse-names":false,"suffix":""},{"dropping-particle":"","family":"Bush","given":"Paula L.","non-dropping-particle":"","parse-names":false,"suffix":""},{"dropping-particle":"","family":"Salsberg","given":"Jon","non-dropping-particle":"","parse-names":false,"suffix":""},{"dropping-particle":"","family":"Macaulay","given":"Ann C.","non-dropping-particle":"","parse-names":false,"suffix":""},{"dropping-particle":"","family":"Greenhalgh","given":"Trish","non-dropping-particle":"","parse-names":false,"suffix":""},{"dropping-particle":"","family":"Wong","given":"Geoff","non-dropping-particle":"","parse-names":false,"suffix":""},{"dropping-particle":"","family":"Cargo","given":"Margaret","non-dropping-particle":"","parse-names":false,"suffix":""},{"dropping-particle":"","family":"Green","given":"Lawrence W.","non-dropping-particle":"","parse-names":false,"suffix":""},{"dropping-particle":"","family":"Herbert","given":"Carol P.","non-dropping-particle":"","parse-names":false,"suffix":""},{"dropping-particle":"","family":"Pluye","given":"Pierre","non-dropping-particle":"","parse-names":false,"suffix":""}],"container-title":"BMC Public Health","id":"ITEM-1","issue":"1","issued":{"date-parts":[["2015"]]},"page":"1-11","publisher":"BMC Public Health","title":"A realist evaluation of community-based participatory research: Partnership synergy, trust building and related ripple effects","type":"article-journal","volume":"15"},"uris":["http://www.mendeley.com/documents/?uuid=af51807d-7f01-4ceb-bdad-7d82155332b7"]}],"mendeley":{"formattedCitation":"&lt;sup&gt;54&lt;/sup&gt;","plainTextFormattedCitation":"54","previouslyFormattedCitation":"&lt;sup&gt;54&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54</w:t>
      </w:r>
      <w:r>
        <w:rPr>
          <w:rFonts w:cstheme="minorHAnsi"/>
        </w:rPr>
        <w:fldChar w:fldCharType="end"/>
      </w:r>
      <w:r>
        <w:rPr>
          <w:rFonts w:cstheme="minorHAnsi"/>
        </w:rPr>
        <w:t>.</w:t>
      </w:r>
      <w:r w:rsidRPr="005723EE">
        <w:rPr>
          <w:rFonts w:cstheme="minorHAnsi"/>
        </w:rPr>
        <w:t xml:space="preserve"> </w:t>
      </w:r>
      <w:r>
        <w:rPr>
          <w:rFonts w:cstheme="minorHAnsi"/>
        </w:rPr>
        <w:t>However, applications of Realist ap</w:t>
      </w:r>
      <w:r w:rsidR="009F162A">
        <w:rPr>
          <w:rFonts w:cstheme="minorHAnsi"/>
        </w:rPr>
        <w:t>proaches to understanding inter-</w:t>
      </w:r>
      <w:r>
        <w:rPr>
          <w:rFonts w:cstheme="minorHAnsi"/>
        </w:rPr>
        <w:t>organisational collaborations within health care settings has hitherto remained an underdeveloped area.</w:t>
      </w:r>
    </w:p>
    <w:p w14:paraId="2AD3CCAE" w14:textId="77777777" w:rsidR="002B7278" w:rsidRPr="00961B50" w:rsidRDefault="002B7278" w:rsidP="00525BE0">
      <w:pPr>
        <w:spacing w:line="360" w:lineRule="auto"/>
        <w:jc w:val="both"/>
        <w:rPr>
          <w:rFonts w:cstheme="minorHAnsi"/>
        </w:rPr>
      </w:pPr>
    </w:p>
    <w:p w14:paraId="1A600442" w14:textId="77777777" w:rsidR="002B7278" w:rsidRPr="00012E09" w:rsidRDefault="002B7278" w:rsidP="00525BE0">
      <w:pPr>
        <w:pStyle w:val="Heading3"/>
        <w:jc w:val="both"/>
      </w:pPr>
      <w:bookmarkStart w:id="17" w:name="_Toc85066405"/>
      <w:r w:rsidRPr="00012E09">
        <w:t>Research aim</w:t>
      </w:r>
      <w:r>
        <w:t xml:space="preserve">s </w:t>
      </w:r>
      <w:r w:rsidRPr="00012E09">
        <w:t>and objectives</w:t>
      </w:r>
      <w:bookmarkEnd w:id="17"/>
    </w:p>
    <w:p w14:paraId="709011AB" w14:textId="77777777" w:rsidR="002B7278" w:rsidRPr="00012E09" w:rsidRDefault="002B7278" w:rsidP="00525BE0">
      <w:pPr>
        <w:spacing w:line="360" w:lineRule="auto"/>
        <w:jc w:val="both"/>
        <w:rPr>
          <w:rFonts w:cstheme="minorHAnsi"/>
        </w:rPr>
      </w:pPr>
      <w:r>
        <w:rPr>
          <w:rFonts w:cstheme="minorHAnsi"/>
        </w:rPr>
        <w:t>The</w:t>
      </w:r>
      <w:r w:rsidRPr="00012E09">
        <w:rPr>
          <w:rFonts w:cstheme="minorHAnsi"/>
        </w:rPr>
        <w:t xml:space="preserve"> aim </w:t>
      </w:r>
      <w:r>
        <w:rPr>
          <w:rFonts w:cstheme="minorHAnsi"/>
        </w:rPr>
        <w:t xml:space="preserve">of our research is </w:t>
      </w:r>
      <w:r w:rsidRPr="00012E09">
        <w:rPr>
          <w:rFonts w:cstheme="minorHAnsi"/>
        </w:rPr>
        <w:t xml:space="preserve">to provide useful intelligence regarding how, why and in what circumstances different </w:t>
      </w:r>
      <w:r>
        <w:rPr>
          <w:rFonts w:cstheme="minorHAnsi"/>
        </w:rPr>
        <w:t>approaches to inter-organisational collaboration</w:t>
      </w:r>
      <w:r w:rsidRPr="00012E09">
        <w:rPr>
          <w:rFonts w:cstheme="minorHAnsi"/>
        </w:rPr>
        <w:t xml:space="preserve"> </w:t>
      </w:r>
      <w:r>
        <w:rPr>
          <w:rFonts w:cstheme="minorHAnsi"/>
        </w:rPr>
        <w:t xml:space="preserve">are effective in </w:t>
      </w:r>
      <w:r w:rsidRPr="00012E09">
        <w:rPr>
          <w:rFonts w:cstheme="minorHAnsi"/>
        </w:rPr>
        <w:t>improv</w:t>
      </w:r>
      <w:r>
        <w:rPr>
          <w:rFonts w:cstheme="minorHAnsi"/>
        </w:rPr>
        <w:t>ing</w:t>
      </w:r>
      <w:r w:rsidRPr="00012E09">
        <w:rPr>
          <w:rFonts w:cstheme="minorHAnsi"/>
        </w:rPr>
        <w:t xml:space="preserve"> the performance of NHS provider organisations. </w:t>
      </w:r>
      <w:r>
        <w:rPr>
          <w:rFonts w:cstheme="minorHAnsi"/>
        </w:rPr>
        <w:t xml:space="preserve">To do this end a Realist synthesis of evidence was undertaken with the following </w:t>
      </w:r>
      <w:r w:rsidRPr="00012E09">
        <w:rPr>
          <w:rFonts w:cstheme="minorHAnsi"/>
        </w:rPr>
        <w:t xml:space="preserve">inter-related </w:t>
      </w:r>
      <w:r>
        <w:rPr>
          <w:rFonts w:cstheme="minorHAnsi"/>
        </w:rPr>
        <w:t xml:space="preserve">supporting </w:t>
      </w:r>
      <w:r w:rsidRPr="00012E09">
        <w:rPr>
          <w:rFonts w:cstheme="minorHAnsi"/>
        </w:rPr>
        <w:t>objectives</w:t>
      </w:r>
      <w:r>
        <w:rPr>
          <w:rFonts w:cstheme="minorHAnsi"/>
        </w:rPr>
        <w:t>:</w:t>
      </w:r>
    </w:p>
    <w:p w14:paraId="6202C814" w14:textId="03DCF722" w:rsidR="002B7278" w:rsidRPr="00012E09" w:rsidRDefault="002B7278" w:rsidP="00525BE0">
      <w:pPr>
        <w:spacing w:line="360" w:lineRule="auto"/>
        <w:ind w:left="720"/>
        <w:jc w:val="both"/>
        <w:rPr>
          <w:rFonts w:cstheme="minorHAnsi"/>
        </w:rPr>
      </w:pPr>
      <w:r w:rsidRPr="00012E09">
        <w:rPr>
          <w:rFonts w:cstheme="minorHAnsi"/>
        </w:rPr>
        <w:t xml:space="preserve">1. </w:t>
      </w:r>
      <w:r>
        <w:rPr>
          <w:rFonts w:cstheme="minorHAnsi"/>
        </w:rPr>
        <w:t>To e</w:t>
      </w:r>
      <w:r w:rsidRPr="00012E09">
        <w:rPr>
          <w:rFonts w:cstheme="minorHAnsi"/>
        </w:rPr>
        <w:t xml:space="preserve">xplore the main strands of the literature about </w:t>
      </w:r>
      <w:r w:rsidR="00207F18">
        <w:rPr>
          <w:rFonts w:cstheme="minorHAnsi"/>
        </w:rPr>
        <w:t>inter-organisational collaboration</w:t>
      </w:r>
      <w:r w:rsidR="00171677">
        <w:rPr>
          <w:rFonts w:cstheme="minorHAnsi"/>
        </w:rPr>
        <w:t xml:space="preserve"> </w:t>
      </w:r>
      <w:r w:rsidRPr="00012E09">
        <w:rPr>
          <w:rFonts w:cstheme="minorHAnsi"/>
        </w:rPr>
        <w:t>and identify the main theoretical and conceptual frameworks that can be used to shed light on the conditions and antecedents for effective partnering across sectors and stakeholders.</w:t>
      </w:r>
    </w:p>
    <w:p w14:paraId="1FC283F4" w14:textId="16447C9C" w:rsidR="002B7278" w:rsidRPr="00012E09" w:rsidRDefault="002B7278" w:rsidP="00525BE0">
      <w:pPr>
        <w:spacing w:line="360" w:lineRule="auto"/>
        <w:ind w:left="720"/>
        <w:jc w:val="both"/>
        <w:rPr>
          <w:rFonts w:cstheme="minorHAnsi"/>
        </w:rPr>
      </w:pPr>
      <w:r w:rsidRPr="00012E09">
        <w:rPr>
          <w:rFonts w:cstheme="minorHAnsi"/>
        </w:rPr>
        <w:t xml:space="preserve">2. </w:t>
      </w:r>
      <w:r>
        <w:rPr>
          <w:rFonts w:cstheme="minorHAnsi"/>
        </w:rPr>
        <w:t>To a</w:t>
      </w:r>
      <w:r w:rsidRPr="00012E09">
        <w:rPr>
          <w:rFonts w:cstheme="minorHAnsi"/>
        </w:rPr>
        <w:t xml:space="preserve">ssess the empirical evidence with regards to how different </w:t>
      </w:r>
      <w:r w:rsidR="00207F18">
        <w:rPr>
          <w:rFonts w:cstheme="minorHAnsi"/>
        </w:rPr>
        <w:t>inter-organisational</w:t>
      </w:r>
      <w:r w:rsidRPr="00012E09">
        <w:rPr>
          <w:rFonts w:cstheme="minorHAnsi"/>
        </w:rPr>
        <w:t xml:space="preserve"> practices may (or may not) lead to improved performance and outcomes. </w:t>
      </w:r>
    </w:p>
    <w:p w14:paraId="044CF592" w14:textId="238676D6" w:rsidR="002B7278" w:rsidRPr="00012E09" w:rsidRDefault="002B7278" w:rsidP="00525BE0">
      <w:pPr>
        <w:spacing w:line="360" w:lineRule="auto"/>
        <w:ind w:left="720"/>
        <w:jc w:val="both"/>
        <w:rPr>
          <w:rFonts w:cstheme="minorHAnsi"/>
        </w:rPr>
      </w:pPr>
      <w:r w:rsidRPr="00012E09">
        <w:rPr>
          <w:rFonts w:cstheme="minorHAnsi"/>
        </w:rPr>
        <w:t xml:space="preserve">3. </w:t>
      </w:r>
      <w:r>
        <w:rPr>
          <w:rFonts w:cstheme="minorHAnsi"/>
        </w:rPr>
        <w:t>To u</w:t>
      </w:r>
      <w:r w:rsidRPr="00012E09">
        <w:rPr>
          <w:rFonts w:cstheme="minorHAnsi"/>
        </w:rPr>
        <w:t xml:space="preserve">nderstand and learn from NHS evidence users and other stakeholders about how and where </w:t>
      </w:r>
      <w:r w:rsidR="00207F18">
        <w:rPr>
          <w:rFonts w:cstheme="minorHAnsi"/>
        </w:rPr>
        <w:t>inter-organisational collaboration</w:t>
      </w:r>
      <w:r w:rsidRPr="00012E09">
        <w:rPr>
          <w:rFonts w:cstheme="minorHAnsi"/>
        </w:rPr>
        <w:t xml:space="preserve"> can best be used as a mechanism to support turnaround processes. </w:t>
      </w:r>
    </w:p>
    <w:p w14:paraId="177591EC" w14:textId="47878F14" w:rsidR="002B7278" w:rsidRPr="00012E09" w:rsidRDefault="002B7278" w:rsidP="00525BE0">
      <w:pPr>
        <w:spacing w:line="360" w:lineRule="auto"/>
        <w:ind w:left="720"/>
        <w:jc w:val="both"/>
        <w:rPr>
          <w:rFonts w:cstheme="minorHAnsi"/>
        </w:rPr>
      </w:pPr>
      <w:r w:rsidRPr="00012E09">
        <w:rPr>
          <w:rFonts w:cstheme="minorHAnsi"/>
        </w:rPr>
        <w:t xml:space="preserve">4. </w:t>
      </w:r>
      <w:r>
        <w:rPr>
          <w:rFonts w:cstheme="minorHAnsi"/>
        </w:rPr>
        <w:t>To d</w:t>
      </w:r>
      <w:r w:rsidRPr="00012E09">
        <w:rPr>
          <w:rFonts w:cstheme="minorHAnsi"/>
        </w:rPr>
        <w:t xml:space="preserve">evelop a typology of </w:t>
      </w:r>
      <w:r w:rsidR="009F162A">
        <w:rPr>
          <w:rFonts w:cstheme="minorHAnsi"/>
        </w:rPr>
        <w:t>inter-organisational collaboration</w:t>
      </w:r>
      <w:r w:rsidRPr="00012E09">
        <w:rPr>
          <w:rFonts w:cstheme="minorHAnsi"/>
        </w:rPr>
        <w:t xml:space="preserve"> that considers different types and scales of collaborative ventures that are appropriate for particular NHS provider contexts</w:t>
      </w:r>
      <w:r>
        <w:rPr>
          <w:rFonts w:cstheme="minorHAnsi"/>
        </w:rPr>
        <w:t>.</w:t>
      </w:r>
    </w:p>
    <w:p w14:paraId="146BC0D6" w14:textId="46891DC1" w:rsidR="002B7278" w:rsidRDefault="002B7278" w:rsidP="00525BE0">
      <w:pPr>
        <w:spacing w:line="360" w:lineRule="auto"/>
        <w:ind w:left="720"/>
        <w:jc w:val="both"/>
        <w:rPr>
          <w:rFonts w:cstheme="minorHAnsi"/>
        </w:rPr>
      </w:pPr>
      <w:r w:rsidRPr="00012E09">
        <w:rPr>
          <w:rFonts w:cstheme="minorHAnsi"/>
        </w:rPr>
        <w:t>5.</w:t>
      </w:r>
      <w:r>
        <w:rPr>
          <w:rFonts w:cstheme="minorHAnsi"/>
        </w:rPr>
        <w:t xml:space="preserve"> </w:t>
      </w:r>
      <w:r w:rsidRPr="00012E09">
        <w:rPr>
          <w:rFonts w:cstheme="minorHAnsi"/>
        </w:rPr>
        <w:t xml:space="preserve">To </w:t>
      </w:r>
      <w:r>
        <w:rPr>
          <w:rFonts w:cstheme="minorHAnsi"/>
        </w:rPr>
        <w:t xml:space="preserve">generate </w:t>
      </w:r>
      <w:r w:rsidRPr="00012E09">
        <w:rPr>
          <w:rFonts w:cstheme="minorHAnsi"/>
        </w:rPr>
        <w:t xml:space="preserve">evidence informed practical guidance for NHS providers, policy makers and others with responsibility for implementing and assessing </w:t>
      </w:r>
      <w:r w:rsidR="009F162A" w:rsidRPr="009F162A">
        <w:rPr>
          <w:rFonts w:cstheme="minorHAnsi"/>
        </w:rPr>
        <w:t xml:space="preserve">inter-organisational collaboration </w:t>
      </w:r>
      <w:r w:rsidRPr="00012E09">
        <w:rPr>
          <w:rFonts w:cstheme="minorHAnsi"/>
        </w:rPr>
        <w:t>arrangements in the NHS.</w:t>
      </w:r>
    </w:p>
    <w:p w14:paraId="04D18AC4" w14:textId="77777777" w:rsidR="002B7278" w:rsidRDefault="002B7278" w:rsidP="00525BE0">
      <w:pPr>
        <w:spacing w:line="360" w:lineRule="auto"/>
        <w:jc w:val="both"/>
        <w:rPr>
          <w:rFonts w:cstheme="minorHAnsi"/>
        </w:rPr>
      </w:pPr>
      <w:r>
        <w:rPr>
          <w:rFonts w:cstheme="minorHAnsi"/>
        </w:rPr>
        <w:t>Our research</w:t>
      </w:r>
      <w:r w:rsidRPr="00012E09">
        <w:rPr>
          <w:rFonts w:cstheme="minorHAnsi"/>
        </w:rPr>
        <w:t xml:space="preserve"> provide</w:t>
      </w:r>
      <w:r>
        <w:rPr>
          <w:rFonts w:cstheme="minorHAnsi"/>
        </w:rPr>
        <w:t>s</w:t>
      </w:r>
      <w:r w:rsidRPr="00012E09">
        <w:rPr>
          <w:rFonts w:cstheme="minorHAnsi"/>
        </w:rPr>
        <w:t xml:space="preserve"> practical guidance and learning to support NHS leaders with assessments of the different candidate partnering approaches available. It has important implications and learning for those engaged in leadership regarding the principles and methods that are required if collaborative approaches are to work successfully across boundaries</w:t>
      </w:r>
      <w:r>
        <w:rPr>
          <w:rFonts w:cstheme="minorHAnsi"/>
        </w:rPr>
        <w:t xml:space="preserve"> and engage the workforce and wider population within </w:t>
      </w:r>
      <w:r w:rsidRPr="00012E09">
        <w:rPr>
          <w:rFonts w:cstheme="minorHAnsi"/>
        </w:rPr>
        <w:t xml:space="preserve">these collaborative efforts. </w:t>
      </w:r>
    </w:p>
    <w:p w14:paraId="75C53D71" w14:textId="77777777" w:rsidR="002B7278" w:rsidRPr="00ED666F" w:rsidRDefault="002B7278" w:rsidP="00525BE0">
      <w:pPr>
        <w:spacing w:line="360" w:lineRule="auto"/>
        <w:jc w:val="both"/>
        <w:rPr>
          <w:rFonts w:cstheme="minorHAnsi"/>
        </w:rPr>
      </w:pPr>
    </w:p>
    <w:p w14:paraId="2AD319C1" w14:textId="77777777" w:rsidR="002B7278" w:rsidRPr="00185F8E" w:rsidRDefault="002B7278" w:rsidP="00525BE0">
      <w:pPr>
        <w:pStyle w:val="Heading2"/>
        <w:jc w:val="both"/>
      </w:pPr>
      <w:bookmarkStart w:id="18" w:name="_Toc85066406"/>
      <w:r w:rsidRPr="00185F8E">
        <w:t>Chapter outline</w:t>
      </w:r>
      <w:bookmarkEnd w:id="18"/>
    </w:p>
    <w:p w14:paraId="7F8FC4C5" w14:textId="77777777" w:rsidR="002B7278" w:rsidRDefault="002B7278" w:rsidP="00525BE0">
      <w:pPr>
        <w:pStyle w:val="Heading3"/>
        <w:jc w:val="both"/>
      </w:pPr>
    </w:p>
    <w:p w14:paraId="497CBA98" w14:textId="4F018421" w:rsidR="002B7278" w:rsidRPr="0038311F" w:rsidRDefault="002B7278" w:rsidP="00525BE0">
      <w:pPr>
        <w:spacing w:line="360" w:lineRule="auto"/>
        <w:jc w:val="both"/>
      </w:pPr>
      <w:r>
        <w:t xml:space="preserve">This report is structured into eight chapters and arranged as follows. Chapter 2 provides the context for this work with a review of typologies, drivers, and dynamics associated with the lifecycle of collaboration. Chapter 3 presents the methodology employed, providing an overview of the realist synthesis approach and our stakeholder analysis.  Chapter 4 presents the results of the Realist synthesis drawing on 86 items of literature in analysing how, why and for whom do inter-organisational collaborations in healthcare work in particular circumstances. Chapter 5 refines understanding of collaborative functioning with the presentation of findings based upon primary data collected from a range of stakeholders including policymakers, practitioners, and patient representatives. Chapter 6 presents findings from the stakeholder interviews and develops a novel theory of collaborative performance that aims to further explicate the mechanisms underlying collaboration that drive performance improvement. Chapter 7 assesses the implication of the findings with an outline of the final version of our realist theory of how and why inter-organisational collaboration works. The chapter also presents options for the translation of our research into practice with the development and piloting of tools designed to assess </w:t>
      </w:r>
      <w:r w:rsidR="004B3968">
        <w:t xml:space="preserve">the </w:t>
      </w:r>
      <w:r>
        <w:t xml:space="preserve">readiness for collaboration. The report concludes with a summary of how the project has fulfilled its objectives with recommendations for developing future research, </w:t>
      </w:r>
      <w:r w:rsidR="001C5D21">
        <w:t>policy,</w:t>
      </w:r>
      <w:r>
        <w:t xml:space="preserve"> and practice in this important area of policy and practice. </w:t>
      </w:r>
    </w:p>
    <w:p w14:paraId="11415945" w14:textId="77777777" w:rsidR="00F1356E" w:rsidRDefault="00F1356E" w:rsidP="00525BE0">
      <w:pPr>
        <w:spacing w:line="360" w:lineRule="auto"/>
        <w:jc w:val="both"/>
        <w:sectPr w:rsidR="00F1356E">
          <w:pgSz w:w="11906" w:h="16838"/>
          <w:pgMar w:top="1440" w:right="1440" w:bottom="1440" w:left="1440" w:header="708" w:footer="708" w:gutter="0"/>
          <w:cols w:space="708"/>
          <w:docGrid w:linePitch="360"/>
        </w:sectPr>
      </w:pPr>
    </w:p>
    <w:p w14:paraId="2E71661C" w14:textId="77777777" w:rsidR="007873A7" w:rsidRPr="007C01CB" w:rsidRDefault="007873A7" w:rsidP="00525BE0">
      <w:pPr>
        <w:pStyle w:val="Heading1"/>
        <w:spacing w:before="120" w:after="240" w:line="360" w:lineRule="auto"/>
        <w:jc w:val="both"/>
      </w:pPr>
      <w:bookmarkStart w:id="19" w:name="_Toc85066407"/>
      <w:r w:rsidRPr="007C01CB">
        <w:t>Chapter 2</w:t>
      </w:r>
      <w:r>
        <w:t>: Background</w:t>
      </w:r>
      <w:bookmarkEnd w:id="19"/>
    </w:p>
    <w:p w14:paraId="4F66FC57" w14:textId="38D70944" w:rsidR="007873A7" w:rsidRPr="007C01CB" w:rsidRDefault="007873A7" w:rsidP="00525BE0">
      <w:pPr>
        <w:spacing w:line="360" w:lineRule="auto"/>
        <w:jc w:val="both"/>
        <w:rPr>
          <w:rFonts w:cstheme="minorHAnsi"/>
        </w:rPr>
      </w:pPr>
      <w:r w:rsidRPr="007C01CB">
        <w:t xml:space="preserve">The purpose of this chapter is to start the process of </w:t>
      </w:r>
      <w:r w:rsidR="009F162A">
        <w:t xml:space="preserve">gaining a </w:t>
      </w:r>
      <w:r w:rsidRPr="007C01CB">
        <w:t xml:space="preserve">better understanding of </w:t>
      </w:r>
      <w:r>
        <w:t>inter-organisational collaborations (</w:t>
      </w:r>
      <w:r w:rsidRPr="007C01CB">
        <w:t>IOCs</w:t>
      </w:r>
      <w:r>
        <w:t>)</w:t>
      </w:r>
      <w:r w:rsidRPr="007C01CB">
        <w:t xml:space="preserve">. Given the large, multifaceted and complex nature of IOCs, the aim here is to provide an essential first step of theory building in articulating “what the programme is?”; “who is the supposed target?”; and “what is the supposed outcome?” </w:t>
      </w:r>
      <w:r>
        <w:fldChar w:fldCharType="begin" w:fldLock="1"/>
      </w:r>
      <w:r w:rsidR="00EA4B53">
        <w:instrText>ADDIN CSL_CITATION {"citationItems":[{"id":"ITEM-1","itemData":{"ISSN":"1356-3890","author":[{"dropping-particle":"","family":"Westhorp","given":"Gill","non-dropping-particle":"","parse-names":false,"suffix":""}],"container-title":"Evaluation","id":"ITEM-1","issue":"4","issued":{"date-parts":[["2012"]]},"page":"405-420","publisher":"Sage Publications Sage UK: London, England","title":"Using complexity-consistent theory for evaluating complex systems","type":"article-journal","volume":"18"},"uris":["http://www.mendeley.com/documents/?uuid=89bdbb9d-bb6c-4898-84f4-1890e3d642ae"]},{"id":"ITEM-2","itemData":{"DOI":"10.1177/1356389013505042","ISSN":"13563890","abstract":"This is the second of a two part article examining the use of complexity-consistent theory in a realist investigation. The first article (Evaluation 18[4]) introduced the idea of complexity-consistent theory. It argued that complexity-consistent theories are likely to be useful for understanding complex processes of change and therefore useful in many kinds of evaluation. Further, it argued that theories can be organized within a hierarchy to reflect the different levels of reality involved in a change program. This was described as 'layering' theories. This second article describes the use of these concepts in a realist investigation. The purpose of the investigation was to develop a realist, middle-range theory to explain how and why some early intervention programs which 'work' on average for disadvantaged families do not work for the most disadvantaged. The investigation combined a small-scale realist evaluation of a family support program in Adelaide, South Australia with a modified form of realist synthesis. The work was undertaken as part of a PhD, supervised by Professor Nick Tilley, co-author of Realistic Evaluation. © The Author(s) 2013.","author":[{"dropping-particle":"","family":"Westhorp","given":"Gill","non-dropping-particle":"","parse-names":false,"suffix":""}],"container-title":"Evaluation","id":"ITEM-2","issued":{"date-parts":[["2013"]]},"title":"Developing complexity-consistent theory in a realist investigation","type":"article-journal"},"uris":["http://www.mendeley.com/documents/?uuid=6e295159-15c9-4110-9fd3-460cd529bc2c"]}],"mendeley":{"formattedCitation":"&lt;sup&gt;55,56&lt;/sup&gt;","plainTextFormattedCitation":"55,56","previouslyFormattedCitation":"&lt;sup&gt;55,56&lt;/sup&gt;"},"properties":{"noteIndex":0},"schema":"https://github.com/citation-style-language/schema/raw/master/csl-citation.json"}</w:instrText>
      </w:r>
      <w:r>
        <w:fldChar w:fldCharType="separate"/>
      </w:r>
      <w:r w:rsidR="00E25884" w:rsidRPr="00E25884">
        <w:rPr>
          <w:noProof/>
          <w:vertAlign w:val="superscript"/>
        </w:rPr>
        <w:t>55,56</w:t>
      </w:r>
      <w:r>
        <w:fldChar w:fldCharType="end"/>
      </w:r>
      <w:r>
        <w:t xml:space="preserve">. </w:t>
      </w:r>
      <w:r w:rsidRPr="007C01CB">
        <w:t>To this end we combine a</w:t>
      </w:r>
      <w:r w:rsidRPr="007C01CB">
        <w:rPr>
          <w:rFonts w:cstheme="minorHAnsi"/>
        </w:rPr>
        <w:t xml:space="preserve"> review of grey (policy and organisational strategy documents within the NHS) and narrative and systematic reviews of evidence </w:t>
      </w:r>
      <w:r w:rsidR="00600A57" w:rsidRPr="007C01CB">
        <w:rPr>
          <w:rFonts w:cstheme="minorHAnsi"/>
        </w:rPr>
        <w:t>to</w:t>
      </w:r>
      <w:r w:rsidRPr="007C01CB">
        <w:rPr>
          <w:rFonts w:cstheme="minorHAnsi"/>
        </w:rPr>
        <w:t xml:space="preserve"> capture key definitions, typologies, </w:t>
      </w:r>
      <w:r w:rsidR="00600A57" w:rsidRPr="007C01CB">
        <w:rPr>
          <w:rFonts w:cstheme="minorHAnsi"/>
        </w:rPr>
        <w:t>ingredients,</w:t>
      </w:r>
      <w:r w:rsidRPr="007C01CB">
        <w:rPr>
          <w:rFonts w:cstheme="minorHAnsi"/>
        </w:rPr>
        <w:t xml:space="preserve"> and outcomes </w:t>
      </w:r>
      <w:r w:rsidRPr="00222275">
        <w:rPr>
          <w:rFonts w:cstheme="minorHAnsi"/>
        </w:rPr>
        <w:t>associated with IOCs (see appendix</w:t>
      </w:r>
      <w:r w:rsidRPr="003461D3">
        <w:rPr>
          <w:rFonts w:cstheme="minorHAnsi"/>
        </w:rPr>
        <w:t xml:space="preserve"> 1</w:t>
      </w:r>
      <w:r w:rsidRPr="001C5D21">
        <w:rPr>
          <w:rFonts w:cstheme="minorHAnsi"/>
        </w:rPr>
        <w:t xml:space="preserve"> for methods).</w:t>
      </w:r>
      <w:bookmarkStart w:id="20" w:name="_Hlk104927535"/>
      <w:r w:rsidR="00956535" w:rsidRPr="001C5D21">
        <w:rPr>
          <w:bCs/>
        </w:rPr>
        <w:t xml:space="preserve"> </w:t>
      </w:r>
      <w:r w:rsidR="001C5D21">
        <w:rPr>
          <w:bCs/>
        </w:rPr>
        <w:t>Excerpts of</w:t>
      </w:r>
      <w:r w:rsidR="00956535" w:rsidRPr="001C5D21">
        <w:rPr>
          <w:bCs/>
        </w:rPr>
        <w:t xml:space="preserve"> this chapter ha</w:t>
      </w:r>
      <w:r w:rsidR="001C5D21">
        <w:rPr>
          <w:bCs/>
        </w:rPr>
        <w:t>ve</w:t>
      </w:r>
      <w:r w:rsidR="00956535" w:rsidRPr="001C5D21">
        <w:rPr>
          <w:bCs/>
        </w:rPr>
        <w:t xml:space="preserve"> been reproduced from </w:t>
      </w:r>
      <w:r w:rsidR="00956535" w:rsidRPr="006D770F">
        <w:rPr>
          <w:bCs/>
        </w:rPr>
        <w:t>Aunger et al (61)</w:t>
      </w:r>
      <w:r w:rsidR="00956535" w:rsidRPr="00222275">
        <w:rPr>
          <w:bCs/>
        </w:rPr>
        <w:t xml:space="preserve">, </w:t>
      </w:r>
      <w:r w:rsidR="00956535" w:rsidRPr="003461D3">
        <w:rPr>
          <w:bCs/>
        </w:rPr>
        <w:t xml:space="preserve">published under the </w:t>
      </w:r>
      <w:r w:rsidR="00956535" w:rsidRPr="006D770F">
        <w:rPr>
          <w:bCs/>
        </w:rPr>
        <w:t xml:space="preserve">Creative Commons Attribution License (CC BY 4.0), which permits unrestricted use, </w:t>
      </w:r>
      <w:r w:rsidR="00956535" w:rsidRPr="00222275">
        <w:rPr>
          <w:bCs/>
        </w:rPr>
        <w:t>distribution,</w:t>
      </w:r>
      <w:r w:rsidR="00956535" w:rsidRPr="006D770F">
        <w:rPr>
          <w:bCs/>
        </w:rPr>
        <w:t xml:space="preserve"> and reproduction in any medium, provided the original work is properly cited (https://creativecommons.org/licenses/by/4.0/).</w:t>
      </w:r>
      <w:bookmarkEnd w:id="20"/>
    </w:p>
    <w:p w14:paraId="3CEB69FA" w14:textId="77777777" w:rsidR="007873A7" w:rsidRPr="007C01CB" w:rsidRDefault="007873A7" w:rsidP="00525BE0">
      <w:pPr>
        <w:pStyle w:val="Heading2"/>
        <w:spacing w:line="360" w:lineRule="auto"/>
        <w:jc w:val="both"/>
      </w:pPr>
      <w:bookmarkStart w:id="21" w:name="_Toc85066408"/>
      <w:r w:rsidRPr="007C01CB">
        <w:t>Definitions and terminology</w:t>
      </w:r>
      <w:bookmarkEnd w:id="21"/>
    </w:p>
    <w:p w14:paraId="2E4D6387" w14:textId="14241B5B" w:rsidR="007873A7" w:rsidRPr="007C01CB" w:rsidRDefault="007873A7" w:rsidP="00525BE0">
      <w:pPr>
        <w:spacing w:line="360" w:lineRule="auto"/>
        <w:jc w:val="both"/>
        <w:rPr>
          <w:rFonts w:cstheme="minorHAnsi"/>
        </w:rPr>
      </w:pPr>
      <w:r w:rsidRPr="007C01CB">
        <w:rPr>
          <w:rFonts w:cstheme="minorHAnsi"/>
        </w:rPr>
        <w:t xml:space="preserve">A variety of terms has been used to describe joint working, including integration, collaboration, </w:t>
      </w:r>
      <w:r w:rsidR="00600A57" w:rsidRPr="007C01CB">
        <w:rPr>
          <w:rFonts w:cstheme="minorHAnsi"/>
        </w:rPr>
        <w:t>partnering,</w:t>
      </w:r>
      <w:r w:rsidRPr="007C01CB">
        <w:rPr>
          <w:rFonts w:cstheme="minorHAnsi"/>
        </w:rPr>
        <w:t xml:space="preserve"> and partnership working. Partnership working is a widely used to describe the joint development of organisational structures or working across boundaries by the sharing of resources, </w:t>
      </w:r>
      <w:r w:rsidR="00600A57" w:rsidRPr="007C01CB">
        <w:rPr>
          <w:rFonts w:cstheme="minorHAnsi"/>
        </w:rPr>
        <w:t>authority,</w:t>
      </w:r>
      <w:r w:rsidRPr="007C01CB">
        <w:rPr>
          <w:rFonts w:cstheme="minorHAnsi"/>
        </w:rPr>
        <w:t xml:space="preserve"> and accountability. The following definitions capture these arrangements:</w:t>
      </w:r>
    </w:p>
    <w:p w14:paraId="69F0055C" w14:textId="5BE8E038" w:rsidR="007873A7" w:rsidRPr="007C01CB" w:rsidRDefault="007873A7" w:rsidP="00525BE0">
      <w:pPr>
        <w:pStyle w:val="ListParagraph"/>
        <w:numPr>
          <w:ilvl w:val="0"/>
          <w:numId w:val="2"/>
        </w:numPr>
        <w:spacing w:after="200" w:line="360" w:lineRule="auto"/>
        <w:jc w:val="both"/>
        <w:rPr>
          <w:rFonts w:cstheme="minorHAnsi"/>
        </w:rPr>
      </w:pPr>
      <w:r w:rsidRPr="007C01CB">
        <w:rPr>
          <w:rFonts w:cstheme="minorHAnsi"/>
          <w:i/>
        </w:rPr>
        <w:t>“a mutually beneficial process by which stakeholders or organizations work together towards a common goal”</w:t>
      </w:r>
      <w:r w:rsidRPr="007C01CB">
        <w:rPr>
          <w:rFonts w:cstheme="minorHAnsi"/>
        </w:rPr>
        <w:t xml:space="preserve"> </w:t>
      </w:r>
      <w:r w:rsidRPr="007C01CB">
        <w:rPr>
          <w:rFonts w:cstheme="minorHAnsi"/>
        </w:rPr>
        <w:fldChar w:fldCharType="begin" w:fldLock="1"/>
      </w:r>
      <w:r w:rsidR="00EA4B53">
        <w:rPr>
          <w:rFonts w:cstheme="minorHAnsi"/>
        </w:rPr>
        <w:instrText>ADDIN CSL_CITATION {"citationItems":[{"id":"ITEM-1","itemData":{"author":[{"dropping-particle":"","family":"Elston","given":"Julian Miles","non-dropping-particle":"","parse-names":false,"suffix":""}],"container-title":"Oxford Handbook of Public Health 3rd Ed","id":"ITEM-1","issued":{"date-parts":[["2013"]]},"page":"526-538","publisher":"Oxford University Press","publisher-place":"Oxford","title":"Partnerships","type":"chapter"},"locator":"527","uris":["http://www.mendeley.com/documents/?uuid=1b044fb3-1cbd-472f-b1a0-c6030f742841"]}],"mendeley":{"formattedCitation":"&lt;sup&gt;57&lt;/sup&gt;","plainTextFormattedCitation":"57","previouslyFormattedCitation":"&lt;sup&gt;57&lt;/sup&gt;"},"properties":{"noteIndex":0},"schema":"https://github.com/citation-style-language/schema/raw/master/csl-citation.json"}</w:instrText>
      </w:r>
      <w:r w:rsidRPr="007C01CB">
        <w:rPr>
          <w:rFonts w:cstheme="minorHAnsi"/>
        </w:rPr>
        <w:fldChar w:fldCharType="separate"/>
      </w:r>
      <w:r w:rsidR="00E25884" w:rsidRPr="00E25884">
        <w:rPr>
          <w:rFonts w:cstheme="minorHAnsi"/>
          <w:noProof/>
          <w:vertAlign w:val="superscript"/>
        </w:rPr>
        <w:t>57</w:t>
      </w:r>
      <w:r w:rsidRPr="007C01CB">
        <w:rPr>
          <w:rFonts w:cstheme="minorHAnsi"/>
        </w:rPr>
        <w:fldChar w:fldCharType="end"/>
      </w:r>
      <w:r w:rsidRPr="007C01CB">
        <w:rPr>
          <w:rFonts w:cstheme="minorHAnsi"/>
        </w:rPr>
        <w:t xml:space="preserve">. </w:t>
      </w:r>
    </w:p>
    <w:p w14:paraId="380A9A07" w14:textId="118228B5" w:rsidR="007873A7" w:rsidRPr="007C01CB" w:rsidRDefault="007873A7" w:rsidP="00525BE0">
      <w:pPr>
        <w:pStyle w:val="ListParagraph"/>
        <w:numPr>
          <w:ilvl w:val="0"/>
          <w:numId w:val="2"/>
        </w:numPr>
        <w:spacing w:after="200" w:line="360" w:lineRule="auto"/>
        <w:jc w:val="both"/>
        <w:rPr>
          <w:rFonts w:cstheme="minorHAnsi"/>
        </w:rPr>
      </w:pPr>
      <w:r w:rsidRPr="007C01CB">
        <w:rPr>
          <w:rFonts w:cstheme="minorHAnsi"/>
          <w:i/>
        </w:rPr>
        <w:t>“a negotiation between people from different organisations with a commitment to working together over more than the short term to secure improvements which could not have been achieved by acting alone”</w:t>
      </w:r>
      <w:r w:rsidRPr="007C01CB">
        <w:rPr>
          <w:rFonts w:cstheme="minorHAnsi"/>
        </w:rPr>
        <w:t xml:space="preserve"> </w:t>
      </w:r>
      <w:r w:rsidRPr="007C01CB">
        <w:rPr>
          <w:rFonts w:cstheme="minorHAnsi"/>
        </w:rPr>
        <w:fldChar w:fldCharType="begin" w:fldLock="1"/>
      </w:r>
      <w:r w:rsidR="00EA4B53">
        <w:rPr>
          <w:rFonts w:cstheme="minorHAnsi"/>
        </w:rPr>
        <w:instrText>ADDIN CSL_CITATION {"citationItems":[{"id":"ITEM-1","itemData":{"ISSN":"1471-9037","author":[{"dropping-particle":"","family":"Dickinson","given":"Helen","non-dropping-particle":"","parse-names":false,"suffix":""},{"dropping-particle":"","family":"Glasby","given":"Jon","non-dropping-particle":"","parse-names":false,"suffix":""}],"container-title":"Public Management Review","id":"ITEM-1","issue":"6","issued":{"date-parts":[["2010"]]},"page":"811-828","publisher":"Taylor &amp; Francis","title":"‘Why Partnership Working Doesn't Work’ Pitfalls, problems and possibilities in English health and social care","type":"article-journal","volume":"12"},"uris":["http://www.mendeley.com/documents/?uuid=6c0a5c3d-f9fa-42ec-80e8-50fdcb45a5cf"]}],"mendeley":{"formattedCitation":"&lt;sup&gt;17&lt;/sup&gt;","plainTextFormattedCitation":"17","previouslyFormattedCitation":"&lt;sup&gt;17&lt;/sup&gt;"},"properties":{"noteIndex":0},"schema":"https://github.com/citation-style-language/schema/raw/master/csl-citation.json"}</w:instrText>
      </w:r>
      <w:r w:rsidRPr="007C01CB">
        <w:rPr>
          <w:rFonts w:cstheme="minorHAnsi"/>
        </w:rPr>
        <w:fldChar w:fldCharType="separate"/>
      </w:r>
      <w:r w:rsidR="00E25884" w:rsidRPr="00E25884">
        <w:rPr>
          <w:rFonts w:cstheme="minorHAnsi"/>
          <w:noProof/>
          <w:vertAlign w:val="superscript"/>
        </w:rPr>
        <w:t>17</w:t>
      </w:r>
      <w:r w:rsidRPr="007C01CB">
        <w:rPr>
          <w:rFonts w:cstheme="minorHAnsi"/>
        </w:rPr>
        <w:fldChar w:fldCharType="end"/>
      </w:r>
      <w:r w:rsidRPr="007C01CB">
        <w:rPr>
          <w:rFonts w:cstheme="minorHAnsi"/>
        </w:rPr>
        <w:t>.</w:t>
      </w:r>
    </w:p>
    <w:p w14:paraId="09C3BED6" w14:textId="60A4F922" w:rsidR="007873A7" w:rsidRPr="007C01CB" w:rsidRDefault="007873A7" w:rsidP="00525BE0">
      <w:pPr>
        <w:pStyle w:val="ListParagraph"/>
        <w:numPr>
          <w:ilvl w:val="0"/>
          <w:numId w:val="2"/>
        </w:numPr>
        <w:spacing w:after="200" w:line="360" w:lineRule="auto"/>
        <w:jc w:val="both"/>
        <w:rPr>
          <w:rFonts w:cstheme="minorHAnsi"/>
        </w:rPr>
      </w:pPr>
      <w:r w:rsidRPr="007C01CB">
        <w:rPr>
          <w:rFonts w:cstheme="minorHAnsi"/>
          <w:i/>
        </w:rPr>
        <w:t xml:space="preserve">“a series of events in the history of a system, leading to the evolution of new structures of interaction and new shared meanings” </w:t>
      </w:r>
      <w:r>
        <w:rPr>
          <w:rFonts w:cstheme="minorHAnsi"/>
          <w:i/>
        </w:rPr>
        <w:fldChar w:fldCharType="begin" w:fldLock="1"/>
      </w:r>
      <w:r w:rsidR="00EA4B53">
        <w:rPr>
          <w:rFonts w:cstheme="minorHAnsi"/>
          <w:i/>
        </w:rPr>
        <w:instrText>ADDIN CSL_CITATION {"citationItems":[{"id":"ITEM-1","itemData":{"DOI":"10.1186/s12889-015-1949-1","ISSN":"14712458","abstract":"Background: Community-Based Participatory Research (CBPR) is an approach in which researchers and community stakeholders form equitable partnerships to tackle issues related to community health improvement and knowledge production. Our 2012 realist review of CBPR outcomes reported long-term effects that were touched upon but not fully explained in the retained literature. To further explore such effects, interviews were conducted with academic and community partners of partnerships retained in the review. Realist methodology was used to increase the understanding of what supports partnership synergy in successful long-term CBPR partnerships, and to further document how equitable partnerships can result in numerous benefits including the sustainability of relationships, research and solutions. Methods: Building on our previous realist review of CBPR, we contacted the authors of longitudinal studies of academic-community partnerships retained in the review. Twenty-four participants (community members and researchers) from 11 partnerships were interviewed. Realist logic of analysis was used, involving middle-range theory, context-mechanism-outcome configuration (CMOcs) and the concept of the 'ripple effect'. Results: The analysis supports the central importance of developing and strengthening partnership synergy through trust. The ripple effect concept in conjunction with CMOcs showed that a sense of trust amongst CBPR members was a prominent mechanism leading to partnership sustainability. This in turn resulted in population-level outcomes including: (a) sustaining collaborative efforts toward health improvement; (b) generating spin-off projects; and (c) achieving systemic transformations. Conclusion: These results add to other studies on improving the science of CBPR in partnerships with a high level of power-sharing and co-governance. Our results suggest sustaining CBPR and achieving unanticipated benefits likely depend on trust-related mechanisms and a continuing commitment to power-sharing. These findings have implications for building successful CBPR partnerships to address challenging public health problems and the complex assessment of outcomes.","author":[{"dropping-particle":"","family":"Jagosh","given":"Justin","non-dropping-particle":"","parse-names":false,"suffix":""},{"dropping-particle":"","family":"Bush","given":"Paula L.","non-dropping-particle":"","parse-names":false,"suffix":""},{"dropping-particle":"","family":"Salsberg","given":"Jon","non-dropping-particle":"","parse-names":false,"suffix":""},{"dropping-particle":"","family":"Macaulay","given":"Ann C.","non-dropping-particle":"","parse-names":false,"suffix":""},{"dropping-particle":"","family":"Greenhalgh","given":"Trish","non-dropping-particle":"","parse-names":false,"suffix":""},{"dropping-particle":"","family":"Wong","given":"Geoff","non-dropping-particle":"","parse-names":false,"suffix":""},{"dropping-particle":"","family":"Cargo","given":"Margaret","non-dropping-particle":"","parse-names":false,"suffix":""},{"dropping-particle":"","family":"Green","given":"Lawrence W.","non-dropping-particle":"","parse-names":false,"suffix":""},{"dropping-particle":"","family":"Herbert","given":"Carol P.","non-dropping-particle":"","parse-names":false,"suffix":""},{"dropping-particle":"","family":"Pluye","given":"Pierre","non-dropping-particle":"","parse-names":false,"suffix":""}],"container-title":"BMC Public Health","id":"ITEM-1","issue":"1","issued":{"date-parts":[["2015"]]},"page":"1-11","publisher":"BMC Public Health","title":"A realist evaluation of community-based participatory research: Partnership synergy, trust building and related ripple effects","type":"article-journal","volume":"15"},"uris":["http://www.mendeley.com/documents/?uuid=af51807d-7f01-4ceb-bdad-7d82155332b7"]}],"mendeley":{"formattedCitation":"&lt;sup&gt;54&lt;/sup&gt;","plainTextFormattedCitation":"54","previouslyFormattedCitation":"&lt;sup&gt;54&lt;/sup&gt;"},"properties":{"noteIndex":0},"schema":"https://github.com/citation-style-language/schema/raw/master/csl-citation.json"}</w:instrText>
      </w:r>
      <w:r>
        <w:rPr>
          <w:rFonts w:cstheme="minorHAnsi"/>
          <w:i/>
        </w:rPr>
        <w:fldChar w:fldCharType="separate"/>
      </w:r>
      <w:r w:rsidR="00E25884" w:rsidRPr="00E25884">
        <w:rPr>
          <w:rFonts w:cstheme="minorHAnsi"/>
          <w:noProof/>
          <w:vertAlign w:val="superscript"/>
        </w:rPr>
        <w:t>54</w:t>
      </w:r>
      <w:r>
        <w:rPr>
          <w:rFonts w:cstheme="minorHAnsi"/>
          <w:i/>
        </w:rPr>
        <w:fldChar w:fldCharType="end"/>
      </w:r>
      <w:r>
        <w:rPr>
          <w:rFonts w:cstheme="minorHAnsi"/>
          <w:i/>
        </w:rPr>
        <w:t>.</w:t>
      </w:r>
    </w:p>
    <w:p w14:paraId="357CC560" w14:textId="5AF7D443" w:rsidR="007873A7" w:rsidRPr="007C01CB" w:rsidRDefault="007873A7" w:rsidP="00525BE0">
      <w:pPr>
        <w:spacing w:line="360" w:lineRule="auto"/>
        <w:jc w:val="both"/>
        <w:rPr>
          <w:rFonts w:cstheme="minorHAnsi"/>
          <w:noProof/>
        </w:rPr>
      </w:pPr>
      <w:r w:rsidRPr="007C01CB">
        <w:rPr>
          <w:rFonts w:cstheme="minorHAnsi"/>
        </w:rPr>
        <w:t xml:space="preserve">‘Partnering’ is another term that is commonly used in the literature. Miller and Millar (2017) suggest that partnering is useful term for understanding </w:t>
      </w:r>
      <w:r>
        <w:rPr>
          <w:rFonts w:cstheme="minorHAnsi"/>
        </w:rPr>
        <w:t>various joint working arrangements</w:t>
      </w:r>
      <w:r w:rsidR="00200EB7">
        <w:rPr>
          <w:rFonts w:cstheme="minorHAnsi"/>
        </w:rPr>
        <w:t xml:space="preserve"> </w:t>
      </w:r>
      <w:r w:rsidR="00200EB7">
        <w:rPr>
          <w:rFonts w:cstheme="minorHAnsi"/>
        </w:rPr>
        <w:fldChar w:fldCharType="begin" w:fldLock="1"/>
      </w:r>
      <w:r w:rsidR="00EA4B53">
        <w:rPr>
          <w:rFonts w:cstheme="minorHAnsi"/>
        </w:rPr>
        <w:instrText>ADDIN CSL_CITATION {"citationItems":[{"id":"ITEM-1","itemData":{"abstract":"Introduction The idea of partnerships and collaboration across organisational boundaries is not new in the NHS in England, but it is reaching a zenith in policymakers’ minds. The 2017–19 planning guidance for the NHS put it simply: partnership behaviours are becoming ‘the new norm’ and ‘What makes most sense for patients, communities and the taxpayer should always trump the narrower interests of individual organisations.’1 This idea underpins the sustainability and transformation partnerships and the new models of care set out in the Five year forward view for the NHS in England.2 It also builds on the experience of initiatives that have been tried over the past decade, ranging from new forms of organisational links (eg buddying and franchises) to building networks and communities of practitioners to help improve health service delivery. The Health Foundation has contributed to developing the evidence base for networks – for example, by funding programmes to help clinical communities improve quality of care in specific areas of practice,3 reviewing how to develop and manage effective networks to support quality improvement,4 and developing Q, a connected community of people who have improvement expertise from across the UK.5 But less is known about what makes for successful partnerships between providers at an organisational level. For this reason, the Health Foundation commissioned the Health Services Management Centre (HSMC) at the University of Birmingham to look at a range of current organisational partnerships, and draw some tentative learning to help inform and guide both policymakers and providers. This briefing by the Health Foundation and HSMC summarises the main findings of the research report and what providers and policymakers can learn. The research report, Partnering for improvement: inter-organisational developments in the NHS, is available at www.birmingham.ac.uk/partnering-for-improvement.6","author":[{"dropping-particle":"","family":"Miller","given":"Robin","non-dropping-particle":"","parse-names":false,"suffix":""},{"dropping-particle":"","family":"Millar","given":"Ross","non-dropping-particle":"","parse-names":false,"suffix":""}],"container-title":"Health Foundation","id":"ITEM-1","issue":"September","issued":{"date-parts":[["2017"]]},"title":"Partnerships for improvement: ingredients for success","type":"report"},"uris":["http://www.mendeley.com/documents/?uuid=d0c5f80f-2b8d-4582-ae88-734dcb538e8d"]}],"mendeley":{"formattedCitation":"&lt;sup&gt;13&lt;/sup&gt;","plainTextFormattedCitation":"13","previouslyFormattedCitation":"&lt;sup&gt;13&lt;/sup&gt;"},"properties":{"noteIndex":0},"schema":"https://github.com/citation-style-language/schema/raw/master/csl-citation.json"}</w:instrText>
      </w:r>
      <w:r w:rsidR="00200EB7">
        <w:rPr>
          <w:rFonts w:cstheme="minorHAnsi"/>
        </w:rPr>
        <w:fldChar w:fldCharType="separate"/>
      </w:r>
      <w:r w:rsidR="00E25884" w:rsidRPr="00E25884">
        <w:rPr>
          <w:rFonts w:cstheme="minorHAnsi"/>
          <w:noProof/>
          <w:vertAlign w:val="superscript"/>
        </w:rPr>
        <w:t>13</w:t>
      </w:r>
      <w:r w:rsidR="00200EB7">
        <w:rPr>
          <w:rFonts w:cstheme="minorHAnsi"/>
        </w:rPr>
        <w:fldChar w:fldCharType="end"/>
      </w:r>
      <w:r w:rsidRPr="007C01CB">
        <w:rPr>
          <w:rFonts w:cstheme="minorHAnsi"/>
        </w:rPr>
        <w:t xml:space="preserve">. </w:t>
      </w:r>
      <w:r w:rsidRPr="007C01CB">
        <w:rPr>
          <w:rFonts w:cstheme="minorHAnsi"/>
        </w:rPr>
        <w:fldChar w:fldCharType="begin" w:fldLock="1"/>
      </w:r>
      <w:r w:rsidR="00EA4B53">
        <w:rPr>
          <w:rFonts w:cstheme="minorHAnsi"/>
        </w:rPr>
        <w:instrText>ADDIN CSL_CITATION {"citationItems":[{"id":"ITEM-1","itemData":{"DOI":"10.1061/(ASCE)0742-597X(1995)11:5(33)","ISSN":"0742597X","abstract":"Partnering is typically defined in one of two ways: by its intended attributes such as trust, mutual goals, long-term commitment; or by the process where partnering is seen as a verb, as in developing a mission statement, agreeing on goals, etc. These definitions of partnering illustrate the intended results of partnering and the process that brought them about; however, they leave undefined the entity of partnering. This definitional bias contributes to existing limitations in the implementation of partnering, such as the unpredictability of success versus failure in a partnering situation. In this paper, partnering is conceptually defined as an organization formed through the implementation of a cooperative strategy by modifying and supplementing the traditional boundaries that separate companies in a competitive climate. In this way, partnering wraps the major project participants into an alliance, creating a cohesive atmosphere for open interaction and cooperative project performance.© ASCE.","author":[{"dropping-particle":"","family":"Crowley","given":"Larry G.","non-dropping-particle":"","parse-names":false,"suffix":""},{"dropping-particle":"","family":"Karim","given":"Ariful","non-dropping-particle":"","parse-names":false,"suffix":""}],"container-title":"Journal of Management in Engineering","id":"ITEM-1","issue":"5","issued":{"date-parts":[["1995"]]},"page":"33-39","title":"Conceptual model of partnering","type":"article-journal","volume":"11"},"locator":"36","uris":["http://www.mendeley.com/documents/?uuid=b1a1faf0-9eb9-4062-8629-5c309f7c0901"]}],"mendeley":{"formattedCitation":"&lt;sup&gt;58&lt;/sup&gt;","manualFormatting":"Crowley &amp; Karim (1995, p. 36)","plainTextFormattedCitation":"58","previouslyFormattedCitation":"&lt;sup&gt;58&lt;/sup&gt;"},"properties":{"noteIndex":0},"schema":"https://github.com/citation-style-language/schema/raw/master/csl-citation.json"}</w:instrText>
      </w:r>
      <w:r w:rsidRPr="007C01CB">
        <w:rPr>
          <w:rFonts w:cstheme="minorHAnsi"/>
        </w:rPr>
        <w:fldChar w:fldCharType="separate"/>
      </w:r>
      <w:r w:rsidRPr="007C01CB">
        <w:rPr>
          <w:rFonts w:cstheme="minorHAnsi"/>
          <w:noProof/>
        </w:rPr>
        <w:t>Crowley &amp; Karim (1995, p. 36)</w:t>
      </w:r>
      <w:r w:rsidRPr="007C01CB">
        <w:rPr>
          <w:rFonts w:cstheme="minorHAnsi"/>
        </w:rPr>
        <w:fldChar w:fldCharType="end"/>
      </w:r>
      <w:r w:rsidRPr="007C01CB">
        <w:rPr>
          <w:rFonts w:cstheme="minorHAnsi"/>
        </w:rPr>
        <w:t xml:space="preserve"> define partnering as: </w:t>
      </w:r>
    </w:p>
    <w:p w14:paraId="0EACBF1B" w14:textId="77777777" w:rsidR="007873A7" w:rsidRPr="007C01CB" w:rsidRDefault="007873A7" w:rsidP="00525BE0">
      <w:pPr>
        <w:spacing w:line="360" w:lineRule="auto"/>
        <w:ind w:left="720"/>
        <w:jc w:val="both"/>
        <w:rPr>
          <w:rFonts w:cstheme="minorHAnsi"/>
          <w:i/>
        </w:rPr>
      </w:pPr>
      <w:r w:rsidRPr="007C01CB">
        <w:rPr>
          <w:rFonts w:cstheme="minorHAnsi"/>
          <w:i/>
        </w:rPr>
        <w:t>“a co-operative strategy [that an organization implements] by modifying and supplementing the traditional boundaries that separate organizations in a competitive climate. In this way, partnering can be used to create a cohesive atmosphere [in which] all project team members openly interact and perform.”</w:t>
      </w:r>
    </w:p>
    <w:p w14:paraId="6AE288BB" w14:textId="77777777" w:rsidR="00FA4690" w:rsidRDefault="00FA4690" w:rsidP="00525BE0">
      <w:pPr>
        <w:spacing w:line="360" w:lineRule="auto"/>
        <w:jc w:val="both"/>
        <w:rPr>
          <w:rFonts w:cstheme="minorHAnsi"/>
        </w:rPr>
      </w:pPr>
    </w:p>
    <w:p w14:paraId="11F62B4D" w14:textId="77777777" w:rsidR="00FA4690" w:rsidRDefault="00FA4690" w:rsidP="00525BE0">
      <w:pPr>
        <w:spacing w:line="360" w:lineRule="auto"/>
        <w:jc w:val="both"/>
        <w:rPr>
          <w:rFonts w:cstheme="minorHAnsi"/>
        </w:rPr>
      </w:pPr>
    </w:p>
    <w:p w14:paraId="142C3060" w14:textId="094766FA" w:rsidR="007873A7" w:rsidRDefault="007873A7" w:rsidP="00525BE0">
      <w:pPr>
        <w:spacing w:line="360" w:lineRule="auto"/>
        <w:jc w:val="both"/>
        <w:rPr>
          <w:rFonts w:cstheme="minorHAnsi"/>
        </w:rPr>
      </w:pPr>
      <w:r w:rsidRPr="007C01CB">
        <w:rPr>
          <w:rFonts w:cstheme="minorHAnsi"/>
        </w:rPr>
        <w:t>Inter-organisational collaboration is a similar term that has been defined by as</w:t>
      </w:r>
      <w:r w:rsidR="007E4E5A">
        <w:rPr>
          <w:rFonts w:cstheme="minorHAnsi"/>
        </w:rPr>
        <w:t xml:space="preserve"> the following</w:t>
      </w:r>
      <w:r w:rsidRPr="007C01CB">
        <w:rPr>
          <w:rFonts w:cstheme="minorHAnsi"/>
        </w:rPr>
        <w:t>:</w:t>
      </w:r>
    </w:p>
    <w:p w14:paraId="24ACBEAE" w14:textId="23A33434" w:rsidR="007E4E5A" w:rsidRPr="007C01CB" w:rsidRDefault="007E4E5A" w:rsidP="007E4E5A">
      <w:pPr>
        <w:spacing w:line="360" w:lineRule="auto"/>
        <w:ind w:left="720"/>
        <w:jc w:val="both"/>
        <w:rPr>
          <w:rFonts w:cstheme="minorHAnsi"/>
        </w:rPr>
      </w:pPr>
      <w:r w:rsidRPr="007E4E5A">
        <w:rPr>
          <w:rFonts w:cstheme="minorHAnsi"/>
          <w:i/>
        </w:rPr>
        <w:t>“interorganizational collaboration is the set of communicative processes in which individuals representing multiple organizations or stakeholders engage when working interdependently to address problems outside the spheres of individuals or organizations working in isolation. The outcomes of these processes have the potential to benefit or harm the parties to the collaboration, as well as others.”</w:t>
      </w:r>
      <w:r>
        <w:rPr>
          <w:rFonts w:cstheme="minorHAnsi"/>
        </w:rPr>
        <w:t xml:space="preserve"> </w:t>
      </w:r>
      <w:r w:rsidR="00200EB7">
        <w:rPr>
          <w:rFonts w:cstheme="minorHAnsi"/>
        </w:rPr>
        <w:fldChar w:fldCharType="begin" w:fldLock="1"/>
      </w:r>
      <w:r w:rsidR="00EA4B53">
        <w:rPr>
          <w:rFonts w:cstheme="minorHAnsi"/>
        </w:rPr>
        <w:instrText>ADDIN CSL_CITATION {"citationItems":[{"id":"ITEM-1","itemData":{"DOI":"10.1111/j.1468-2885.2008.00327.x","ISSN":"10503293","abstract":"Generally theorized and empirically examined as an organization phenomenon, collaboration may be more productively explored from a mesolevel model that simultaneously addresses group, organizational, and public frames. Examining how individuals communicate in those frames revealed four discursive productions of collaboration, which were previously undertheorized. Thus, we propose a communicative model that details the simultaneously occurring communication at multiple levels that gives rise to the emergence and effectiveness of collaborating talk. In this model, communication is no longer described as one of the component(s) of collaboration; communication is elevated to the essence of collaboration. Working from observations and records of a 9-month interorganizational collaboration, this article develops a mesolevel communicative model of collaboration and demonstrates that the bulk of collaborative communication occurs at the team level - indeed, the level where relationships among individuals and organizations is revealed and acted upon. © 2008 International Communication Association.","author":[{"dropping-particle":"","family":"Keyton","given":"Joann","non-dropping-particle":"","parse-names":false,"suffix":""},{"dropping-particle":"","family":"Ford","given":"Debra J.","non-dropping-particle":"","parse-names":false,"suffix":""},{"dropping-particle":"","family":"Smith","given":"Faye L.","non-dropping-particle":"","parse-names":false,"suffix":""}],"container-title":"Communication Theory","id":"ITEM-1","issue":"3","issued":{"date-parts":[["2008"]]},"page":"376-406","title":"A mesolevel communicative model of collaboration","type":"article-journal","volume":"18"},"locator":"381","uris":["http://www.mendeley.com/documents/?uuid=7da1c8a0-747f-4cfb-9a1d-52d8e8dfe9e7"]}],"mendeley":{"formattedCitation":"&lt;sup&gt;59&lt;/sup&gt;","plainTextFormattedCitation":"59","previouslyFormattedCitation":"&lt;sup&gt;59&lt;/sup&gt;"},"properties":{"noteIndex":0},"schema":"https://github.com/citation-style-language/schema/raw/master/csl-citation.json"}</w:instrText>
      </w:r>
      <w:r w:rsidR="00200EB7">
        <w:rPr>
          <w:rFonts w:cstheme="minorHAnsi"/>
        </w:rPr>
        <w:fldChar w:fldCharType="separate"/>
      </w:r>
      <w:r w:rsidR="00E25884" w:rsidRPr="00E25884">
        <w:rPr>
          <w:rFonts w:cstheme="minorHAnsi"/>
          <w:noProof/>
          <w:vertAlign w:val="superscript"/>
        </w:rPr>
        <w:t>59</w:t>
      </w:r>
      <w:r w:rsidR="00200EB7">
        <w:rPr>
          <w:rFonts w:cstheme="minorHAnsi"/>
        </w:rPr>
        <w:fldChar w:fldCharType="end"/>
      </w:r>
      <w:r w:rsidR="00200EB7">
        <w:rPr>
          <w:rFonts w:cstheme="minorHAnsi"/>
        </w:rPr>
        <w:t>.</w:t>
      </w:r>
    </w:p>
    <w:p w14:paraId="7E4883E0" w14:textId="3DEEBFFF" w:rsidR="007873A7" w:rsidRPr="007C01CB" w:rsidRDefault="007873A7" w:rsidP="00525BE0">
      <w:pPr>
        <w:spacing w:line="360" w:lineRule="auto"/>
        <w:ind w:left="720"/>
        <w:jc w:val="both"/>
        <w:rPr>
          <w:rFonts w:cstheme="minorHAnsi"/>
        </w:rPr>
      </w:pPr>
      <w:r w:rsidRPr="007C01CB">
        <w:rPr>
          <w:rFonts w:cstheme="minorHAnsi"/>
        </w:rPr>
        <w:t>﻿“</w:t>
      </w:r>
      <w:r w:rsidR="007E4E5A" w:rsidRPr="007E4E5A">
        <w:t xml:space="preserve"> </w:t>
      </w:r>
      <w:r w:rsidR="007E4E5A" w:rsidRPr="007E4E5A">
        <w:rPr>
          <w:i/>
        </w:rPr>
        <w:t>[</w:t>
      </w:r>
      <w:r w:rsidR="007E4E5A" w:rsidRPr="007E4E5A">
        <w:rPr>
          <w:rFonts w:cstheme="minorHAnsi"/>
          <w:i/>
        </w:rPr>
        <w:t>interorganizational collaboration]</w:t>
      </w:r>
      <w:r w:rsidR="007E4E5A" w:rsidRPr="007E4E5A">
        <w:rPr>
          <w:rFonts w:cstheme="minorHAnsi"/>
        </w:rPr>
        <w:t xml:space="preserve"> </w:t>
      </w:r>
      <w:r w:rsidRPr="007C01CB">
        <w:rPr>
          <w:rFonts w:cstheme="minorHAnsi"/>
          <w:i/>
          <w:iCs/>
        </w:rPr>
        <w:t>the belief that more valuable knowledge can be created than if each organization were to work alone as complementary resources and competencies from partners can create interorganizational synergies</w:t>
      </w:r>
      <w:r>
        <w:rPr>
          <w:rFonts w:cstheme="minorHAnsi"/>
        </w:rPr>
        <w:t xml:space="preserve">” </w:t>
      </w:r>
      <w:r>
        <w:rPr>
          <w:rFonts w:cstheme="minorHAnsi"/>
        </w:rPr>
        <w:fldChar w:fldCharType="begin" w:fldLock="1"/>
      </w:r>
      <w:r w:rsidR="00EA4B53">
        <w:rPr>
          <w:rFonts w:cstheme="minorHAnsi"/>
        </w:rPr>
        <w:instrText>ADDIN CSL_CITATION {"citationItems":[{"id":"ITEM-1","itemData":{"DOI":"10.1111/j.1365-2934.2007.00771.x","ISSN":"09660429","abstract":"Aim Key factors of successful interorganizational partnerships are applied to the context of nursing and midwifery education. Background Reports in nursing education emphasize the need for more collaborative partnerships between the education and healthcare sectors of nursing and midwifery education. Evaluation There is little research examining the implementation of interorganizational relationships particularly in nursing.Key issues Key success factors are grouped into seven areas of trust and valuing the partner, leadership and managing change, a partnership framework, communication and interaction, equity and involvement in decision making, power and the role of partnership coordinator.Conclusion There is a need for contextual research in relation to implementing partnership in nursing and midwifery. Implications Partnership arrangements are essential for quality nursing and midwifery education. This article adds knowledge by way of application of these factors to organizations that provide nursing and midwifery education. Nurse managers have an important role in determining the quality of learning experience within the health service. It is essential, therefore that both nurse managers and nurse educationalist know the key factors which promote successful interoganizational relationships to ensure these factors are manifest in practice. © 2008 Blackwell Publishing Ltd.","author":[{"dropping-particle":"","family":"Casey","given":"Mary","non-dropping-particle":"","parse-names":false,"suffix":""}],"container-title":"Journal of Nursing Management","id":"ITEM-1","issue":"1","issued":{"date-parts":[["2008"]]},"page":"72-83","title":"Partnership - Success factors of interorganizational relationships","type":"article-journal","volume":"16"},"uris":["http://www.mendeley.com/documents/?uuid=153eb097-365e-4bd0-956f-00473a46ed98"]}],"mendeley":{"formattedCitation":"&lt;sup&gt;60&lt;/sup&gt;","plainTextFormattedCitation":"60","previouslyFormattedCitation":"&lt;sup&gt;60&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60</w:t>
      </w:r>
      <w:r>
        <w:rPr>
          <w:rFonts w:cstheme="minorHAnsi"/>
        </w:rPr>
        <w:fldChar w:fldCharType="end"/>
      </w:r>
      <w:r>
        <w:rPr>
          <w:rFonts w:cstheme="minorHAnsi"/>
        </w:rPr>
        <w:t>.</w:t>
      </w:r>
    </w:p>
    <w:p w14:paraId="231A5228" w14:textId="13464BB5" w:rsidR="007E4E5A" w:rsidRDefault="007873A7" w:rsidP="00525BE0">
      <w:pPr>
        <w:spacing w:line="360" w:lineRule="auto"/>
        <w:jc w:val="both"/>
        <w:rPr>
          <w:rFonts w:cstheme="minorHAnsi"/>
        </w:rPr>
      </w:pPr>
      <w:r w:rsidRPr="007C01CB">
        <w:rPr>
          <w:rFonts w:cstheme="minorHAnsi"/>
        </w:rPr>
        <w:t xml:space="preserve">While defined differently by different authors, common to many definitions of </w:t>
      </w:r>
      <w:r w:rsidR="007E4E5A">
        <w:rPr>
          <w:rFonts w:cstheme="minorHAnsi"/>
        </w:rPr>
        <w:t xml:space="preserve">partnership working, </w:t>
      </w:r>
      <w:r w:rsidR="00600A57" w:rsidRPr="007C01CB">
        <w:rPr>
          <w:rFonts w:cstheme="minorHAnsi"/>
        </w:rPr>
        <w:t>partnering,</w:t>
      </w:r>
      <w:r w:rsidRPr="007C01CB">
        <w:rPr>
          <w:rFonts w:cstheme="minorHAnsi"/>
        </w:rPr>
        <w:t xml:space="preserve"> and collaborating is the notion of working together to achieve benefits that would otherwise not be attainable by working </w:t>
      </w:r>
      <w:r w:rsidR="00FA4690">
        <w:rPr>
          <w:rFonts w:cstheme="minorHAnsi"/>
        </w:rPr>
        <w:t>a</w:t>
      </w:r>
      <w:r w:rsidRPr="007C01CB">
        <w:rPr>
          <w:rFonts w:cstheme="minorHAnsi"/>
        </w:rPr>
        <w:t>lone. The core notion of ‘working together’ is a commonality across</w:t>
      </w:r>
      <w:r w:rsidR="007E4E5A">
        <w:rPr>
          <w:rFonts w:cstheme="minorHAnsi"/>
        </w:rPr>
        <w:t xml:space="preserve"> these</w:t>
      </w:r>
      <w:r w:rsidRPr="007C01CB">
        <w:rPr>
          <w:rFonts w:cstheme="minorHAnsi"/>
        </w:rPr>
        <w:t xml:space="preserve"> terms. We will primarily be using the term inter-organisational collaboration in this report, but the term</w:t>
      </w:r>
      <w:r w:rsidR="007E4E5A">
        <w:rPr>
          <w:rFonts w:cstheme="minorHAnsi"/>
        </w:rPr>
        <w:t>s partnership working and partnering</w:t>
      </w:r>
      <w:r w:rsidRPr="007C01CB">
        <w:rPr>
          <w:rFonts w:cstheme="minorHAnsi"/>
        </w:rPr>
        <w:t xml:space="preserve"> may also be used </w:t>
      </w:r>
      <w:r w:rsidR="007E4E5A">
        <w:rPr>
          <w:rFonts w:cstheme="minorHAnsi"/>
        </w:rPr>
        <w:t>the express particular instances of joint working</w:t>
      </w:r>
      <w:r w:rsidRPr="007C01CB">
        <w:rPr>
          <w:rFonts w:cstheme="minorHAnsi"/>
        </w:rPr>
        <w:t>.</w:t>
      </w:r>
    </w:p>
    <w:p w14:paraId="38E7C5CD" w14:textId="77777777" w:rsidR="00D91907" w:rsidRPr="007C01CB" w:rsidRDefault="00D91907" w:rsidP="00525BE0">
      <w:pPr>
        <w:spacing w:line="360" w:lineRule="auto"/>
        <w:jc w:val="both"/>
        <w:rPr>
          <w:rFonts w:cstheme="minorHAnsi"/>
        </w:rPr>
      </w:pPr>
    </w:p>
    <w:p w14:paraId="5008D538" w14:textId="77777777" w:rsidR="007873A7" w:rsidRPr="007C01CB" w:rsidRDefault="007873A7" w:rsidP="00525BE0">
      <w:pPr>
        <w:pStyle w:val="Heading2"/>
        <w:spacing w:line="360" w:lineRule="auto"/>
        <w:jc w:val="both"/>
      </w:pPr>
      <w:bookmarkStart w:id="22" w:name="_Toc85066409"/>
      <w:r w:rsidRPr="007C01CB">
        <w:t>Types of partnering</w:t>
      </w:r>
      <w:bookmarkEnd w:id="22"/>
    </w:p>
    <w:p w14:paraId="3FB98057" w14:textId="207BB0CA" w:rsidR="0049544F" w:rsidRDefault="007873A7" w:rsidP="00525BE0">
      <w:pPr>
        <w:spacing w:line="360" w:lineRule="auto"/>
        <w:jc w:val="both"/>
        <w:rPr>
          <w:rFonts w:cstheme="minorHAnsi"/>
        </w:rPr>
      </w:pPr>
      <w:r w:rsidRPr="007C01CB">
        <w:rPr>
          <w:rFonts w:cstheme="minorHAnsi"/>
        </w:rPr>
        <w:t xml:space="preserve">A range of scales and types of partnership working can be identified. These have been presented as existing along a continuum by various authors </w:t>
      </w:r>
      <w:r w:rsidRPr="007C01CB">
        <w:rPr>
          <w:rFonts w:cstheme="minorHAnsi"/>
        </w:rPr>
        <w:fldChar w:fldCharType="begin" w:fldLock="1"/>
      </w:r>
      <w:r w:rsidR="00EA4B53">
        <w:rPr>
          <w:rFonts w:cstheme="minorHAnsi"/>
        </w:rPr>
        <w:instrText>ADDIN CSL_CITATION {"citationItems":[{"id":"ITEM-1","itemData":{"DOI":"10.1108/JICA-05-2020-0026","ISSN":"1476-9018","abstract":"Purpose The National Health Service (NHS) is facing unprecedented financial strain. These significant economic pressures have coincided with concerns regarding the quality and safety of the NHS provider sector. To make the necessary improvements to performance, policy interest has turned to encouraging greater collaboration and partnership working across providers. Design/methodology/approach Using a purposive search of academic and grey literature, this narrative review aimed (1) to establish a working typology of partnering arrangements for improvement across NHS providers and (2) inform the development of a plausible initial rough theory (IRF) of partnering to inform an ongoing realist synthesis. Findings Different types of partnership were characterised by degree of integration and/or organisational change. A review of existing theories of partnering also identified a suitable framework which incorporated key elements to partnerships, such as governance, workforce, leadership and culture. This informed the creation of an IRF of partnerships, which proposes that partnership “interventions” are proposed to primarily cause changes in governance, leadership, IT systems and care model design, which will then go on to affect culture, user engagement and workforce. Research limitations/implications Further realist evaluation, informed by this review, will aim to uncover configurations of mechanisms, contexts and outcomes in various partnering arrangements and limitations. As this is the starting point for building a programme theory, it draws on limited evidence. Originality/value This paper presents a novel theory of partnering and collaborating in healthcare with practical implications for policy makers and practitioners.","author":[{"dropping-particle":"","family":"Aunger","given":"Justin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Marie","non-dropping-particle":"","parse-names":false,"suffix":""},{"dropping-particle":"","family":"McLeod","given":"Hugh","non-dropping-particle":"","parse-names":false,"suffix":""}],"container-title":"Journal of Integrated Care","id":"ITEM-1","issued":{"date-parts":[["2020","9","22"]]},"title":"Building an initial realist theory of partnering across National Health Service providers","type":"article-journal"},"uris":["http://www.mendeley.com/documents/?uuid=ccca7775-b7c4-4cfb-8635-a42715eb28f4"]},{"id":"ITEM-2","itemData":{"DOI":"10.1046/j.1365-2524.2003.04183.x","ISSN":"0966-0410","abstract":"Collaboration between governments, business and the voluntary and community sectors is now central to the way public policy is made, managed and delivered. This book provides a comprehensive and authoritative account of the theory, policy and practice of collaboration. The authors explore the experience of collaboration in regeneration, health and other policy sectors, and assess the consequences of the emergence of public-private partnerships contrasting the UK experience to that elsewhere in the world.","author":[{"dropping-particle":"","family":"Sullivan","given":"Helen","non-dropping-particle":"","parse-names":false,"suffix":""},{"dropping-particle":"","family":"Skelcher","given":"Chris","non-dropping-particle":"","parse-names":false,"suffix":""}],"container-title":"Health and Social Care in the Community","id":"ITEM-2","issue":"2","issued":{"date-parts":[["2003"]]},"number-of-pages":"185-185","title":"Working Across Boundaries: Collaboration in Public Services","type":"book","volume":"11"},"uris":["http://www.mendeley.com/documents/?uuid=a0d40af4-1ab5-4a72-946e-c7a44798a3f6"]},{"id":"ITEM-3","itemData":{"author":[{"dropping-particle":"","family":"Glasby","given":"Jon","non-dropping-particle":"","parse-names":false,"suffix":""},{"dropping-particle":"","family":"Dickinson","given":"Helen","non-dropping-particle":"","parse-names":false,"suffix":""},{"dropping-particle":"","family":"Miller","given":"Robin","non-dropping-particle":"","parse-names":false,"suffix":""}],"container-title":"International journal of integrated care","id":"ITEM-3","issue":"Special 10th Anniversary Edition","issued":{"date-parts":[["2011"]]},"publisher":"Ubiquity Press","title":"Partnership working in England—where we are now and where we’ve come from","type":"article-journal","volume":"11"},"uris":["http://www.mendeley.com/documents/?uuid=782efd7e-68dc-4407-ae5b-28f03456b567"]}],"mendeley":{"formattedCitation":"&lt;sup&gt;8,61,62&lt;/sup&gt;","plainTextFormattedCitation":"8,61,62","previouslyFormattedCitation":"&lt;sup&gt;8,61,62&lt;/sup&gt;"},"properties":{"noteIndex":0},"schema":"https://github.com/citation-style-language/schema/raw/master/csl-citation.json"}</w:instrText>
      </w:r>
      <w:r w:rsidRPr="007C01CB">
        <w:rPr>
          <w:rFonts w:cstheme="minorHAnsi"/>
        </w:rPr>
        <w:fldChar w:fldCharType="separate"/>
      </w:r>
      <w:r w:rsidR="00E25884" w:rsidRPr="00E25884">
        <w:rPr>
          <w:rFonts w:cstheme="minorHAnsi"/>
          <w:noProof/>
          <w:vertAlign w:val="superscript"/>
        </w:rPr>
        <w:t>8,61,62</w:t>
      </w:r>
      <w:r w:rsidRPr="007C01CB">
        <w:rPr>
          <w:rFonts w:cstheme="minorHAnsi"/>
        </w:rPr>
        <w:fldChar w:fldCharType="end"/>
      </w:r>
      <w:r w:rsidRPr="007C01CB">
        <w:rPr>
          <w:rFonts w:cstheme="minorHAnsi"/>
        </w:rPr>
        <w:t xml:space="preserve">. </w:t>
      </w:r>
      <w:r>
        <w:rPr>
          <w:rFonts w:cstheme="minorHAnsi"/>
        </w:rPr>
        <w:fldChar w:fldCharType="begin" w:fldLock="1"/>
      </w:r>
      <w:r w:rsidR="00EA4B53">
        <w:rPr>
          <w:rFonts w:cstheme="minorHAnsi"/>
        </w:rPr>
        <w:instrText>ADDIN CSL_CITATION {"citationItems":[{"id":"ITEM-1","itemData":{"author":[{"dropping-particle":"","family":"Glasby","given":"Jon","non-dropping-particle":"","parse-names":false,"suffix":""},{"dropping-particle":"","family":"Dickinson","given":"Helen","non-dropping-particle":"","parse-names":false,"suffix":""},{"dropping-particle":"","family":"Miller","given":"Robin","non-dropping-particle":"","parse-names":false,"suffix":""}],"container-title":"International journal of integrated care","id":"ITEM-1","issue":"Special 10th Anniversary Edition","issued":{"date-parts":[["2011"]]},"publisher":"Ubiquity Press","title":"Partnership working in England—where we are now and where we’ve come from","type":"article-journal","volume":"11"},"uris":["http://www.mendeley.com/documents/?uuid=782efd7e-68dc-4407-ae5b-28f03456b567"]}],"mendeley":{"formattedCitation":"&lt;sup&gt;8&lt;/sup&gt;","manualFormatting":"Glasby et al (8)","plainTextFormattedCitation":"8","previouslyFormattedCitation":"&lt;sup&gt;8&lt;/sup&gt;"},"properties":{"noteIndex":0},"schema":"https://github.com/citation-style-language/schema/raw/master/csl-citation.json"}</w:instrText>
      </w:r>
      <w:r>
        <w:rPr>
          <w:rFonts w:cstheme="minorHAnsi"/>
        </w:rPr>
        <w:fldChar w:fldCharType="separate"/>
      </w:r>
      <w:r w:rsidRPr="00814743">
        <w:rPr>
          <w:rFonts w:cstheme="minorHAnsi"/>
          <w:noProof/>
        </w:rPr>
        <w:t>Glasby et al</w:t>
      </w:r>
      <w:r>
        <w:rPr>
          <w:rFonts w:cstheme="minorHAnsi"/>
          <w:noProof/>
        </w:rPr>
        <w:t xml:space="preserve"> (</w:t>
      </w:r>
      <w:r w:rsidR="0049544F">
        <w:rPr>
          <w:rFonts w:cstheme="minorHAnsi"/>
          <w:noProof/>
        </w:rPr>
        <w:t>8</w:t>
      </w:r>
      <w:r w:rsidRPr="00814743">
        <w:rPr>
          <w:rFonts w:cstheme="minorHAnsi"/>
          <w:noProof/>
        </w:rPr>
        <w:t>)</w:t>
      </w:r>
      <w:r>
        <w:rPr>
          <w:rFonts w:cstheme="minorHAnsi"/>
        </w:rPr>
        <w:fldChar w:fldCharType="end"/>
      </w:r>
      <w:r>
        <w:rPr>
          <w:rFonts w:cstheme="minorHAnsi"/>
        </w:rPr>
        <w:t xml:space="preserve">, </w:t>
      </w:r>
      <w:r w:rsidRPr="007C01CB">
        <w:rPr>
          <w:rFonts w:cstheme="minorHAnsi"/>
        </w:rPr>
        <w:t xml:space="preserve">for example, distinguish between ‘depth and breadth’ of partnership arrangements. Similarly, Sullivan and Skelcher categorise several different collaborative relationships, ranging from networks (informal, ad hoc relationships) through to formal partnerships, federations, and mergers </w:t>
      </w:r>
      <w:r w:rsidR="001C1FC1">
        <w:rPr>
          <w:rFonts w:cstheme="minorHAnsi"/>
        </w:rPr>
        <w:fldChar w:fldCharType="begin" w:fldLock="1"/>
      </w:r>
      <w:r w:rsidR="00EA4B53">
        <w:rPr>
          <w:rFonts w:cstheme="minorHAnsi"/>
        </w:rPr>
        <w:instrText>ADDIN CSL_CITATION {"citationItems":[{"id":"ITEM-1","itemData":{"DOI":"10.1046/j.1365-2524.2003.04183.x","ISSN":"0966-0410","abstract":"Collaboration between governments, business and the voluntary and community sectors is now central to the way public policy is made, managed and delivered. This book provides a comprehensive and authoritative account of the theory, policy and practice of collaboration. The authors explore the experience of collaboration in regeneration, health and other policy sectors, and assess the consequences of the emergence of public-private partnerships contrasting the UK experience to that elsewhere in the world.","author":[{"dropping-particle":"","family":"Sullivan","given":"Helen","non-dropping-particle":"","parse-names":false,"suffix":""},{"dropping-particle":"","family":"Skelcher","given":"Chris","non-dropping-particle":"","parse-names":false,"suffix":""}],"container-title":"Health and Social Care in the Community","id":"ITEM-1","issue":"2","issued":{"date-parts":[["2003"]]},"number-of-pages":"185-185","title":"Working Across Boundaries: Collaboration in Public Services","type":"book","volume":"11"},"uris":["http://www.mendeley.com/documents/?uuid=a0d40af4-1ab5-4a72-946e-c7a44798a3f6"]}],"mendeley":{"formattedCitation":"&lt;sup&gt;62&lt;/sup&gt;","plainTextFormattedCitation":"62","previouslyFormattedCitation":"&lt;sup&gt;62&lt;/sup&gt;"},"properties":{"noteIndex":0},"schema":"https://github.com/citation-style-language/schema/raw/master/csl-citation.json"}</w:instrText>
      </w:r>
      <w:r w:rsidR="001C1FC1">
        <w:rPr>
          <w:rFonts w:cstheme="minorHAnsi"/>
        </w:rPr>
        <w:fldChar w:fldCharType="separate"/>
      </w:r>
      <w:r w:rsidR="00E25884" w:rsidRPr="00E25884">
        <w:rPr>
          <w:rFonts w:cstheme="minorHAnsi"/>
          <w:noProof/>
          <w:vertAlign w:val="superscript"/>
        </w:rPr>
        <w:t>62</w:t>
      </w:r>
      <w:r w:rsidR="001C1FC1">
        <w:rPr>
          <w:rFonts w:cstheme="minorHAnsi"/>
        </w:rPr>
        <w:fldChar w:fldCharType="end"/>
      </w:r>
      <w:r>
        <w:rPr>
          <w:rFonts w:cstheme="minorHAnsi"/>
        </w:rPr>
        <w:t>.</w:t>
      </w:r>
    </w:p>
    <w:p w14:paraId="60CCA548" w14:textId="77777777" w:rsidR="0049544F" w:rsidRPr="007C01CB" w:rsidRDefault="0049544F" w:rsidP="00525BE0">
      <w:pPr>
        <w:spacing w:line="360" w:lineRule="auto"/>
        <w:jc w:val="both"/>
        <w:rPr>
          <w:rFonts w:cstheme="minorHAnsi"/>
        </w:rPr>
      </w:pPr>
      <w:bookmarkStart w:id="23" w:name="_Hlk104931061"/>
    </w:p>
    <w:tbl>
      <w:tblPr>
        <w:tblStyle w:val="TableGrid"/>
        <w:tblW w:w="10094" w:type="dxa"/>
        <w:tblInd w:w="-176" w:type="dxa"/>
        <w:tblLayout w:type="fixed"/>
        <w:tblLook w:val="04A0" w:firstRow="1" w:lastRow="0" w:firstColumn="1" w:lastColumn="0" w:noHBand="0" w:noVBand="1"/>
      </w:tblPr>
      <w:tblGrid>
        <w:gridCol w:w="1560"/>
        <w:gridCol w:w="1559"/>
        <w:gridCol w:w="3856"/>
        <w:gridCol w:w="3119"/>
      </w:tblGrid>
      <w:tr w:rsidR="0049544F" w:rsidRPr="007C01CB" w14:paraId="067E2906" w14:textId="68E9F3A7" w:rsidTr="006D770F">
        <w:trPr>
          <w:trHeight w:val="704"/>
        </w:trPr>
        <w:tc>
          <w:tcPr>
            <w:tcW w:w="1560" w:type="dxa"/>
          </w:tcPr>
          <w:p w14:paraId="6362DAE3" w14:textId="1A84765D" w:rsidR="0049544F" w:rsidRPr="007C01CB" w:rsidRDefault="0049544F" w:rsidP="006D770F">
            <w:pPr>
              <w:spacing w:line="360" w:lineRule="auto"/>
              <w:rPr>
                <w:rFonts w:ascii="Arial" w:hAnsi="Arial" w:cs="Arial"/>
                <w:b/>
                <w:sz w:val="18"/>
                <w:szCs w:val="18"/>
              </w:rPr>
            </w:pPr>
            <w:r w:rsidRPr="007C01CB">
              <w:rPr>
                <w:rFonts w:ascii="Arial" w:hAnsi="Arial" w:cs="Arial"/>
                <w:b/>
                <w:sz w:val="18"/>
                <w:szCs w:val="18"/>
              </w:rPr>
              <w:t>Form of collaboration</w:t>
            </w:r>
          </w:p>
        </w:tc>
        <w:tc>
          <w:tcPr>
            <w:tcW w:w="1559" w:type="dxa"/>
          </w:tcPr>
          <w:p w14:paraId="62741EB0" w14:textId="06A8BD1A" w:rsidR="0049544F" w:rsidRPr="007C01CB" w:rsidRDefault="0049544F" w:rsidP="00525BE0">
            <w:pPr>
              <w:spacing w:line="360" w:lineRule="auto"/>
              <w:jc w:val="both"/>
              <w:rPr>
                <w:rFonts w:ascii="Arial" w:hAnsi="Arial" w:cs="Arial"/>
                <w:sz w:val="18"/>
                <w:szCs w:val="18"/>
              </w:rPr>
            </w:pPr>
            <w:r w:rsidRPr="007C01CB">
              <w:rPr>
                <w:rFonts w:ascii="Arial" w:hAnsi="Arial" w:cs="Arial"/>
                <w:sz w:val="18"/>
                <w:szCs w:val="18"/>
              </w:rPr>
              <w:t xml:space="preserve">Loose network </w:t>
            </w:r>
          </w:p>
        </w:tc>
        <w:tc>
          <w:tcPr>
            <w:tcW w:w="3856" w:type="dxa"/>
          </w:tcPr>
          <w:p w14:paraId="2D06873A" w14:textId="40A9659B" w:rsidR="0049544F" w:rsidRPr="007C01CB" w:rsidRDefault="0049544F" w:rsidP="00525BE0">
            <w:pPr>
              <w:spacing w:line="360" w:lineRule="auto"/>
              <w:jc w:val="both"/>
              <w:rPr>
                <w:rFonts w:ascii="Arial" w:hAnsi="Arial" w:cs="Arial"/>
                <w:sz w:val="18"/>
                <w:szCs w:val="18"/>
              </w:rPr>
            </w:pPr>
            <w:r w:rsidRPr="007C01CB">
              <w:rPr>
                <w:rFonts w:ascii="Arial" w:hAnsi="Arial" w:cs="Arial"/>
                <w:noProof/>
                <w:sz w:val="18"/>
                <w:szCs w:val="18"/>
                <w:lang w:eastAsia="en-GB"/>
              </w:rPr>
              <mc:AlternateContent>
                <mc:Choice Requires="wps">
                  <w:drawing>
                    <wp:anchor distT="0" distB="0" distL="114300" distR="114300" simplePos="0" relativeHeight="251678720" behindDoc="0" locked="0" layoutInCell="1" allowOverlap="1" wp14:anchorId="79EC6462" wp14:editId="7887FFEB">
                      <wp:simplePos x="0" y="0"/>
                      <wp:positionH relativeFrom="column">
                        <wp:posOffset>125095</wp:posOffset>
                      </wp:positionH>
                      <wp:positionV relativeFrom="paragraph">
                        <wp:posOffset>226695</wp:posOffset>
                      </wp:positionV>
                      <wp:extent cx="1889760" cy="0"/>
                      <wp:effectExtent l="38100" t="76200" r="15240" b="114300"/>
                      <wp:wrapNone/>
                      <wp:docPr id="23" name="Straight Arrow Connector 23"/>
                      <wp:cNvGraphicFramePr/>
                      <a:graphic xmlns:a="http://schemas.openxmlformats.org/drawingml/2006/main">
                        <a:graphicData uri="http://schemas.microsoft.com/office/word/2010/wordprocessingShape">
                          <wps:wsp>
                            <wps:cNvCnPr/>
                            <wps:spPr>
                              <a:xfrm>
                                <a:off x="0" y="0"/>
                                <a:ext cx="1889760" cy="0"/>
                              </a:xfrm>
                              <a:prstGeom prst="straightConnector1">
                                <a:avLst/>
                              </a:prstGeom>
                              <a:noFill/>
                              <a:ln w="6350" cap="flat" cmpd="sng" algn="ctr">
                                <a:solidFill>
                                  <a:sysClr val="windowText" lastClr="000000"/>
                                </a:solidFill>
                                <a:prstDash val="solid"/>
                                <a:miter lim="800000"/>
                                <a:headEnd type="arrow"/>
                                <a:tailEnd type="arrow"/>
                              </a:ln>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045F47DD" id="_x0000_t32" coordsize="21600,21600" o:spt="32" o:oned="t" path="m,l21600,21600e" filled="f">
                      <v:path arrowok="t" fillok="f" o:connecttype="none"/>
                      <o:lock v:ext="edit" shapetype="t"/>
                    </v:shapetype>
                    <v:shape id="Straight Arrow Connector 23" o:spid="_x0000_s1026" type="#_x0000_t32" style="position:absolute;margin-left:9.85pt;margin-top:17.85pt;width:148.8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" strokecolor="windowText" strokeweight=".5pt">
                      <v:stroke startarrow="open" endarrow="open" joinstyle="miter"/>
                    </v:shape>
                  </w:pict>
                </mc:Fallback>
              </mc:AlternateContent>
            </w:r>
          </w:p>
        </w:tc>
        <w:tc>
          <w:tcPr>
            <w:tcW w:w="3119" w:type="dxa"/>
          </w:tcPr>
          <w:p w14:paraId="6E7E8340" w14:textId="3DABC513" w:rsidR="0049544F" w:rsidRPr="007C01CB" w:rsidRDefault="0049544F" w:rsidP="00525BE0">
            <w:pPr>
              <w:spacing w:line="360" w:lineRule="auto"/>
              <w:jc w:val="both"/>
              <w:rPr>
                <w:rFonts w:ascii="Arial" w:hAnsi="Arial" w:cs="Arial"/>
                <w:sz w:val="18"/>
                <w:szCs w:val="18"/>
              </w:rPr>
            </w:pPr>
            <w:r w:rsidRPr="007C01CB">
              <w:rPr>
                <w:rFonts w:ascii="Arial" w:hAnsi="Arial" w:cs="Arial"/>
                <w:sz w:val="18"/>
                <w:szCs w:val="18"/>
              </w:rPr>
              <w:t>Merger into single organisation</w:t>
            </w:r>
          </w:p>
        </w:tc>
      </w:tr>
      <w:tr w:rsidR="0049544F" w:rsidRPr="007C01CB" w14:paraId="7760CACF" w14:textId="444C76F7" w:rsidTr="006D770F">
        <w:tc>
          <w:tcPr>
            <w:tcW w:w="1560" w:type="dxa"/>
          </w:tcPr>
          <w:p w14:paraId="30F8834D" w14:textId="248B00A4" w:rsidR="0049544F" w:rsidRPr="007C01CB" w:rsidRDefault="0049544F" w:rsidP="006D770F">
            <w:pPr>
              <w:spacing w:line="360" w:lineRule="auto"/>
              <w:rPr>
                <w:rFonts w:ascii="Arial" w:hAnsi="Arial" w:cs="Arial"/>
                <w:b/>
                <w:sz w:val="18"/>
                <w:szCs w:val="18"/>
              </w:rPr>
            </w:pPr>
            <w:r w:rsidRPr="007C01CB">
              <w:rPr>
                <w:rFonts w:ascii="Arial" w:hAnsi="Arial" w:cs="Arial"/>
                <w:b/>
                <w:sz w:val="18"/>
                <w:szCs w:val="18"/>
              </w:rPr>
              <w:t>Rules of governance</w:t>
            </w:r>
          </w:p>
        </w:tc>
        <w:tc>
          <w:tcPr>
            <w:tcW w:w="1559" w:type="dxa"/>
          </w:tcPr>
          <w:p w14:paraId="48D1FCAF" w14:textId="7952FBD1" w:rsidR="0049544F" w:rsidRPr="007C01CB" w:rsidRDefault="0049544F" w:rsidP="00525BE0">
            <w:pPr>
              <w:spacing w:line="360" w:lineRule="auto"/>
              <w:jc w:val="both"/>
              <w:rPr>
                <w:rFonts w:ascii="Arial" w:hAnsi="Arial" w:cs="Arial"/>
                <w:sz w:val="18"/>
                <w:szCs w:val="18"/>
              </w:rPr>
            </w:pPr>
            <w:r w:rsidRPr="007C01CB">
              <w:rPr>
                <w:rFonts w:ascii="Arial" w:hAnsi="Arial" w:cs="Arial"/>
                <w:sz w:val="18"/>
                <w:szCs w:val="18"/>
              </w:rPr>
              <w:t xml:space="preserve">Self-government </w:t>
            </w:r>
          </w:p>
        </w:tc>
        <w:tc>
          <w:tcPr>
            <w:tcW w:w="3856" w:type="dxa"/>
          </w:tcPr>
          <w:p w14:paraId="7EEE6173" w14:textId="5701CC5B" w:rsidR="0049544F" w:rsidRPr="007C01CB" w:rsidRDefault="0049544F" w:rsidP="00525BE0">
            <w:pPr>
              <w:spacing w:line="360" w:lineRule="auto"/>
              <w:jc w:val="both"/>
              <w:rPr>
                <w:rFonts w:ascii="Arial" w:hAnsi="Arial" w:cs="Arial"/>
                <w:sz w:val="18"/>
                <w:szCs w:val="18"/>
              </w:rPr>
            </w:pPr>
            <w:r w:rsidRPr="007C01CB">
              <w:rPr>
                <w:rFonts w:ascii="Arial" w:hAnsi="Arial" w:cs="Arial"/>
                <w:noProof/>
                <w:sz w:val="18"/>
                <w:szCs w:val="18"/>
                <w:lang w:eastAsia="en-GB"/>
              </w:rPr>
              <mc:AlternateContent>
                <mc:Choice Requires="wps">
                  <w:drawing>
                    <wp:anchor distT="0" distB="0" distL="114300" distR="114300" simplePos="0" relativeHeight="251680768" behindDoc="0" locked="0" layoutInCell="1" allowOverlap="1" wp14:anchorId="27956E36" wp14:editId="3DCCC530">
                      <wp:simplePos x="0" y="0"/>
                      <wp:positionH relativeFrom="column">
                        <wp:posOffset>180975</wp:posOffset>
                      </wp:positionH>
                      <wp:positionV relativeFrom="paragraph">
                        <wp:posOffset>235585</wp:posOffset>
                      </wp:positionV>
                      <wp:extent cx="1889760" cy="0"/>
                      <wp:effectExtent l="38100" t="76200" r="15240" b="114300"/>
                      <wp:wrapNone/>
                      <wp:docPr id="34" name="Straight Arrow Connector 34"/>
                      <wp:cNvGraphicFramePr/>
                      <a:graphic xmlns:a="http://schemas.openxmlformats.org/drawingml/2006/main">
                        <a:graphicData uri="http://schemas.microsoft.com/office/word/2010/wordprocessingShape">
                          <wps:wsp>
                            <wps:cNvCnPr/>
                            <wps:spPr>
                              <a:xfrm>
                                <a:off x="0" y="0"/>
                                <a:ext cx="1889760" cy="0"/>
                              </a:xfrm>
                              <a:prstGeom prst="straightConnector1">
                                <a:avLst/>
                              </a:prstGeom>
                              <a:noFill/>
                              <a:ln w="6350" cap="flat" cmpd="sng" algn="ctr">
                                <a:solidFill>
                                  <a:sysClr val="windowText" lastClr="000000"/>
                                </a:solidFill>
                                <a:prstDash val="solid"/>
                                <a:miter lim="800000"/>
                                <a:headEnd type="arrow"/>
                                <a:tailEnd type="arrow"/>
                              </a:ln>
                              <a:effectLst/>
                            </wps:spPr>
                            <wps:bodyPr/>
                          </wps:wsp>
                        </a:graphicData>
                      </a:graphic>
                      <wp14:sizeRelV relativeFrom="margin">
                        <wp14:pctHeight>0</wp14:pctHeight>
                      </wp14:sizeRelV>
                    </wp:anchor>
                  </w:drawing>
                </mc:Choice>
                <mc:Fallback xmlns:oel="http://schemas.microsoft.com/office/2019/extlst">
                  <w:pict>
                    <v:shape w14:anchorId="121ECABB" id="Straight Arrow Connector 34" o:spid="_x0000_s1026" type="#_x0000_t32" style="position:absolute;margin-left:14.25pt;margin-top:18.55pt;width:148.8pt;height:0;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" strokecolor="windowText" strokeweight=".5pt">
                      <v:stroke startarrow="open" endarrow="open" joinstyle="miter"/>
                    </v:shape>
                  </w:pict>
                </mc:Fallback>
              </mc:AlternateContent>
            </w:r>
          </w:p>
        </w:tc>
        <w:tc>
          <w:tcPr>
            <w:tcW w:w="3119" w:type="dxa"/>
          </w:tcPr>
          <w:p w14:paraId="1A1D76BC" w14:textId="31DC6595" w:rsidR="0049544F" w:rsidRPr="007C01CB" w:rsidRDefault="0049544F" w:rsidP="00525BE0">
            <w:pPr>
              <w:spacing w:line="360" w:lineRule="auto"/>
              <w:jc w:val="both"/>
              <w:rPr>
                <w:rFonts w:ascii="Arial" w:hAnsi="Arial" w:cs="Arial"/>
                <w:sz w:val="18"/>
                <w:szCs w:val="18"/>
              </w:rPr>
            </w:pPr>
            <w:r w:rsidRPr="007C01CB">
              <w:rPr>
                <w:rFonts w:ascii="Arial" w:hAnsi="Arial" w:cs="Arial"/>
                <w:sz w:val="18"/>
                <w:szCs w:val="18"/>
              </w:rPr>
              <w:t>Hierarchy</w:t>
            </w:r>
            <w:r>
              <w:rPr>
                <w:rFonts w:ascii="Arial" w:hAnsi="Arial" w:cs="Arial"/>
                <w:sz w:val="18"/>
                <w:szCs w:val="18"/>
              </w:rPr>
              <w:t xml:space="preserve"> &amp; </w:t>
            </w:r>
            <w:r w:rsidRPr="007C01CB">
              <w:rPr>
                <w:rFonts w:ascii="Arial" w:hAnsi="Arial" w:cs="Arial"/>
                <w:sz w:val="18"/>
                <w:szCs w:val="18"/>
              </w:rPr>
              <w:t>overarching constitution</w:t>
            </w:r>
          </w:p>
        </w:tc>
      </w:tr>
      <w:tr w:rsidR="0049544F" w:rsidRPr="007C01CB" w14:paraId="766F0B74" w14:textId="0E399D59" w:rsidTr="006D770F">
        <w:tc>
          <w:tcPr>
            <w:tcW w:w="1560" w:type="dxa"/>
          </w:tcPr>
          <w:p w14:paraId="57515019" w14:textId="00A4BCAC" w:rsidR="0049544F" w:rsidRPr="007C01CB" w:rsidRDefault="0049544F" w:rsidP="006D770F">
            <w:pPr>
              <w:spacing w:line="360" w:lineRule="auto"/>
              <w:jc w:val="center"/>
              <w:rPr>
                <w:rFonts w:ascii="Arial" w:hAnsi="Arial" w:cs="Arial"/>
                <w:b/>
                <w:sz w:val="18"/>
                <w:szCs w:val="18"/>
              </w:rPr>
            </w:pPr>
            <w:r w:rsidRPr="007C01CB">
              <w:rPr>
                <w:rFonts w:ascii="Arial" w:hAnsi="Arial" w:cs="Arial"/>
                <w:b/>
                <w:sz w:val="18"/>
                <w:szCs w:val="18"/>
              </w:rPr>
              <w:t>Organisational and policy terminology</w:t>
            </w:r>
          </w:p>
        </w:tc>
        <w:tc>
          <w:tcPr>
            <w:tcW w:w="1559" w:type="dxa"/>
          </w:tcPr>
          <w:p w14:paraId="657AB44F" w14:textId="111D2D5D" w:rsidR="0049544F" w:rsidRPr="007C01CB" w:rsidRDefault="0049544F" w:rsidP="00525BE0">
            <w:pPr>
              <w:spacing w:line="360" w:lineRule="auto"/>
              <w:jc w:val="both"/>
              <w:rPr>
                <w:rFonts w:ascii="Arial" w:hAnsi="Arial" w:cs="Arial"/>
                <w:sz w:val="18"/>
                <w:szCs w:val="18"/>
              </w:rPr>
            </w:pPr>
            <w:r w:rsidRPr="007C01CB">
              <w:rPr>
                <w:rFonts w:ascii="Arial" w:hAnsi="Arial" w:cs="Arial"/>
                <w:sz w:val="18"/>
                <w:szCs w:val="18"/>
              </w:rPr>
              <w:t>Network</w:t>
            </w:r>
          </w:p>
        </w:tc>
        <w:tc>
          <w:tcPr>
            <w:tcW w:w="3856" w:type="dxa"/>
          </w:tcPr>
          <w:p w14:paraId="2FBC498E" w14:textId="39E5451B" w:rsidR="0049544F" w:rsidRPr="007C01CB" w:rsidRDefault="0049544F" w:rsidP="00525BE0">
            <w:pPr>
              <w:spacing w:line="360" w:lineRule="auto"/>
              <w:jc w:val="both"/>
              <w:rPr>
                <w:rFonts w:ascii="Arial" w:hAnsi="Arial" w:cs="Arial"/>
                <w:sz w:val="18"/>
                <w:szCs w:val="18"/>
              </w:rPr>
            </w:pPr>
            <w:r w:rsidRPr="007C01CB">
              <w:rPr>
                <w:rFonts w:ascii="Arial" w:hAnsi="Arial" w:cs="Arial"/>
                <w:noProof/>
                <w:sz w:val="18"/>
                <w:szCs w:val="18"/>
                <w:lang w:eastAsia="en-GB"/>
              </w:rPr>
              <mc:AlternateContent>
                <mc:Choice Requires="wps">
                  <w:drawing>
                    <wp:anchor distT="0" distB="0" distL="114300" distR="114300" simplePos="0" relativeHeight="251682816" behindDoc="0" locked="0" layoutInCell="1" allowOverlap="1" wp14:anchorId="02B38B97" wp14:editId="3CFECF36">
                      <wp:simplePos x="0" y="0"/>
                      <wp:positionH relativeFrom="column">
                        <wp:posOffset>180975</wp:posOffset>
                      </wp:positionH>
                      <wp:positionV relativeFrom="paragraph">
                        <wp:posOffset>208915</wp:posOffset>
                      </wp:positionV>
                      <wp:extent cx="1889760" cy="0"/>
                      <wp:effectExtent l="38100" t="76200" r="15240" b="114300"/>
                      <wp:wrapNone/>
                      <wp:docPr id="35" name="Straight Arrow Connector 35"/>
                      <wp:cNvGraphicFramePr/>
                      <a:graphic xmlns:a="http://schemas.openxmlformats.org/drawingml/2006/main">
                        <a:graphicData uri="http://schemas.microsoft.com/office/word/2010/wordprocessingShape">
                          <wps:wsp>
                            <wps:cNvCnPr/>
                            <wps:spPr>
                              <a:xfrm>
                                <a:off x="0" y="0"/>
                                <a:ext cx="1889760" cy="0"/>
                              </a:xfrm>
                              <a:prstGeom prst="straightConnector1">
                                <a:avLst/>
                              </a:prstGeom>
                              <a:noFill/>
                              <a:ln w="6350" cap="flat" cmpd="sng" algn="ctr">
                                <a:solidFill>
                                  <a:sysClr val="windowText" lastClr="000000"/>
                                </a:solidFill>
                                <a:prstDash val="solid"/>
                                <a:miter lim="800000"/>
                                <a:headEnd type="arrow"/>
                                <a:tailEnd type="arrow"/>
                              </a:ln>
                              <a:effectLst/>
                            </wps:spPr>
                            <wps:bodyPr/>
                          </wps:wsp>
                        </a:graphicData>
                      </a:graphic>
                      <wp14:sizeRelV relativeFrom="margin">
                        <wp14:pctHeight>0</wp14:pctHeight>
                      </wp14:sizeRelV>
                    </wp:anchor>
                  </w:drawing>
                </mc:Choice>
                <mc:Fallback xmlns:oel="http://schemas.microsoft.com/office/2019/extlst">
                  <w:pict>
                    <v:shape w14:anchorId="46254A24" id="Straight Arrow Connector 35" o:spid="_x0000_s1026" type="#_x0000_t32" style="position:absolute;margin-left:14.25pt;margin-top:16.45pt;width:148.8pt;height:0;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" strokecolor="windowText" strokeweight=".5pt">
                      <v:stroke startarrow="open" endarrow="open" joinstyle="miter"/>
                    </v:shape>
                  </w:pict>
                </mc:Fallback>
              </mc:AlternateContent>
            </w:r>
          </w:p>
        </w:tc>
        <w:tc>
          <w:tcPr>
            <w:tcW w:w="3119" w:type="dxa"/>
          </w:tcPr>
          <w:p w14:paraId="655E8707" w14:textId="3C7FCF1F" w:rsidR="0049544F" w:rsidRPr="007C01CB" w:rsidRDefault="0049544F" w:rsidP="00525BE0">
            <w:pPr>
              <w:keepNext/>
              <w:spacing w:line="360" w:lineRule="auto"/>
              <w:jc w:val="both"/>
              <w:rPr>
                <w:rFonts w:ascii="Arial" w:hAnsi="Arial" w:cs="Arial"/>
                <w:sz w:val="18"/>
                <w:szCs w:val="18"/>
              </w:rPr>
            </w:pPr>
            <w:r w:rsidRPr="007C01CB">
              <w:rPr>
                <w:rFonts w:ascii="Arial" w:hAnsi="Arial" w:cs="Arial"/>
                <w:sz w:val="18"/>
                <w:szCs w:val="18"/>
              </w:rPr>
              <w:t>Integration</w:t>
            </w:r>
          </w:p>
        </w:tc>
      </w:tr>
    </w:tbl>
    <w:p w14:paraId="1D176145" w14:textId="27718203" w:rsidR="007873A7" w:rsidRPr="007C01CB" w:rsidRDefault="007873A7" w:rsidP="00525BE0">
      <w:pPr>
        <w:pStyle w:val="Caption"/>
        <w:spacing w:line="480" w:lineRule="auto"/>
        <w:jc w:val="both"/>
        <w:rPr>
          <w:rFonts w:cstheme="minorHAnsi"/>
        </w:rPr>
      </w:pPr>
      <w:bookmarkStart w:id="24" w:name="_Toc106181606"/>
      <w:r>
        <w:t xml:space="preserve">Figure </w:t>
      </w:r>
      <w:r w:rsidR="008802A5">
        <w:fldChar w:fldCharType="begin"/>
      </w:r>
      <w:r w:rsidR="008802A5">
        <w:instrText xml:space="preserve"> SEQ Figure \* ARABIC </w:instrText>
      </w:r>
      <w:r w:rsidR="008802A5">
        <w:fldChar w:fldCharType="separate"/>
      </w:r>
      <w:r>
        <w:rPr>
          <w:noProof/>
        </w:rPr>
        <w:t>1</w:t>
      </w:r>
      <w:r w:rsidR="008802A5">
        <w:rPr>
          <w:noProof/>
        </w:rPr>
        <w:fldChar w:fldCharType="end"/>
      </w:r>
      <w:r>
        <w:t xml:space="preserve">. </w:t>
      </w:r>
      <w:r w:rsidRPr="00B9417E">
        <w:t>Forms of collaboration and rules of governance (</w:t>
      </w:r>
      <w:r w:rsidR="0049544F">
        <w:t xml:space="preserve">adapted from </w:t>
      </w:r>
      <w:r w:rsidRPr="00B9417E">
        <w:t>Sullivan &amp; Skelcher</w:t>
      </w:r>
      <w:r w:rsidR="00C4603E">
        <w:fldChar w:fldCharType="begin" w:fldLock="1"/>
      </w:r>
      <w:r w:rsidR="00804189">
        <w:instrText>ADDIN CSL_CITATION {"citationItems":[{"id":"ITEM-1","itemData":{"DOI":"10.1080/14719030802423103","ISSN":"14719045","abstract":"The theory-driven approach to analysing and assessing collaborative performance provides an important tool for researchers and policy-makers seeking to understand collaborative performance. It explains performance deductively, in terms of the a priori causality of relationships between variables. Different theoretical domains provide different insights into collaborative performance. The theory-driven approach to collaborative performance contrasts with the metric-driven approach. Here, performance is defined in terms of what can be measured, and causality is then inferred inductively. Five performance domains are identified, covering the democratic, integrative, transformative, policy, and sustainability dimensions of collaboration. These draw on democratic theory, exchange and power-dependency theory, institutional theory, policy network theory, and discourse theory. The analytical consequences of each theory-driven approach are examined through three case studies. The article concludes that each theoretical perspective provides a distinctive insight into collaborative performance, thus more accurately reflecting its multifaceted mature than is possible with a metric-driven approach.","author":[{"dropping-particle":"","family":"Skelcher","given":"Chris","non-dropping-particle":"","parse-names":false,"suffix":""},{"dropping-particle":"","family":"Sullivan","given":"Helen","non-dropping-particle":"","parse-names":false,"suffix":""}],"container-title":"Public Management Review","id":"ITEM-1","issue":"6","issued":{"date-parts":[["2008"]]},"page":"751-771","title":"Theory-driven approaches to analysing collaborative performance","type":"article-journal","volume":"10"},"uris":["http://www.mendeley.com/documents/?uuid=7b5a756a-aec3-4860-9416-040adc9bc1dc"]}],"mendeley":{"formattedCitation":"&lt;sup&gt;63&lt;/sup&gt;","plainTextFormattedCitation":"63","previouslyFormattedCitation":"&lt;sup&gt;63&lt;/sup&gt;"},"properties":{"noteIndex":0},"schema":"https://github.com/citation-style-language/schema/raw/master/csl-citation.json"}</w:instrText>
      </w:r>
      <w:r w:rsidR="00C4603E">
        <w:fldChar w:fldCharType="separate"/>
      </w:r>
      <w:r w:rsidR="00C4603E" w:rsidRPr="00C4603E">
        <w:rPr>
          <w:i w:val="0"/>
          <w:noProof/>
          <w:vertAlign w:val="superscript"/>
        </w:rPr>
        <w:t>63</w:t>
      </w:r>
      <w:r w:rsidR="00C4603E">
        <w:fldChar w:fldCharType="end"/>
      </w:r>
      <w:r w:rsidRPr="00B9417E">
        <w:t>).</w:t>
      </w:r>
      <w:bookmarkEnd w:id="24"/>
    </w:p>
    <w:bookmarkEnd w:id="23"/>
    <w:p w14:paraId="24FB5EEC" w14:textId="764D3B3C" w:rsidR="007873A7" w:rsidRPr="007C01CB" w:rsidRDefault="007873A7" w:rsidP="00525BE0">
      <w:pPr>
        <w:spacing w:line="360" w:lineRule="auto"/>
        <w:jc w:val="both"/>
        <w:rPr>
          <w:rFonts w:cstheme="minorHAnsi"/>
        </w:rPr>
      </w:pPr>
      <w:r w:rsidRPr="007C01CB">
        <w:rPr>
          <w:rFonts w:cstheme="minorHAnsi"/>
        </w:rPr>
        <w:t xml:space="preserve">With a particular focus on NHS providers, </w:t>
      </w:r>
      <w:r w:rsidRPr="007C01CB">
        <w:rPr>
          <w:rFonts w:cstheme="minorHAnsi"/>
        </w:rPr>
        <w:fldChar w:fldCharType="begin" w:fldLock="1"/>
      </w:r>
      <w:r w:rsidR="00EA4B53">
        <w:rPr>
          <w:rFonts w:cstheme="minorHAnsi"/>
        </w:rPr>
        <w:instrText>ADDIN CSL_CITATION {"citationItems":[{"id":"ITEM-1","itemData":{"abstract":"Introduction The idea of partnerships and collaboration across organisational boundaries is not new in the NHS in England, but it is reaching a zenith in policymakers’ minds. The 2017–19 planning guidance for the NHS put it simply: partnership behaviours are becoming ‘the new norm’ and ‘What makes most sense for patients, communities and the taxpayer should always trump the narrower interests of individual organisations.’1 This idea underpins the sustainability and transformation partnerships and the new models of care set out in the Five year forward view for the NHS in England.2 It also builds on the experience of initiatives that have been tried over the past decade, ranging from new forms of organisational links (eg buddying and franchises) to building networks and communities of practitioners to help improve health service delivery. The Health Foundation has contributed to developing the evidence base for networks – for example, by funding programmes to help clinical communities improve quality of care in specific areas of practice,3 reviewing how to develop and manage effective networks to support quality improvement,4 and developing Q, a connected community of people who have improvement expertise from across the UK.5 But less is known about what makes for successful partnerships between providers at an organisational level. For this reason, the Health Foundation commissioned the Health Services Management Centre (HSMC) at the University of Birmingham to look at a range of current organisational partnerships, and draw some tentative learning to help inform and guide both policymakers and providers. This briefing by the Health Foundation and HSMC summarises the main findings of the research report and what providers and policymakers can learn. The research report, Partnering for improvement: inter-organisational developments in the NHS, is available at www.birmingham.ac.uk/partnering-for-improvement.6","author":[{"dropping-particle":"","family":"Miller","given":"Robin","non-dropping-particle":"","parse-names":false,"suffix":""},{"dropping-particle":"","family":"Millar","given":"Ross","non-dropping-particle":"","parse-names":false,"suffix":""}],"container-title":"Health Foundation","id":"ITEM-1","issue":"September","issued":{"date-parts":[["2017"]]},"title":"Partnerships for improvement: ingredients for success","type":"report"},"uris":["http://www.mendeley.com/documents/?uuid=d0c5f80f-2b8d-4582-ae88-734dcb538e8d"]}],"mendeley":{"formattedCitation":"&lt;sup&gt;13&lt;/sup&gt;","manualFormatting":"Miller &amp; Millar (13) ","plainTextFormattedCitation":"13","previouslyFormattedCitation":"&lt;sup&gt;13&lt;/sup&gt;"},"properties":{"noteIndex":0},"schema":"https://github.com/citation-style-language/schema/raw/master/csl-citation.json"}</w:instrText>
      </w:r>
      <w:r w:rsidRPr="007C01CB">
        <w:rPr>
          <w:rFonts w:cstheme="minorHAnsi"/>
        </w:rPr>
        <w:fldChar w:fldCharType="separate"/>
      </w:r>
      <w:r w:rsidRPr="007C01CB">
        <w:rPr>
          <w:rFonts w:cstheme="minorHAnsi"/>
          <w:noProof/>
        </w:rPr>
        <w:t>Miller &amp; Millar</w:t>
      </w:r>
      <w:r w:rsidR="0049544F">
        <w:rPr>
          <w:rFonts w:cstheme="minorHAnsi"/>
          <w:noProof/>
        </w:rPr>
        <w:t xml:space="preserve"> (13)</w:t>
      </w:r>
      <w:r w:rsidRPr="007C01CB">
        <w:rPr>
          <w:rFonts w:cstheme="minorHAnsi"/>
          <w:noProof/>
        </w:rPr>
        <w:t xml:space="preserve"> </w:t>
      </w:r>
      <w:r w:rsidRPr="007C01CB">
        <w:rPr>
          <w:rFonts w:cstheme="minorHAnsi"/>
        </w:rPr>
        <w:fldChar w:fldCharType="end"/>
      </w:r>
      <w:r w:rsidRPr="007C01CB">
        <w:rPr>
          <w:rFonts w:cstheme="minorHAnsi"/>
        </w:rPr>
        <w:t xml:space="preserve"> identify a variety of partnering practices linking NHS providers, ranging from structural partnering such as organisational mergers and acquisitions through to individual partnering arrangements such as buddying between executives and clinicians across provider organisations to provide mentoring support and guidance</w:t>
      </w:r>
      <w:r w:rsidR="0030660A">
        <w:rPr>
          <w:rFonts w:cstheme="minorHAnsi"/>
        </w:rPr>
        <w:t xml:space="preserve"> </w:t>
      </w:r>
      <w:r w:rsidR="0030660A">
        <w:rPr>
          <w:rFonts w:cstheme="minorHAnsi"/>
        </w:rPr>
        <w:fldChar w:fldCharType="begin" w:fldLock="1"/>
      </w:r>
      <w:r w:rsidR="00EA4B53">
        <w:rPr>
          <w:rFonts w:cstheme="minorHAnsi"/>
        </w:rPr>
        <w:instrText>ADDIN CSL_CITATION {"citationItems":[{"id":"ITEM-1","itemData":{"abstract":"Introduction The idea of partnerships and collaboration across organisational boundaries is not new in the NHS in England, but it is reaching a zenith in policymakers’ minds. The 2017–19 planning guidance for the NHS put it simply: partnership behaviours are becoming ‘the new norm’ and ‘What makes most sense for patients, communities and the taxpayer should always trump the narrower interests of individual organisations.’1 This idea underpins the sustainability and transformation partnerships and the new models of care set out in the Five year forward view for the NHS in England.2 It also builds on the experience of initiatives that have been tried over the past decade, ranging from new forms of organisational links (eg buddying and franchises) to building networks and communities of practitioners to help improve health service delivery. The Health Foundation has contributed to developing the evidence base for networks – for example, by funding programmes to help clinical communities improve quality of care in specific areas of practice,3 reviewing how to develop and manage effective networks to support quality improvement,4 and developing Q, a connected community of people who have improvement expertise from across the UK.5 But less is known about what makes for successful partnerships between providers at an organisational level. For this reason, the Health Foundation commissioned the Health Services Management Centre (HSMC) at the University of Birmingham to look at a range of current organisational partnerships, and draw some tentative learning to help inform and guide both policymakers and providers. This briefing by the Health Foundation and HSMC summarises the main findings of the research report and what providers and policymakers can learn. The research report, Partnering for improvement: inter-organisational developments in the NHS, is available at www.birmingham.ac.uk/partnering-for-improvement.6","author":[{"dropping-particle":"","family":"Miller","given":"Robin","non-dropping-particle":"","parse-names":false,"suffix":""},{"dropping-particle":"","family":"Millar","given":"Ross","non-dropping-particle":"","parse-names":false,"suffix":""}],"container-title":"Health Foundation","id":"ITEM-1","issue":"September","issued":{"date-parts":[["2017"]]},"title":"Partnerships for improvement: ingredients for success","type":"report"},"uris":["http://www.mendeley.com/documents/?uuid=d0c5f80f-2b8d-4582-ae88-734dcb538e8d"]}],"mendeley":{"formattedCitation":"&lt;sup&gt;13&lt;/sup&gt;","plainTextFormattedCitation":"13","previouslyFormattedCitation":"&lt;sup&gt;13&lt;/sup&gt;"},"properties":{"noteIndex":0},"schema":"https://github.com/citation-style-language/schema/raw/master/csl-citation.json"}</w:instrText>
      </w:r>
      <w:r w:rsidR="0030660A">
        <w:rPr>
          <w:rFonts w:cstheme="minorHAnsi"/>
        </w:rPr>
        <w:fldChar w:fldCharType="separate"/>
      </w:r>
      <w:r w:rsidR="00E25884" w:rsidRPr="00E25884">
        <w:rPr>
          <w:rFonts w:cstheme="minorHAnsi"/>
          <w:noProof/>
          <w:vertAlign w:val="superscript"/>
        </w:rPr>
        <w:t>13</w:t>
      </w:r>
      <w:r w:rsidR="0030660A">
        <w:rPr>
          <w:rFonts w:cstheme="minorHAnsi"/>
        </w:rPr>
        <w:fldChar w:fldCharType="end"/>
      </w:r>
      <w:r w:rsidRPr="007C01CB">
        <w:rPr>
          <w:rFonts w:cstheme="minorHAnsi"/>
        </w:rPr>
        <w:t xml:space="preserve">. They also suggest partnering can sit along a continuum from a voluntary intrinsic act to work together, through to partnerships that are mandated by government regulators (Figure </w:t>
      </w:r>
      <w:r w:rsidR="00766F3A">
        <w:rPr>
          <w:rFonts w:cstheme="minorHAnsi"/>
        </w:rPr>
        <w:t>1</w:t>
      </w:r>
      <w:r w:rsidRPr="007C01CB">
        <w:rPr>
          <w:rFonts w:cstheme="minorHAnsi"/>
        </w:rPr>
        <w:t>).</w:t>
      </w:r>
    </w:p>
    <w:p w14:paraId="5A7548D1" w14:textId="77777777" w:rsidR="007873A7" w:rsidRDefault="007873A7" w:rsidP="00525BE0">
      <w:pPr>
        <w:keepNext/>
        <w:spacing w:line="360" w:lineRule="auto"/>
        <w:jc w:val="both"/>
      </w:pPr>
      <w:r w:rsidRPr="007C01CB">
        <w:rPr>
          <w:rFonts w:cstheme="minorHAnsi"/>
          <w:noProof/>
          <w:lang w:eastAsia="en-GB"/>
        </w:rPr>
        <w:drawing>
          <wp:inline distT="0" distB="0" distL="0" distR="0" wp14:anchorId="16601CAB" wp14:editId="003892A2">
            <wp:extent cx="5076662" cy="3499556"/>
            <wp:effectExtent l="0" t="0" r="3810" b="571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87062" cy="3506725"/>
                    </a:xfrm>
                    <a:prstGeom prst="rect">
                      <a:avLst/>
                    </a:prstGeom>
                  </pic:spPr>
                </pic:pic>
              </a:graphicData>
            </a:graphic>
          </wp:inline>
        </w:drawing>
      </w:r>
    </w:p>
    <w:p w14:paraId="607765E5" w14:textId="05CC22F3" w:rsidR="007873A7" w:rsidRPr="007C01CB" w:rsidRDefault="007873A7" w:rsidP="00525BE0">
      <w:pPr>
        <w:pStyle w:val="Caption"/>
        <w:jc w:val="both"/>
      </w:pPr>
      <w:bookmarkStart w:id="25" w:name="_Toc106181607"/>
      <w:r>
        <w:t xml:space="preserve">Figure </w:t>
      </w:r>
      <w:fldSimple w:instr=" SEQ Figure \* ARABIC ">
        <w:r>
          <w:rPr>
            <w:noProof/>
          </w:rPr>
          <w:t>2</w:t>
        </w:r>
      </w:fldSimple>
      <w:r>
        <w:t xml:space="preserve">. </w:t>
      </w:r>
      <w:r w:rsidRPr="00161027">
        <w:t>Depiction of axes of collaboration by Miller and Millar (2017).</w:t>
      </w:r>
      <w:bookmarkEnd w:id="25"/>
    </w:p>
    <w:p w14:paraId="5F8CF894" w14:textId="0BE662BD" w:rsidR="007873A7" w:rsidRPr="007C01CB" w:rsidRDefault="007873A7" w:rsidP="00525BE0">
      <w:pPr>
        <w:spacing w:line="360" w:lineRule="auto"/>
        <w:jc w:val="both"/>
        <w:rPr>
          <w:rFonts w:cstheme="minorHAnsi"/>
        </w:rPr>
      </w:pPr>
      <w:r w:rsidRPr="007C01CB">
        <w:rPr>
          <w:rFonts w:cstheme="minorHAnsi"/>
        </w:rPr>
        <w:t xml:space="preserve">The Dalton Review (2014) outlined a range of provider models of care. This </w:t>
      </w:r>
      <w:r w:rsidR="007E4E5A">
        <w:rPr>
          <w:rFonts w:cstheme="minorHAnsi"/>
        </w:rPr>
        <w:t xml:space="preserve">review </w:t>
      </w:r>
      <w:r w:rsidRPr="007C01CB">
        <w:rPr>
          <w:rFonts w:cstheme="minorHAnsi"/>
        </w:rPr>
        <w:t>distinguished between different inter-organisational forms, including collaborative (a voluntary pooling of resources which involve two parties creating a third to provide a particu</w:t>
      </w:r>
      <w:r w:rsidR="007E4E5A">
        <w:rPr>
          <w:rFonts w:cstheme="minorHAnsi"/>
        </w:rPr>
        <w:t>lar service to both initiators);</w:t>
      </w:r>
      <w:r w:rsidRPr="007C01CB">
        <w:rPr>
          <w:rFonts w:cstheme="minorHAnsi"/>
        </w:rPr>
        <w:t xml:space="preserve"> contractual (more formalised agreements)</w:t>
      </w:r>
      <w:r w:rsidR="007E4E5A">
        <w:rPr>
          <w:rFonts w:cstheme="minorHAnsi"/>
        </w:rPr>
        <w:t>;</w:t>
      </w:r>
      <w:r w:rsidRPr="007C01CB">
        <w:rPr>
          <w:rFonts w:cstheme="minorHAnsi"/>
        </w:rPr>
        <w:t xml:space="preserve"> and consolidatory (a change of ownership, encompassing mergers and acquisitions) arrangements </w:t>
      </w:r>
      <w:r w:rsidRPr="007C01CB">
        <w:rPr>
          <w:rFonts w:cstheme="minorHAnsi"/>
        </w:rPr>
        <w:fldChar w:fldCharType="begin" w:fldLock="1"/>
      </w:r>
      <w:r w:rsidR="00EA4B53">
        <w:rPr>
          <w:rFonts w:cstheme="minorHAnsi"/>
        </w:rPr>
        <w:instrText>ADDIN CSL_CITATION {"citationItems":[{"id":"ITEM-1","itemData":{"author":[{"dropping-particle":"","family":"The Dalton Review","given":"","non-dropping-particle":"","parse-names":false,"suffix":""}],"id":"ITEM-1","issue":"December","issued":{"date-parts":[["2014"]]},"title":"Examining new options and opportunities for providers of NHS care","type":"report"},"uris":["http://www.mendeley.com/documents/?uuid=3caa3c87-117b-4a12-9cbd-c6200d253d9c"]}],"mendeley":{"formattedCitation":"&lt;sup&gt;4&lt;/sup&gt;","plainTextFormattedCitation":"4","previouslyFormattedCitation":"&lt;sup&gt;4&lt;/sup&gt;"},"properties":{"noteIndex":0},"schema":"https://github.com/citation-style-language/schema/raw/master/csl-citation.json"}</w:instrText>
      </w:r>
      <w:r w:rsidRPr="007C01CB">
        <w:rPr>
          <w:rFonts w:cstheme="minorHAnsi"/>
        </w:rPr>
        <w:fldChar w:fldCharType="separate"/>
      </w:r>
      <w:r w:rsidR="00E25884" w:rsidRPr="00E25884">
        <w:rPr>
          <w:rFonts w:cstheme="minorHAnsi"/>
          <w:noProof/>
          <w:vertAlign w:val="superscript"/>
        </w:rPr>
        <w:t>4</w:t>
      </w:r>
      <w:r w:rsidRPr="007C01CB">
        <w:rPr>
          <w:rFonts w:cstheme="minorHAnsi"/>
        </w:rPr>
        <w:fldChar w:fldCharType="end"/>
      </w:r>
      <w:r w:rsidRPr="007C01CB">
        <w:rPr>
          <w:rFonts w:cstheme="minorHAnsi"/>
        </w:rPr>
        <w:t xml:space="preserve"> (figure </w:t>
      </w:r>
      <w:r w:rsidR="00766F3A">
        <w:rPr>
          <w:rFonts w:cstheme="minorHAnsi"/>
        </w:rPr>
        <w:t>2</w:t>
      </w:r>
      <w:r w:rsidRPr="007C01CB">
        <w:rPr>
          <w:rFonts w:cstheme="minorHAnsi"/>
        </w:rPr>
        <w:t>).</w:t>
      </w:r>
    </w:p>
    <w:p w14:paraId="3E291F4E" w14:textId="77777777" w:rsidR="007873A7" w:rsidRPr="007C01CB" w:rsidRDefault="007873A7" w:rsidP="00525BE0">
      <w:pPr>
        <w:spacing w:line="360" w:lineRule="auto"/>
        <w:jc w:val="both"/>
        <w:rPr>
          <w:rFonts w:cstheme="minorHAnsi"/>
        </w:rPr>
      </w:pPr>
    </w:p>
    <w:p w14:paraId="4AA2CF7F" w14:textId="532341A5" w:rsidR="007873A7" w:rsidRDefault="00B96EC5" w:rsidP="00525BE0">
      <w:pPr>
        <w:keepNext/>
        <w:spacing w:line="360" w:lineRule="auto"/>
        <w:jc w:val="both"/>
      </w:pPr>
      <w:r w:rsidRPr="00B96EC5">
        <w:rPr>
          <w:noProof/>
        </w:rPr>
        <w:drawing>
          <wp:inline distT="0" distB="0" distL="0" distR="0" wp14:anchorId="12486DF4" wp14:editId="36CAF86E">
            <wp:extent cx="5731510" cy="4337050"/>
            <wp:effectExtent l="0" t="0" r="254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4337050"/>
                    </a:xfrm>
                    <a:prstGeom prst="rect">
                      <a:avLst/>
                    </a:prstGeom>
                    <a:noFill/>
                    <a:ln>
                      <a:noFill/>
                    </a:ln>
                  </pic:spPr>
                </pic:pic>
              </a:graphicData>
            </a:graphic>
          </wp:inline>
        </w:drawing>
      </w:r>
    </w:p>
    <w:p w14:paraId="62FF2502" w14:textId="1A5AA9FF" w:rsidR="007873A7" w:rsidRPr="007C01CB" w:rsidRDefault="007873A7" w:rsidP="00525BE0">
      <w:pPr>
        <w:pStyle w:val="Caption"/>
        <w:jc w:val="both"/>
      </w:pPr>
      <w:bookmarkStart w:id="26" w:name="_Toc106181608"/>
      <w:r>
        <w:t xml:space="preserve">Figure </w:t>
      </w:r>
      <w:fldSimple w:instr=" SEQ Figure \* ARABIC ">
        <w:r>
          <w:rPr>
            <w:noProof/>
          </w:rPr>
          <w:t>3</w:t>
        </w:r>
      </w:fldSimple>
      <w:r>
        <w:t xml:space="preserve">. Typology of </w:t>
      </w:r>
      <w:r w:rsidR="00B96EC5">
        <w:t xml:space="preserve">provider collaborative models proposed by the Dalton Review </w:t>
      </w:r>
      <w:r>
        <w:fldChar w:fldCharType="begin" w:fldLock="1"/>
      </w:r>
      <w:r w:rsidR="00EA4B53">
        <w:instrText>ADDIN CSL_CITATION {"citationItems":[{"id":"ITEM-1","itemData":{"author":[{"dropping-particle":"","family":"The Dalton Review","given":"","non-dropping-particle":"","parse-names":false,"suffix":""}],"id":"ITEM-1","issue":"December","issued":{"date-parts":[["2014"]]},"title":"Examining new options and opportunities for providers of NHS care","type":"report"},"uris":["http://www.mendeley.com/documents/?uuid=3caa3c87-117b-4a12-9cbd-c6200d253d9c"]}],"mendeley":{"formattedCitation":"&lt;sup&gt;4&lt;/sup&gt;","plainTextFormattedCitation":"4","previouslyFormattedCitation":"&lt;sup&gt;4&lt;/sup&gt;"},"properties":{"noteIndex":0},"schema":"https://github.com/citation-style-language/schema/raw/master/csl-citation.json"}</w:instrText>
      </w:r>
      <w:r>
        <w:fldChar w:fldCharType="separate"/>
      </w:r>
      <w:r w:rsidR="00E25884" w:rsidRPr="00E25884">
        <w:rPr>
          <w:i w:val="0"/>
          <w:noProof/>
          <w:vertAlign w:val="superscript"/>
        </w:rPr>
        <w:t>4</w:t>
      </w:r>
      <w:r>
        <w:fldChar w:fldCharType="end"/>
      </w:r>
      <w:r>
        <w:t>.</w:t>
      </w:r>
      <w:bookmarkEnd w:id="26"/>
    </w:p>
    <w:p w14:paraId="713BB0D0" w14:textId="7A63C546" w:rsidR="007873A7" w:rsidRPr="007C01CB" w:rsidRDefault="007873A7" w:rsidP="00525BE0">
      <w:pPr>
        <w:spacing w:line="360" w:lineRule="auto"/>
        <w:jc w:val="both"/>
        <w:rPr>
          <w:rFonts w:cstheme="minorHAnsi"/>
        </w:rPr>
      </w:pPr>
      <w:r w:rsidRPr="007C01CB">
        <w:t xml:space="preserve">The NHS England publication ‘No Hospital is an Island’ built on the Dalton Review typology by developing a </w:t>
      </w:r>
      <w:r w:rsidRPr="007C01CB">
        <w:rPr>
          <w:rFonts w:cstheme="minorHAnsi"/>
        </w:rPr>
        <w:t xml:space="preserve">framework for acute care collaboration models </w:t>
      </w:r>
      <w:r w:rsidRPr="007C01CB">
        <w:rPr>
          <w:rFonts w:cstheme="minorHAnsi"/>
        </w:rPr>
        <w:fldChar w:fldCharType="begin" w:fldLock="1"/>
      </w:r>
      <w:r w:rsidR="00804189">
        <w:rPr>
          <w:rFonts w:cstheme="minorHAnsi"/>
        </w:rPr>
        <w:instrText>ADDIN CSL_CITATION {"citationItems":[{"id":"ITEM-1","itemData":{"author":[{"dropping-particle":"","family":"NHS England","given":"","non-dropping-particle":"","parse-names":false,"suffix":""}],"id":"ITEM-1","issue":"January","issued":{"date-parts":[["2018"]]},"title":"No hospital is an island: learning from the Acute Care Collaboration vanguards","type":"article-journal"},"uris":["http://www.mendeley.com/documents/?uuid=469d1a3c-100c-4d93-9fa8-2391188ba98a"]}],"mendeley":{"formattedCitation":"&lt;sup&gt;64&lt;/sup&gt;","plainTextFormattedCitation":"64","previouslyFormattedCitation":"&lt;sup&gt;64&lt;/sup&gt;"},"properties":{"noteIndex":0},"schema":"https://github.com/citation-style-language/schema/raw/master/csl-citation.json"}</w:instrText>
      </w:r>
      <w:r w:rsidRPr="007C01CB">
        <w:rPr>
          <w:rFonts w:cstheme="minorHAnsi"/>
        </w:rPr>
        <w:fldChar w:fldCharType="separate"/>
      </w:r>
      <w:r w:rsidR="00C4603E" w:rsidRPr="00C4603E">
        <w:rPr>
          <w:rFonts w:cstheme="minorHAnsi"/>
          <w:noProof/>
          <w:vertAlign w:val="superscript"/>
        </w:rPr>
        <w:t>64</w:t>
      </w:r>
      <w:r w:rsidRPr="007C01CB">
        <w:rPr>
          <w:rFonts w:cstheme="minorHAnsi"/>
        </w:rPr>
        <w:fldChar w:fldCharType="end"/>
      </w:r>
      <w:r w:rsidRPr="007C01CB">
        <w:rPr>
          <w:rFonts w:cstheme="minorHAnsi"/>
        </w:rPr>
        <w:t>. This depicted organisational forms by their degree of organisational integration as well as the scope of services they intend to deliver</w:t>
      </w:r>
      <w:r>
        <w:rPr>
          <w:rFonts w:cstheme="minorHAnsi"/>
        </w:rPr>
        <w:t xml:space="preserve"> </w:t>
      </w:r>
      <w:r w:rsidR="00DE75FA">
        <w:rPr>
          <w:rFonts w:cstheme="minorHAnsi"/>
        </w:rPr>
        <w:fldChar w:fldCharType="begin" w:fldLock="1"/>
      </w:r>
      <w:r w:rsidR="00804189">
        <w:rPr>
          <w:rFonts w:cstheme="minorHAnsi"/>
        </w:rPr>
        <w:instrText>ADDIN CSL_CITATION {"citationItems":[{"id":"ITEM-1","itemData":{"author":[{"dropping-particle":"","family":"NHS England","given":"","non-dropping-particle":"","parse-names":false,"suffix":""}],"id":"ITEM-1","issue":"January","issued":{"date-parts":[["2018"]]},"title":"No hospital is an island: learning from the Acute Care Collaboration vanguards","type":"article-journal"},"uris":["http://www.mendeley.com/documents/?uuid=469d1a3c-100c-4d93-9fa8-2391188ba98a"]}],"mendeley":{"formattedCitation":"&lt;sup&gt;64&lt;/sup&gt;","plainTextFormattedCitation":"64","previouslyFormattedCitation":"&lt;sup&gt;64&lt;/sup&gt;"},"properties":{"noteIndex":0},"schema":"https://github.com/citation-style-language/schema/raw/master/csl-citation.json"}</w:instrText>
      </w:r>
      <w:r w:rsidR="00DE75FA">
        <w:rPr>
          <w:rFonts w:cstheme="minorHAnsi"/>
        </w:rPr>
        <w:fldChar w:fldCharType="separate"/>
      </w:r>
      <w:r w:rsidR="00C4603E" w:rsidRPr="00C4603E">
        <w:rPr>
          <w:rFonts w:cstheme="minorHAnsi"/>
          <w:noProof/>
          <w:vertAlign w:val="superscript"/>
        </w:rPr>
        <w:t>64</w:t>
      </w:r>
      <w:r w:rsidR="00DE75FA">
        <w:rPr>
          <w:rFonts w:cstheme="minorHAnsi"/>
        </w:rPr>
        <w:fldChar w:fldCharType="end"/>
      </w:r>
      <w:r w:rsidR="00DE75FA">
        <w:rPr>
          <w:rFonts w:cstheme="minorHAnsi"/>
        </w:rPr>
        <w:t>.</w:t>
      </w:r>
    </w:p>
    <w:p w14:paraId="19FB1BC4" w14:textId="77777777" w:rsidR="007873A7" w:rsidRDefault="007873A7" w:rsidP="00525BE0">
      <w:pPr>
        <w:keepNext/>
        <w:spacing w:line="360" w:lineRule="auto"/>
        <w:jc w:val="both"/>
      </w:pPr>
      <w:r w:rsidRPr="007C01CB">
        <w:rPr>
          <w:rFonts w:cstheme="minorHAnsi"/>
          <w:noProof/>
          <w:lang w:eastAsia="en-GB"/>
        </w:rPr>
        <w:drawing>
          <wp:inline distT="0" distB="0" distL="0" distR="0" wp14:anchorId="17C9E376" wp14:editId="3727E88E">
            <wp:extent cx="4333875" cy="3290499"/>
            <wp:effectExtent l="0" t="0" r="0" b="5715"/>
            <wp:docPr id="1" name="Picture 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graphical user interface&#10;&#10;Description automatically generated"/>
                    <pic:cNvPicPr/>
                  </pic:nvPicPr>
                  <pic:blipFill>
                    <a:blip r:embed="rId14"/>
                    <a:stretch>
                      <a:fillRect/>
                    </a:stretch>
                  </pic:blipFill>
                  <pic:spPr>
                    <a:xfrm>
                      <a:off x="0" y="0"/>
                      <a:ext cx="4354416" cy="3306095"/>
                    </a:xfrm>
                    <a:prstGeom prst="rect">
                      <a:avLst/>
                    </a:prstGeom>
                  </pic:spPr>
                </pic:pic>
              </a:graphicData>
            </a:graphic>
          </wp:inline>
        </w:drawing>
      </w:r>
    </w:p>
    <w:p w14:paraId="5164FFF3" w14:textId="697318F8" w:rsidR="007873A7" w:rsidRPr="007C01CB" w:rsidRDefault="007873A7" w:rsidP="00525BE0">
      <w:pPr>
        <w:pStyle w:val="Caption"/>
        <w:jc w:val="both"/>
        <w:rPr>
          <w:rFonts w:cstheme="minorHAnsi"/>
        </w:rPr>
      </w:pPr>
      <w:bookmarkStart w:id="27" w:name="_Toc106181609"/>
      <w:r>
        <w:t xml:space="preserve">Figure </w:t>
      </w:r>
      <w:fldSimple w:instr=" SEQ Figure \* ARABIC ">
        <w:r>
          <w:rPr>
            <w:noProof/>
          </w:rPr>
          <w:t>4</w:t>
        </w:r>
      </w:fldSimple>
      <w:r>
        <w:t xml:space="preserve">. </w:t>
      </w:r>
      <w:r w:rsidRPr="00334EFF">
        <w:t>A framework of acute care collaboration models, depicting organisational forms by their degree of organisational integration as well as the scope of services they intend to deliver (NHS England, 2018).</w:t>
      </w:r>
      <w:bookmarkEnd w:id="27"/>
    </w:p>
    <w:p w14:paraId="2ABBEDA3" w14:textId="002CF789" w:rsidR="007873A7" w:rsidRPr="007C01CB" w:rsidRDefault="007873A7" w:rsidP="00525BE0">
      <w:pPr>
        <w:spacing w:line="360" w:lineRule="auto"/>
        <w:jc w:val="both"/>
        <w:rPr>
          <w:rFonts w:cstheme="minorHAnsi"/>
        </w:rPr>
      </w:pPr>
      <w:r w:rsidRPr="007C01CB">
        <w:rPr>
          <w:rFonts w:cstheme="minorHAnsi"/>
        </w:rPr>
        <w:t xml:space="preserve">Another example comes from the Northern Ireland Audit Office (2019) who arrange different partnering arrangements by their degree of integration, with networks characterised by low commitment at the bottom of the spectrum, through cooperation, coordination and collaboration, to fully-fledged partnerships which require formal agreements and detailed joint planning (Figure </w:t>
      </w:r>
      <w:r w:rsidR="00766F3A">
        <w:rPr>
          <w:rFonts w:cstheme="minorHAnsi"/>
        </w:rPr>
        <w:t>4</w:t>
      </w:r>
      <w:r w:rsidRPr="007C01CB">
        <w:rPr>
          <w:rFonts w:cstheme="minorHAnsi"/>
        </w:rPr>
        <w:t>)</w:t>
      </w:r>
      <w:r w:rsidR="00DE75FA">
        <w:rPr>
          <w:rFonts w:cstheme="minorHAnsi"/>
        </w:rPr>
        <w:t xml:space="preserve"> </w:t>
      </w:r>
      <w:r w:rsidR="00DE75FA">
        <w:rPr>
          <w:rFonts w:cstheme="minorHAnsi"/>
        </w:rPr>
        <w:fldChar w:fldCharType="begin" w:fldLock="1"/>
      </w:r>
      <w:r w:rsidR="00804189">
        <w:rPr>
          <w:rFonts w:cstheme="minorHAnsi"/>
        </w:rPr>
        <w:instrText>ADDIN CSL_CITATION {"citationItems":[{"id":"ITEM-1","itemData":{"DOI":"10.1038/361768a0","ISBN":"978-1-912653-15-7","ISSN":"00157228","PMID":"8441478","author":[{"dropping-particle":"","family":"Northern Ireland Audit Office","given":"","non-dropping-particle":"","parse-names":false,"suffix":""}],"id":"ITEM-1","issued":{"date-parts":[["2019"]]},"number-of-pages":"36","publisher":"CDS","title":"Making Partnerships Work","type":"report"},"uris":["http://www.mendeley.com/documents/?uuid=0e29587a-f2e2-415c-b234-2eae30fca444"]}],"mendeley":{"formattedCitation":"&lt;sup&gt;65&lt;/sup&gt;","plainTextFormattedCitation":"65","previouslyFormattedCitation":"&lt;sup&gt;65&lt;/sup&gt;"},"properties":{"noteIndex":0},"schema":"https://github.com/citation-style-language/schema/raw/master/csl-citation.json"}</w:instrText>
      </w:r>
      <w:r w:rsidR="00DE75FA">
        <w:rPr>
          <w:rFonts w:cstheme="minorHAnsi"/>
        </w:rPr>
        <w:fldChar w:fldCharType="separate"/>
      </w:r>
      <w:r w:rsidR="00C4603E" w:rsidRPr="00C4603E">
        <w:rPr>
          <w:rFonts w:cstheme="minorHAnsi"/>
          <w:noProof/>
          <w:vertAlign w:val="superscript"/>
        </w:rPr>
        <w:t>65</w:t>
      </w:r>
      <w:r w:rsidR="00DE75FA">
        <w:rPr>
          <w:rFonts w:cstheme="minorHAnsi"/>
        </w:rPr>
        <w:fldChar w:fldCharType="end"/>
      </w:r>
      <w:r w:rsidRPr="007C01CB">
        <w:rPr>
          <w:rFonts w:cstheme="minorHAnsi"/>
        </w:rPr>
        <w:t>.</w:t>
      </w:r>
    </w:p>
    <w:p w14:paraId="06985053" w14:textId="77777777" w:rsidR="007873A7" w:rsidRDefault="007873A7" w:rsidP="00525BE0">
      <w:pPr>
        <w:keepNext/>
        <w:spacing w:line="360" w:lineRule="auto"/>
        <w:jc w:val="both"/>
      </w:pPr>
      <w:r w:rsidRPr="007C01CB">
        <w:rPr>
          <w:rFonts w:cstheme="minorHAnsi"/>
          <w:noProof/>
          <w:lang w:eastAsia="en-GB"/>
        </w:rPr>
        <w:drawing>
          <wp:inline distT="0" distB="0" distL="0" distR="0" wp14:anchorId="11115C64" wp14:editId="621222C5">
            <wp:extent cx="5731510" cy="2155825"/>
            <wp:effectExtent l="0" t="0" r="0" b="317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2155825"/>
                    </a:xfrm>
                    <a:prstGeom prst="rect">
                      <a:avLst/>
                    </a:prstGeom>
                  </pic:spPr>
                </pic:pic>
              </a:graphicData>
            </a:graphic>
          </wp:inline>
        </w:drawing>
      </w:r>
    </w:p>
    <w:p w14:paraId="1C4E25EB" w14:textId="7F91D182" w:rsidR="007873A7" w:rsidRPr="007C01CB" w:rsidRDefault="007873A7" w:rsidP="00525BE0">
      <w:pPr>
        <w:pStyle w:val="Caption"/>
        <w:jc w:val="both"/>
      </w:pPr>
      <w:bookmarkStart w:id="28" w:name="_Toc106181610"/>
      <w:r>
        <w:t xml:space="preserve">Figure </w:t>
      </w:r>
      <w:fldSimple w:instr=" SEQ Figure \* ARABIC ">
        <w:r>
          <w:rPr>
            <w:noProof/>
          </w:rPr>
          <w:t>5</w:t>
        </w:r>
      </w:fldSimple>
      <w:r>
        <w:t xml:space="preserve">. </w:t>
      </w:r>
      <w:r w:rsidRPr="00D20117">
        <w:t>Depiction of typology by Northern Ireland Audit Office (2019).</w:t>
      </w:r>
      <w:bookmarkEnd w:id="28"/>
    </w:p>
    <w:p w14:paraId="7D1170D3" w14:textId="5820EDB4" w:rsidR="007873A7" w:rsidRPr="007C01CB" w:rsidRDefault="007873A7" w:rsidP="00525BE0">
      <w:pPr>
        <w:spacing w:line="360" w:lineRule="auto"/>
        <w:jc w:val="both"/>
        <w:rPr>
          <w:rFonts w:cstheme="minorHAnsi"/>
        </w:rPr>
      </w:pPr>
      <w:r w:rsidRPr="007C01CB">
        <w:rPr>
          <w:rFonts w:cstheme="minorHAnsi"/>
        </w:rPr>
        <w:t xml:space="preserve">Across these various typologies, the key characteristics at play are the </w:t>
      </w:r>
      <w:r w:rsidRPr="007C01CB">
        <w:rPr>
          <w:rFonts w:cstheme="minorHAnsi"/>
          <w:i/>
        </w:rPr>
        <w:t>degrees of integration</w:t>
      </w:r>
      <w:r w:rsidRPr="007C01CB">
        <w:rPr>
          <w:rFonts w:cstheme="minorHAnsi"/>
        </w:rPr>
        <w:t xml:space="preserve">, whether a collaboration is </w:t>
      </w:r>
      <w:r w:rsidRPr="007C01CB">
        <w:rPr>
          <w:rFonts w:cstheme="minorHAnsi"/>
          <w:i/>
        </w:rPr>
        <w:t>mandated or voluntary</w:t>
      </w:r>
      <w:r w:rsidRPr="007C01CB">
        <w:rPr>
          <w:rFonts w:cstheme="minorHAnsi"/>
        </w:rPr>
        <w:t xml:space="preserve">, and whether they are </w:t>
      </w:r>
      <w:r w:rsidRPr="007C01CB">
        <w:rPr>
          <w:rFonts w:cstheme="minorHAnsi"/>
          <w:i/>
        </w:rPr>
        <w:t>cross-sector</w:t>
      </w:r>
      <w:r w:rsidRPr="007C01CB">
        <w:rPr>
          <w:rFonts w:cstheme="minorHAnsi"/>
        </w:rPr>
        <w:t xml:space="preserve"> or within </w:t>
      </w:r>
      <w:r w:rsidRPr="007C01CB">
        <w:rPr>
          <w:rFonts w:cstheme="minorHAnsi"/>
          <w:i/>
        </w:rPr>
        <w:t>specific services</w:t>
      </w:r>
      <w:r w:rsidRPr="007C01CB">
        <w:rPr>
          <w:rFonts w:cstheme="minorHAnsi"/>
        </w:rPr>
        <w:t>. While the terminologies used to describe such arrangements (i.e. alliances vs. hospital groups) can be fluid and are not universally agreed upon</w:t>
      </w:r>
      <w:r>
        <w:rPr>
          <w:rFonts w:cstheme="minorHAnsi"/>
        </w:rPr>
        <w:t xml:space="preserve"> </w:t>
      </w:r>
      <w:r>
        <w:rPr>
          <w:rFonts w:cstheme="minorHAnsi"/>
        </w:rPr>
        <w:fldChar w:fldCharType="begin" w:fldLock="1"/>
      </w:r>
      <w:r w:rsidR="00EA4B53">
        <w:rPr>
          <w:rFonts w:cstheme="minorHAnsi"/>
        </w:rPr>
        <w:instrText>ADDIN CSL_CITATION {"citationItems":[{"id":"ITEM-1","itemData":{"DOI":"10.1108/JICA-05-2020-0026","ISSN":"1476-9018","abstract":"Purpose The National Health Service (NHS) is facing unprecedented financial strain. These significant economic pressures have coincided with concerns regarding the quality and safety of the NHS provider sector. To make the necessary improvements to performance, policy interest has turned to encouraging greater collaboration and partnership working across providers. Design/methodology/approach Using a purposive search of academic and grey literature, this narrative review aimed (1) to establish a working typology of partnering arrangements for improvement across NHS providers and (2) inform the development of a plausible initial rough theory (IRF) of partnering to inform an ongoing realist synthesis. Findings Different types of partnership were characterised by degree of integration and/or organisational change. A review of existing theories of partnering also identified a suitable framework which incorporated key elements to partnerships, such as governance, workforce, leadership and culture. This informed the creation of an IRF of partnerships, which proposes that partnership “interventions” are proposed to primarily cause changes in governance, leadership, IT systems and care model design, which will then go on to affect culture, user engagement and workforce. Research limitations/implications Further realist evaluation, informed by this review, will aim to uncover configurations of mechanisms, contexts and outcomes in various partnering arrangements and limitations. As this is the starting point for building a programme theory, it draws on limited evidence. Originality/value This paper presents a novel theory of partnering and collaborating in healthcare with practical implications for policy makers and practitioners.","author":[{"dropping-particle":"","family":"Aunger","given":"Justin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Marie","non-dropping-particle":"","parse-names":false,"suffix":""},{"dropping-particle":"","family":"McLeod","given":"Hugh","non-dropping-particle":"","parse-names":false,"suffix":""}],"container-title":"Journal of Integrated Care","id":"ITEM-1","issued":{"date-parts":[["2020","9","22"]]},"title":"Building an initial realist theory of partnering across National Health Service providers","type":"article-journal"},"uris":["http://www.mendeley.com/documents/?uuid=ccca7775-b7c4-4cfb-8635-a42715eb28f4"]}],"mendeley":{"formattedCitation":"&lt;sup&gt;61&lt;/sup&gt;","plainTextFormattedCitation":"61","previouslyFormattedCitation":"&lt;sup&gt;61&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61</w:t>
      </w:r>
      <w:r>
        <w:rPr>
          <w:rFonts w:cstheme="minorHAnsi"/>
        </w:rPr>
        <w:fldChar w:fldCharType="end"/>
      </w:r>
      <w:r w:rsidR="00AA04ED">
        <w:rPr>
          <w:rFonts w:cstheme="minorHAnsi"/>
        </w:rPr>
        <w:t>, t</w:t>
      </w:r>
      <w:r w:rsidRPr="007C01CB">
        <w:rPr>
          <w:rFonts w:cstheme="minorHAnsi"/>
        </w:rPr>
        <w:t xml:space="preserve">hese typologies use a range of partnering types which can identified in Table </w:t>
      </w:r>
      <w:r w:rsidR="003B1A8C">
        <w:rPr>
          <w:rFonts w:cstheme="minorHAnsi"/>
        </w:rPr>
        <w:t>1.</w:t>
      </w:r>
    </w:p>
    <w:p w14:paraId="2122414B" w14:textId="67CA15CE" w:rsidR="007873A7" w:rsidRDefault="007873A7" w:rsidP="00525BE0">
      <w:pPr>
        <w:pStyle w:val="Caption"/>
        <w:keepNext/>
        <w:jc w:val="both"/>
      </w:pPr>
      <w:bookmarkStart w:id="29" w:name="_Toc106181505"/>
      <w:r>
        <w:t xml:space="preserve">Table </w:t>
      </w:r>
      <w:r w:rsidR="008802A5">
        <w:fldChar w:fldCharType="begin"/>
      </w:r>
      <w:r w:rsidR="008802A5">
        <w:instrText xml:space="preserve"> SEQ Table \* ARABIC </w:instrText>
      </w:r>
      <w:r w:rsidR="008802A5">
        <w:fldChar w:fldCharType="separate"/>
      </w:r>
      <w:r w:rsidR="003B1A8C">
        <w:rPr>
          <w:noProof/>
        </w:rPr>
        <w:t>1</w:t>
      </w:r>
      <w:r w:rsidR="008802A5">
        <w:rPr>
          <w:noProof/>
        </w:rPr>
        <w:fldChar w:fldCharType="end"/>
      </w:r>
      <w:r>
        <w:t>. Range of partnering/collaboration types used in healthcare in England.</w:t>
      </w:r>
      <w:bookmarkEnd w:id="29"/>
    </w:p>
    <w:tbl>
      <w:tblPr>
        <w:tblStyle w:val="TableGrid"/>
        <w:tblpPr w:leftFromText="180" w:rightFromText="180" w:vertAnchor="text" w:horzAnchor="margin" w:tblpY="127"/>
        <w:tblW w:w="8926" w:type="dxa"/>
        <w:tblLayout w:type="fixed"/>
        <w:tblLook w:val="04A0" w:firstRow="1" w:lastRow="0" w:firstColumn="1" w:lastColumn="0" w:noHBand="0" w:noVBand="1"/>
      </w:tblPr>
      <w:tblGrid>
        <w:gridCol w:w="1696"/>
        <w:gridCol w:w="7230"/>
      </w:tblGrid>
      <w:tr w:rsidR="007873A7" w:rsidRPr="00593C31" w14:paraId="138CFCF6" w14:textId="77777777" w:rsidTr="000D2CCE">
        <w:trPr>
          <w:trHeight w:val="452"/>
        </w:trPr>
        <w:tc>
          <w:tcPr>
            <w:tcW w:w="1696" w:type="dxa"/>
          </w:tcPr>
          <w:p w14:paraId="3A2FB0CA" w14:textId="77777777" w:rsidR="007873A7" w:rsidRPr="00593C31" w:rsidRDefault="007873A7" w:rsidP="00525BE0">
            <w:pPr>
              <w:spacing w:line="360" w:lineRule="auto"/>
              <w:jc w:val="both"/>
              <w:rPr>
                <w:rFonts w:cstheme="minorHAnsi"/>
                <w:b/>
                <w:bCs/>
                <w:sz w:val="20"/>
                <w:szCs w:val="20"/>
              </w:rPr>
            </w:pPr>
            <w:r w:rsidRPr="00593C31">
              <w:rPr>
                <w:rFonts w:cstheme="minorHAnsi"/>
                <w:b/>
                <w:bCs/>
                <w:sz w:val="20"/>
                <w:szCs w:val="20"/>
              </w:rPr>
              <w:t>Type</w:t>
            </w:r>
          </w:p>
        </w:tc>
        <w:tc>
          <w:tcPr>
            <w:tcW w:w="7230" w:type="dxa"/>
          </w:tcPr>
          <w:p w14:paraId="529E075B" w14:textId="77777777" w:rsidR="007873A7" w:rsidRPr="00593C31" w:rsidRDefault="007873A7" w:rsidP="00525BE0">
            <w:pPr>
              <w:spacing w:line="360" w:lineRule="auto"/>
              <w:jc w:val="both"/>
              <w:rPr>
                <w:rFonts w:cstheme="minorHAnsi"/>
                <w:b/>
                <w:bCs/>
                <w:sz w:val="20"/>
                <w:szCs w:val="20"/>
              </w:rPr>
            </w:pPr>
            <w:r w:rsidRPr="00593C31">
              <w:rPr>
                <w:rFonts w:cstheme="minorHAnsi"/>
                <w:b/>
                <w:bCs/>
                <w:sz w:val="20"/>
                <w:szCs w:val="20"/>
              </w:rPr>
              <w:t>Definition</w:t>
            </w:r>
          </w:p>
        </w:tc>
      </w:tr>
      <w:tr w:rsidR="007873A7" w:rsidRPr="00593C31" w14:paraId="4F26557D" w14:textId="77777777" w:rsidTr="000D2CCE">
        <w:trPr>
          <w:trHeight w:val="452"/>
        </w:trPr>
        <w:tc>
          <w:tcPr>
            <w:tcW w:w="1696" w:type="dxa"/>
          </w:tcPr>
          <w:p w14:paraId="22D1271C"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Informal partnering</w:t>
            </w:r>
          </w:p>
        </w:tc>
        <w:tc>
          <w:tcPr>
            <w:tcW w:w="7230" w:type="dxa"/>
          </w:tcPr>
          <w:p w14:paraId="4CD62A6C" w14:textId="024BEF4F" w:rsidR="007873A7" w:rsidRPr="00593C31" w:rsidRDefault="007873A7" w:rsidP="000D2CCE">
            <w:pPr>
              <w:spacing w:line="360" w:lineRule="auto"/>
              <w:jc w:val="both"/>
              <w:rPr>
                <w:rFonts w:cstheme="minorHAnsi"/>
                <w:sz w:val="20"/>
                <w:szCs w:val="20"/>
              </w:rPr>
            </w:pPr>
            <w:r w:rsidRPr="00593C31">
              <w:rPr>
                <w:rFonts w:cstheme="minorHAnsi"/>
                <w:sz w:val="20"/>
                <w:szCs w:val="20"/>
              </w:rPr>
              <w:t xml:space="preserve">Voluntary arrangements characterised by </w:t>
            </w:r>
            <w:r w:rsidR="000D2CCE">
              <w:rPr>
                <w:rFonts w:cstheme="minorHAnsi"/>
                <w:sz w:val="20"/>
                <w:szCs w:val="20"/>
              </w:rPr>
              <w:t xml:space="preserve">flexible, </w:t>
            </w:r>
            <w:r w:rsidR="00AA04ED">
              <w:rPr>
                <w:rFonts w:cstheme="minorHAnsi"/>
                <w:sz w:val="20"/>
                <w:szCs w:val="20"/>
              </w:rPr>
              <w:t>small-scale</w:t>
            </w:r>
            <w:r w:rsidR="000D2CCE">
              <w:rPr>
                <w:rFonts w:cstheme="minorHAnsi"/>
                <w:sz w:val="20"/>
                <w:szCs w:val="20"/>
              </w:rPr>
              <w:t xml:space="preserve"> collaborations</w:t>
            </w:r>
            <w:r w:rsidRPr="00593C31">
              <w:rPr>
                <w:rFonts w:cstheme="minorHAnsi"/>
                <w:sz w:val="20"/>
                <w:szCs w:val="20"/>
              </w:rPr>
              <w:t xml:space="preserve"> focused on sharing organisational learning. </w:t>
            </w:r>
          </w:p>
        </w:tc>
      </w:tr>
      <w:tr w:rsidR="007873A7" w:rsidRPr="00593C31" w14:paraId="5BAC1728" w14:textId="77777777" w:rsidTr="000D2CCE">
        <w:trPr>
          <w:trHeight w:val="557"/>
        </w:trPr>
        <w:tc>
          <w:tcPr>
            <w:tcW w:w="1696" w:type="dxa"/>
          </w:tcPr>
          <w:p w14:paraId="0CAA779A"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Buddying</w:t>
            </w:r>
          </w:p>
        </w:tc>
        <w:tc>
          <w:tcPr>
            <w:tcW w:w="7230" w:type="dxa"/>
          </w:tcPr>
          <w:p w14:paraId="02BB0499" w14:textId="1CBE3F8E" w:rsidR="007873A7" w:rsidRPr="00593C31" w:rsidRDefault="007873A7" w:rsidP="000D2CCE">
            <w:pPr>
              <w:spacing w:line="360" w:lineRule="auto"/>
              <w:jc w:val="both"/>
              <w:rPr>
                <w:rFonts w:cstheme="minorHAnsi"/>
                <w:sz w:val="20"/>
                <w:szCs w:val="20"/>
              </w:rPr>
            </w:pPr>
            <w:r w:rsidRPr="00593C31">
              <w:rPr>
                <w:rFonts w:cstheme="minorHAnsi"/>
                <w:sz w:val="20"/>
                <w:szCs w:val="20"/>
              </w:rPr>
              <w:t xml:space="preserve">A form of mandated collaboration to </w:t>
            </w:r>
            <w:r w:rsidR="000D2CCE">
              <w:rPr>
                <w:rFonts w:cstheme="minorHAnsi"/>
                <w:sz w:val="20"/>
                <w:szCs w:val="20"/>
              </w:rPr>
              <w:t>encourage</w:t>
            </w:r>
            <w:r w:rsidRPr="00593C31">
              <w:rPr>
                <w:rFonts w:cstheme="minorHAnsi"/>
                <w:sz w:val="20"/>
                <w:szCs w:val="20"/>
              </w:rPr>
              <w:t xml:space="preserve"> organisational turnaround. It often involves organisations with more experience being asked to mentor, advise, or train other organisations of lesser performance.</w:t>
            </w:r>
          </w:p>
        </w:tc>
      </w:tr>
      <w:tr w:rsidR="007873A7" w:rsidRPr="00593C31" w14:paraId="00259ADF" w14:textId="77777777" w:rsidTr="000D2CCE">
        <w:trPr>
          <w:trHeight w:val="557"/>
        </w:trPr>
        <w:tc>
          <w:tcPr>
            <w:tcW w:w="1696" w:type="dxa"/>
          </w:tcPr>
          <w:p w14:paraId="74012E80"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Federation</w:t>
            </w:r>
          </w:p>
        </w:tc>
        <w:tc>
          <w:tcPr>
            <w:tcW w:w="7230" w:type="dxa"/>
          </w:tcPr>
          <w:p w14:paraId="6C61D497"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A relatively informal agreement whereby several organisations collaborate on delivery of a service or administrative provision – legal agreement is not required but a memorandum of understanding is required</w:t>
            </w:r>
          </w:p>
        </w:tc>
      </w:tr>
      <w:tr w:rsidR="007873A7" w:rsidRPr="00593C31" w14:paraId="2CF60998" w14:textId="77777777" w:rsidTr="000D2CCE">
        <w:trPr>
          <w:trHeight w:val="557"/>
        </w:trPr>
        <w:tc>
          <w:tcPr>
            <w:tcW w:w="1696" w:type="dxa"/>
          </w:tcPr>
          <w:p w14:paraId="3DB313C9"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Clinical network</w:t>
            </w:r>
          </w:p>
        </w:tc>
        <w:tc>
          <w:tcPr>
            <w:tcW w:w="7230" w:type="dxa"/>
          </w:tcPr>
          <w:p w14:paraId="1A0AD765"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 xml:space="preserve">Intends to reduce unwarranted variation in particular subtypes of care by fostering collaboration to optimise these particular care pathways. </w:t>
            </w:r>
          </w:p>
        </w:tc>
      </w:tr>
      <w:tr w:rsidR="007873A7" w:rsidRPr="00593C31" w14:paraId="5903AB9E" w14:textId="77777777" w:rsidTr="000D2CCE">
        <w:trPr>
          <w:trHeight w:val="497"/>
        </w:trPr>
        <w:tc>
          <w:tcPr>
            <w:tcW w:w="1696" w:type="dxa"/>
          </w:tcPr>
          <w:p w14:paraId="75DAE621"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Joint venture</w:t>
            </w:r>
          </w:p>
        </w:tc>
        <w:tc>
          <w:tcPr>
            <w:tcW w:w="7230" w:type="dxa"/>
          </w:tcPr>
          <w:p w14:paraId="69BB7EFD"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Creation of a new legal entity by multiple other entities that serves to deliver a service for and on behalf of the multiple originator entities</w:t>
            </w:r>
          </w:p>
        </w:tc>
      </w:tr>
      <w:tr w:rsidR="007873A7" w:rsidRPr="00593C31" w14:paraId="32DA8814" w14:textId="77777777" w:rsidTr="000D2CCE">
        <w:trPr>
          <w:trHeight w:val="497"/>
        </w:trPr>
        <w:tc>
          <w:tcPr>
            <w:tcW w:w="1696" w:type="dxa"/>
          </w:tcPr>
          <w:p w14:paraId="7CDBA1F7"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 xml:space="preserve">Provider Collaboratives </w:t>
            </w:r>
          </w:p>
        </w:tc>
        <w:tc>
          <w:tcPr>
            <w:tcW w:w="7230" w:type="dxa"/>
          </w:tcPr>
          <w:p w14:paraId="10E16B35" w14:textId="30A4B669" w:rsidR="007873A7" w:rsidRPr="00593C31" w:rsidRDefault="007873A7" w:rsidP="00525BE0">
            <w:pPr>
              <w:spacing w:line="360" w:lineRule="auto"/>
              <w:jc w:val="both"/>
              <w:rPr>
                <w:rFonts w:cstheme="minorHAnsi"/>
                <w:sz w:val="20"/>
                <w:szCs w:val="20"/>
              </w:rPr>
            </w:pPr>
            <w:r w:rsidRPr="00593C31">
              <w:rPr>
                <w:rFonts w:cstheme="minorHAnsi"/>
                <w:sz w:val="20"/>
                <w:szCs w:val="20"/>
              </w:rPr>
              <w:t>Partnerships of providers with new responsibilities for pathway and budget mana</w:t>
            </w:r>
            <w:r w:rsidR="00410158">
              <w:rPr>
                <w:rFonts w:cstheme="minorHAnsi"/>
                <w:sz w:val="20"/>
                <w:szCs w:val="20"/>
              </w:rPr>
              <w:t>gement for specialised services</w:t>
            </w:r>
            <w:r w:rsidRPr="00593C31">
              <w:rPr>
                <w:rFonts w:cstheme="minorHAnsi"/>
                <w:sz w:val="20"/>
                <w:szCs w:val="20"/>
              </w:rPr>
              <w:t xml:space="preserve"> e.g. mental health. </w:t>
            </w:r>
          </w:p>
        </w:tc>
      </w:tr>
      <w:tr w:rsidR="007873A7" w:rsidRPr="00593C31" w14:paraId="21C71204" w14:textId="77777777" w:rsidTr="000D2CCE">
        <w:trPr>
          <w:trHeight w:val="497"/>
        </w:trPr>
        <w:tc>
          <w:tcPr>
            <w:tcW w:w="1696" w:type="dxa"/>
          </w:tcPr>
          <w:p w14:paraId="04A3271C"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Primary care networks</w:t>
            </w:r>
          </w:p>
        </w:tc>
        <w:tc>
          <w:tcPr>
            <w:tcW w:w="7230" w:type="dxa"/>
          </w:tcPr>
          <w:p w14:paraId="0220075C" w14:textId="72DC15D7" w:rsidR="007873A7" w:rsidRPr="00593C31" w:rsidRDefault="007873A7" w:rsidP="00410158">
            <w:pPr>
              <w:spacing w:line="360" w:lineRule="auto"/>
              <w:jc w:val="both"/>
              <w:rPr>
                <w:rFonts w:cstheme="minorHAnsi"/>
                <w:sz w:val="20"/>
                <w:szCs w:val="20"/>
              </w:rPr>
            </w:pPr>
            <w:r w:rsidRPr="00593C31">
              <w:rPr>
                <w:rFonts w:cstheme="minorHAnsi"/>
                <w:sz w:val="20"/>
                <w:szCs w:val="20"/>
              </w:rPr>
              <w:t>GP practices and community, mental</w:t>
            </w:r>
            <w:r w:rsidR="00410158">
              <w:rPr>
                <w:rFonts w:cstheme="minorHAnsi"/>
                <w:sz w:val="20"/>
                <w:szCs w:val="20"/>
              </w:rPr>
              <w:t xml:space="preserve"> health, social care, and pharmacy </w:t>
            </w:r>
            <w:r w:rsidRPr="00593C31">
              <w:rPr>
                <w:rFonts w:cstheme="minorHAnsi"/>
                <w:sz w:val="20"/>
                <w:szCs w:val="20"/>
              </w:rPr>
              <w:t xml:space="preserve">services </w:t>
            </w:r>
            <w:r w:rsidR="00410158">
              <w:rPr>
                <w:rFonts w:cstheme="minorHAnsi"/>
                <w:sz w:val="20"/>
                <w:szCs w:val="20"/>
              </w:rPr>
              <w:t>collaborating to deliver</w:t>
            </w:r>
            <w:r w:rsidRPr="00593C31">
              <w:rPr>
                <w:rFonts w:cstheme="minorHAnsi"/>
                <w:sz w:val="20"/>
                <w:szCs w:val="20"/>
              </w:rPr>
              <w:t xml:space="preserve"> primary care</w:t>
            </w:r>
          </w:p>
        </w:tc>
      </w:tr>
      <w:tr w:rsidR="007873A7" w:rsidRPr="00593C31" w14:paraId="087ED6D7" w14:textId="77777777" w:rsidTr="000D2CCE">
        <w:trPr>
          <w:trHeight w:val="452"/>
        </w:trPr>
        <w:tc>
          <w:tcPr>
            <w:tcW w:w="1696" w:type="dxa"/>
          </w:tcPr>
          <w:p w14:paraId="6D0AE2C4"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Service Level Chain</w:t>
            </w:r>
          </w:p>
        </w:tc>
        <w:tc>
          <w:tcPr>
            <w:tcW w:w="7230" w:type="dxa"/>
          </w:tcPr>
          <w:p w14:paraId="55AA7CB4" w14:textId="3B0ED918" w:rsidR="007873A7" w:rsidRPr="00593C31" w:rsidRDefault="007873A7" w:rsidP="00525BE0">
            <w:pPr>
              <w:spacing w:line="360" w:lineRule="auto"/>
              <w:jc w:val="both"/>
              <w:rPr>
                <w:rFonts w:cstheme="minorHAnsi"/>
                <w:sz w:val="20"/>
                <w:szCs w:val="20"/>
              </w:rPr>
            </w:pPr>
            <w:r w:rsidRPr="00593C31">
              <w:rPr>
                <w:rFonts w:cstheme="minorHAnsi"/>
                <w:sz w:val="20"/>
                <w:szCs w:val="20"/>
              </w:rPr>
              <w:t>A provider is contracted to provide services for another</w:t>
            </w:r>
            <w:r w:rsidR="00AA04ED">
              <w:rPr>
                <w:rFonts w:cstheme="minorHAnsi"/>
                <w:sz w:val="20"/>
                <w:szCs w:val="20"/>
              </w:rPr>
              <w:t>.</w:t>
            </w:r>
          </w:p>
        </w:tc>
      </w:tr>
      <w:tr w:rsidR="007873A7" w:rsidRPr="00593C31" w14:paraId="6F4B990A" w14:textId="77777777" w:rsidTr="000D2CCE">
        <w:trPr>
          <w:trHeight w:val="452"/>
        </w:trPr>
        <w:tc>
          <w:tcPr>
            <w:tcW w:w="1696" w:type="dxa"/>
          </w:tcPr>
          <w:p w14:paraId="0504BA98" w14:textId="61B7C405" w:rsidR="007873A7" w:rsidRPr="00593C31" w:rsidRDefault="00410158" w:rsidP="00410158">
            <w:pPr>
              <w:spacing w:line="360" w:lineRule="auto"/>
              <w:jc w:val="both"/>
              <w:rPr>
                <w:rFonts w:cstheme="minorHAnsi"/>
                <w:sz w:val="20"/>
                <w:szCs w:val="20"/>
              </w:rPr>
            </w:pPr>
            <w:r>
              <w:rPr>
                <w:rFonts w:cstheme="minorHAnsi"/>
                <w:sz w:val="20"/>
                <w:szCs w:val="20"/>
              </w:rPr>
              <w:t xml:space="preserve">Multi-service chain, </w:t>
            </w:r>
            <w:r w:rsidR="007873A7" w:rsidRPr="00593C31">
              <w:rPr>
                <w:rFonts w:cstheme="minorHAnsi"/>
                <w:sz w:val="20"/>
                <w:szCs w:val="20"/>
              </w:rPr>
              <w:t>group or alliance</w:t>
            </w:r>
          </w:p>
        </w:tc>
        <w:tc>
          <w:tcPr>
            <w:tcW w:w="7230" w:type="dxa"/>
          </w:tcPr>
          <w:p w14:paraId="21770D72" w14:textId="434C72E3" w:rsidR="007873A7" w:rsidRPr="00593C31" w:rsidRDefault="007873A7" w:rsidP="00D91907">
            <w:pPr>
              <w:spacing w:line="360" w:lineRule="auto"/>
              <w:jc w:val="both"/>
              <w:rPr>
                <w:rFonts w:cstheme="minorHAnsi"/>
                <w:sz w:val="20"/>
                <w:szCs w:val="20"/>
              </w:rPr>
            </w:pPr>
            <w:r w:rsidRPr="00593C31">
              <w:rPr>
                <w:rFonts w:cstheme="minorHAnsi"/>
                <w:sz w:val="20"/>
                <w:szCs w:val="20"/>
              </w:rPr>
              <w:t>﻿</w:t>
            </w:r>
            <w:r w:rsidR="00410158">
              <w:rPr>
                <w:rFonts w:cstheme="minorHAnsi"/>
                <w:sz w:val="20"/>
                <w:szCs w:val="20"/>
              </w:rPr>
              <w:t xml:space="preserve">A </w:t>
            </w:r>
            <w:r w:rsidRPr="00593C31">
              <w:rPr>
                <w:rFonts w:cstheme="minorHAnsi"/>
                <w:sz w:val="20"/>
                <w:szCs w:val="20"/>
              </w:rPr>
              <w:t xml:space="preserve">separate ‘group’ that sets governance, standards, protocols and procedures, often with procurement and </w:t>
            </w:r>
            <w:r w:rsidR="00AA04ED" w:rsidRPr="00593C31">
              <w:rPr>
                <w:rFonts w:cstheme="minorHAnsi"/>
                <w:sz w:val="20"/>
                <w:szCs w:val="20"/>
              </w:rPr>
              <w:t>back-office</w:t>
            </w:r>
            <w:r w:rsidR="00D91907">
              <w:rPr>
                <w:rFonts w:cstheme="minorHAnsi"/>
                <w:sz w:val="20"/>
                <w:szCs w:val="20"/>
              </w:rPr>
              <w:t xml:space="preserve"> functions. Each site has</w:t>
            </w:r>
            <w:r w:rsidRPr="00593C31">
              <w:rPr>
                <w:rFonts w:cstheme="minorHAnsi"/>
                <w:sz w:val="20"/>
                <w:szCs w:val="20"/>
              </w:rPr>
              <w:t xml:space="preserve"> delegated decision-making within the parameters set by the </w:t>
            </w:r>
            <w:r w:rsidR="00D91907">
              <w:rPr>
                <w:rFonts w:cstheme="minorHAnsi"/>
                <w:sz w:val="20"/>
                <w:szCs w:val="20"/>
              </w:rPr>
              <w:t>designated</w:t>
            </w:r>
            <w:r w:rsidRPr="00593C31">
              <w:rPr>
                <w:rFonts w:cstheme="minorHAnsi"/>
                <w:sz w:val="20"/>
                <w:szCs w:val="20"/>
              </w:rPr>
              <w:t xml:space="preserve"> board</w:t>
            </w:r>
            <w:r w:rsidR="00AA04ED">
              <w:rPr>
                <w:rFonts w:cstheme="minorHAnsi"/>
                <w:sz w:val="20"/>
                <w:szCs w:val="20"/>
              </w:rPr>
              <w:t>.</w:t>
            </w:r>
          </w:p>
        </w:tc>
      </w:tr>
      <w:tr w:rsidR="007873A7" w:rsidRPr="00593C31" w14:paraId="3A2C9394" w14:textId="77777777" w:rsidTr="000D2CCE">
        <w:trPr>
          <w:trHeight w:val="452"/>
        </w:trPr>
        <w:tc>
          <w:tcPr>
            <w:tcW w:w="1696" w:type="dxa"/>
          </w:tcPr>
          <w:p w14:paraId="423B118A"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Management contract</w:t>
            </w:r>
          </w:p>
        </w:tc>
        <w:tc>
          <w:tcPr>
            <w:tcW w:w="7230" w:type="dxa"/>
          </w:tcPr>
          <w:p w14:paraId="6F1CAD2D" w14:textId="43AB343A" w:rsidR="007873A7" w:rsidRPr="00593C31" w:rsidRDefault="007873A7" w:rsidP="00525BE0">
            <w:pPr>
              <w:spacing w:line="360" w:lineRule="auto"/>
              <w:jc w:val="both"/>
              <w:rPr>
                <w:rFonts w:cstheme="minorHAnsi"/>
                <w:sz w:val="20"/>
                <w:szCs w:val="20"/>
              </w:rPr>
            </w:pPr>
            <w:r w:rsidRPr="00593C31">
              <w:rPr>
                <w:rFonts w:cstheme="minorHAnsi"/>
                <w:sz w:val="20"/>
                <w:szCs w:val="20"/>
              </w:rPr>
              <w:t>Control of a set of operations is handed to another organisation to manage for an agreed duration</w:t>
            </w:r>
            <w:r w:rsidR="00AA04ED">
              <w:rPr>
                <w:rFonts w:cstheme="minorHAnsi"/>
                <w:sz w:val="20"/>
                <w:szCs w:val="20"/>
              </w:rPr>
              <w:t>.</w:t>
            </w:r>
          </w:p>
        </w:tc>
      </w:tr>
      <w:tr w:rsidR="007873A7" w:rsidRPr="00593C31" w14:paraId="02699265" w14:textId="77777777" w:rsidTr="000D2CCE">
        <w:trPr>
          <w:trHeight w:val="564"/>
        </w:trPr>
        <w:tc>
          <w:tcPr>
            <w:tcW w:w="1696" w:type="dxa"/>
          </w:tcPr>
          <w:p w14:paraId="5B2674E6"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Integrated care systems</w:t>
            </w:r>
          </w:p>
        </w:tc>
        <w:tc>
          <w:tcPr>
            <w:tcW w:w="7230" w:type="dxa"/>
          </w:tcPr>
          <w:p w14:paraId="6D5F771D" w14:textId="19FF6BFD" w:rsidR="007873A7" w:rsidRPr="00593C31" w:rsidRDefault="007873A7" w:rsidP="00525BE0">
            <w:pPr>
              <w:spacing w:line="360" w:lineRule="auto"/>
              <w:jc w:val="both"/>
              <w:rPr>
                <w:rFonts w:cstheme="minorHAnsi"/>
                <w:sz w:val="20"/>
                <w:szCs w:val="20"/>
              </w:rPr>
            </w:pPr>
            <w:r w:rsidRPr="00593C31">
              <w:rPr>
                <w:rFonts w:cstheme="minorHAnsi"/>
                <w:sz w:val="20"/>
                <w:szCs w:val="20"/>
              </w:rPr>
              <w:t>Multiple organisations from primary, community, acute, mental and public health, and social care get brought together to manage patients across defined care pathways</w:t>
            </w:r>
            <w:r w:rsidR="00AA04ED">
              <w:rPr>
                <w:rFonts w:cstheme="minorHAnsi"/>
                <w:sz w:val="20"/>
                <w:szCs w:val="20"/>
              </w:rPr>
              <w:t>.</w:t>
            </w:r>
            <w:r w:rsidRPr="00593C31">
              <w:rPr>
                <w:rFonts w:cstheme="minorHAnsi"/>
                <w:sz w:val="20"/>
                <w:szCs w:val="20"/>
              </w:rPr>
              <w:t xml:space="preserve"> </w:t>
            </w:r>
          </w:p>
        </w:tc>
      </w:tr>
      <w:tr w:rsidR="007873A7" w:rsidRPr="00593C31" w14:paraId="3158A389" w14:textId="77777777" w:rsidTr="000D2CCE">
        <w:trPr>
          <w:trHeight w:val="564"/>
        </w:trPr>
        <w:tc>
          <w:tcPr>
            <w:tcW w:w="1696" w:type="dxa"/>
          </w:tcPr>
          <w:p w14:paraId="2721CDBD"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Merger</w:t>
            </w:r>
          </w:p>
        </w:tc>
        <w:tc>
          <w:tcPr>
            <w:tcW w:w="7230" w:type="dxa"/>
          </w:tcPr>
          <w:p w14:paraId="56DE831C" w14:textId="76DE975B" w:rsidR="007873A7" w:rsidRPr="00593C31" w:rsidRDefault="007873A7" w:rsidP="00525BE0">
            <w:pPr>
              <w:spacing w:line="360" w:lineRule="auto"/>
              <w:jc w:val="both"/>
              <w:rPr>
                <w:rFonts w:cstheme="minorHAnsi"/>
                <w:sz w:val="20"/>
                <w:szCs w:val="20"/>
              </w:rPr>
            </w:pPr>
            <w:r w:rsidRPr="00593C31">
              <w:rPr>
                <w:rFonts w:cstheme="minorHAnsi"/>
                <w:sz w:val="20"/>
                <w:szCs w:val="20"/>
              </w:rPr>
              <w:t>Where two organisations combine resources to form a new organisation</w:t>
            </w:r>
            <w:r w:rsidR="00AA04ED">
              <w:rPr>
                <w:rFonts w:cstheme="minorHAnsi"/>
                <w:sz w:val="20"/>
                <w:szCs w:val="20"/>
              </w:rPr>
              <w:t>.</w:t>
            </w:r>
          </w:p>
        </w:tc>
      </w:tr>
      <w:tr w:rsidR="007873A7" w:rsidRPr="00593C31" w14:paraId="22D1F415" w14:textId="77777777" w:rsidTr="000D2CCE">
        <w:trPr>
          <w:trHeight w:val="564"/>
        </w:trPr>
        <w:tc>
          <w:tcPr>
            <w:tcW w:w="1696" w:type="dxa"/>
          </w:tcPr>
          <w:p w14:paraId="30869ADC" w14:textId="77777777" w:rsidR="007873A7" w:rsidRPr="00593C31" w:rsidRDefault="007873A7" w:rsidP="00525BE0">
            <w:pPr>
              <w:spacing w:line="360" w:lineRule="auto"/>
              <w:jc w:val="both"/>
              <w:rPr>
                <w:rFonts w:cstheme="minorHAnsi"/>
                <w:sz w:val="20"/>
                <w:szCs w:val="20"/>
              </w:rPr>
            </w:pPr>
            <w:r w:rsidRPr="00593C31">
              <w:rPr>
                <w:rFonts w:cstheme="minorHAnsi"/>
                <w:sz w:val="20"/>
                <w:szCs w:val="20"/>
              </w:rPr>
              <w:t>Acquisition</w:t>
            </w:r>
          </w:p>
        </w:tc>
        <w:tc>
          <w:tcPr>
            <w:tcW w:w="7230" w:type="dxa"/>
          </w:tcPr>
          <w:p w14:paraId="36EFA677" w14:textId="54618514" w:rsidR="007873A7" w:rsidRPr="00593C31" w:rsidRDefault="007873A7" w:rsidP="00525BE0">
            <w:pPr>
              <w:spacing w:line="360" w:lineRule="auto"/>
              <w:jc w:val="both"/>
              <w:rPr>
                <w:rFonts w:cstheme="minorHAnsi"/>
                <w:sz w:val="20"/>
                <w:szCs w:val="20"/>
              </w:rPr>
            </w:pPr>
            <w:r w:rsidRPr="00593C31">
              <w:rPr>
                <w:rFonts w:cstheme="minorHAnsi"/>
                <w:sz w:val="20"/>
                <w:szCs w:val="20"/>
              </w:rPr>
              <w:t>Where one organisation becomes subsumed by another</w:t>
            </w:r>
            <w:r w:rsidR="00AA04ED">
              <w:rPr>
                <w:rFonts w:cstheme="minorHAnsi"/>
                <w:sz w:val="20"/>
                <w:szCs w:val="20"/>
              </w:rPr>
              <w:t>.</w:t>
            </w:r>
          </w:p>
        </w:tc>
      </w:tr>
    </w:tbl>
    <w:p w14:paraId="6B8D7CBA" w14:textId="77777777" w:rsidR="007873A7" w:rsidRPr="007C01CB" w:rsidRDefault="007873A7" w:rsidP="00525BE0">
      <w:pPr>
        <w:spacing w:line="360" w:lineRule="auto"/>
        <w:jc w:val="both"/>
      </w:pPr>
    </w:p>
    <w:p w14:paraId="01ECBE30" w14:textId="373F49A4" w:rsidR="007873A7" w:rsidRDefault="007873A7" w:rsidP="00525BE0">
      <w:pPr>
        <w:pStyle w:val="Heading2"/>
        <w:spacing w:after="120" w:line="360" w:lineRule="auto"/>
        <w:jc w:val="both"/>
      </w:pPr>
    </w:p>
    <w:p w14:paraId="7248D82E" w14:textId="77777777" w:rsidR="007873A7" w:rsidRPr="00B27A9C" w:rsidRDefault="007873A7" w:rsidP="00525BE0">
      <w:pPr>
        <w:pStyle w:val="Heading2"/>
        <w:spacing w:after="120" w:line="480" w:lineRule="auto"/>
        <w:jc w:val="both"/>
      </w:pPr>
      <w:bookmarkStart w:id="30" w:name="_Toc85066410"/>
      <w:bookmarkStart w:id="31" w:name="_Hlk104988639"/>
      <w:r w:rsidRPr="007C01CB">
        <w:t>What are collaborations intending to achieve?</w:t>
      </w:r>
      <w:bookmarkEnd w:id="30"/>
    </w:p>
    <w:bookmarkEnd w:id="31"/>
    <w:p w14:paraId="6F9A4503" w14:textId="19AE3613" w:rsidR="007873A7" w:rsidRPr="007C01CB" w:rsidRDefault="00B03F50" w:rsidP="00525BE0">
      <w:pPr>
        <w:spacing w:line="360" w:lineRule="auto"/>
        <w:jc w:val="both"/>
        <w:rPr>
          <w:rFonts w:cstheme="minorHAnsi"/>
        </w:rPr>
      </w:pPr>
      <w:r>
        <w:rPr>
          <w:rFonts w:cstheme="minorHAnsi"/>
        </w:rPr>
        <w:t xml:space="preserve">Despite the emphasis being placed on </w:t>
      </w:r>
      <w:r w:rsidRPr="00B03F50">
        <w:rPr>
          <w:rFonts w:cstheme="minorHAnsi"/>
        </w:rPr>
        <w:t>collaboration and integration</w:t>
      </w:r>
      <w:r>
        <w:rPr>
          <w:rFonts w:cstheme="minorHAnsi"/>
        </w:rPr>
        <w:t xml:space="preserve"> across health care systems, questions continue to be raised about the lack of</w:t>
      </w:r>
      <w:r w:rsidR="007873A7" w:rsidRPr="007C01CB">
        <w:rPr>
          <w:rFonts w:cstheme="minorHAnsi"/>
        </w:rPr>
        <w:t xml:space="preserve"> robust evidence regarding whether </w:t>
      </w:r>
      <w:r>
        <w:rPr>
          <w:rFonts w:cstheme="minorHAnsi"/>
        </w:rPr>
        <w:t>such</w:t>
      </w:r>
      <w:r w:rsidR="007873A7" w:rsidRPr="007C01CB">
        <w:rPr>
          <w:rFonts w:cstheme="minorHAnsi"/>
        </w:rPr>
        <w:t xml:space="preserve"> relationships lead to desired outcomes (</w:t>
      </w:r>
      <w:r w:rsidR="00AA04ED">
        <w:rPr>
          <w:rFonts w:cstheme="minorHAnsi"/>
        </w:rPr>
        <w:t>48</w:t>
      </w:r>
      <w:r w:rsidR="007873A7" w:rsidRPr="007C01CB">
        <w:rPr>
          <w:rFonts w:cstheme="minorHAnsi"/>
        </w:rPr>
        <w:t xml:space="preserve">). </w:t>
      </w:r>
      <w:r>
        <w:rPr>
          <w:rFonts w:cstheme="minorHAnsi"/>
        </w:rPr>
        <w:t xml:space="preserve">This has been explained in large </w:t>
      </w:r>
      <w:r w:rsidR="0069225B">
        <w:rPr>
          <w:rFonts w:cstheme="minorHAnsi"/>
        </w:rPr>
        <w:t xml:space="preserve">part </w:t>
      </w:r>
      <w:r>
        <w:rPr>
          <w:rFonts w:cstheme="minorHAnsi"/>
        </w:rPr>
        <w:t>due to the</w:t>
      </w:r>
      <w:r w:rsidR="007873A7" w:rsidRPr="007C01CB">
        <w:rPr>
          <w:rFonts w:cstheme="minorHAnsi"/>
        </w:rPr>
        <w:t xml:space="preserve"> </w:t>
      </w:r>
      <w:r>
        <w:rPr>
          <w:rFonts w:cstheme="minorHAnsi"/>
        </w:rPr>
        <w:t>‘</w:t>
      </w:r>
      <w:r w:rsidR="007873A7" w:rsidRPr="007C01CB">
        <w:rPr>
          <w:rFonts w:cstheme="minorHAnsi"/>
        </w:rPr>
        <w:t>wicked problems</w:t>
      </w:r>
      <w:r>
        <w:rPr>
          <w:rFonts w:cstheme="minorHAnsi"/>
        </w:rPr>
        <w:t>’</w:t>
      </w:r>
      <w:r w:rsidR="007873A7" w:rsidRPr="007C01CB">
        <w:rPr>
          <w:rFonts w:cstheme="minorHAnsi"/>
        </w:rPr>
        <w:t xml:space="preserve"> </w:t>
      </w:r>
      <w:r>
        <w:rPr>
          <w:rFonts w:cstheme="minorHAnsi"/>
        </w:rPr>
        <w:t>collaboration is often looking to solve and the resulting</w:t>
      </w:r>
      <w:r w:rsidR="007873A7" w:rsidRPr="007C01CB">
        <w:rPr>
          <w:rFonts w:cstheme="minorHAnsi"/>
        </w:rPr>
        <w:t xml:space="preserve"> challenges</w:t>
      </w:r>
      <w:r>
        <w:rPr>
          <w:rFonts w:cstheme="minorHAnsi"/>
        </w:rPr>
        <w:t xml:space="preserve"> and dilemmas</w:t>
      </w:r>
      <w:r w:rsidR="007873A7" w:rsidRPr="007C01CB">
        <w:rPr>
          <w:rFonts w:cstheme="minorHAnsi"/>
        </w:rPr>
        <w:t xml:space="preserve"> regarding how to measure collaborative effectiveness and success </w:t>
      </w:r>
      <w:r w:rsidR="007873A7" w:rsidRPr="007C01CB">
        <w:rPr>
          <w:rFonts w:cstheme="minorHAnsi"/>
        </w:rPr>
        <w:fldChar w:fldCharType="begin" w:fldLock="1"/>
      </w:r>
      <w:r w:rsidR="00804189">
        <w:rPr>
          <w:rFonts w:cstheme="minorHAnsi"/>
        </w:rPr>
        <w:instrText>ADDIN CSL_CITATION {"citationItems":[{"id":"ITEM-1","itemData":{"DOI":"10.1080/14719037.2017.1383782","ISSN":"14719045","abstract":"Governments have repeatedly claimed that collaboration improves public service outcomes. However, defining, achieving, and evaluating collaborative outcomes is often problematic. Analysis of multi-sectoral projects in Wales, which were supported by the European Social Fund, exemplifies these challenges. Shifts in policy discourses and the interplay between national and local agendas produced complex and contested understandings of outcomes which made difficult to evaluate the projects’ achievements. We argue that the pursuit of collaboration needs to be understood not simply as an attempt to improve public service effectiveness but also ‘cultural efficacy’. The conclusions offer reflections relevant for theory and practice.","author":[{"dropping-particle":"","family":"Guarneros-Meza","given":"Valeria","non-dropping-particle":"","parse-names":false,"suffix":""},{"dropping-particle":"","family":"Downe","given":"James","non-dropping-particle":"","parse-names":false,"suffix":""},{"dropping-particle":"","family":"Martin","given":"Steve","non-dropping-particle":"","parse-names":false,"suffix":""}],"container-title":"Public Management Review","id":"ITEM-1","issue":"10","issued":{"date-parts":[["2018"]]},"page":"1562-1580","publisher":"Routledge","title":"Defining, achieving, and evaluating collaborative outcomes: a theory of change approach","type":"article-journal","volume":"20"},"uris":["http://www.mendeley.com/documents/?uuid=6c109b87-ef3b-4596-91e7-484853dd83ab"]},{"id":"ITEM-2","itemData":{"DOI":"10.1111/1467-8500.12386","ISSN":"14678500","abstract":"The changing nature of organisations in the public sector means that collaboration has become an imperative for many. Notwithstanding considerable scholarly agreement about factors contributing to successful collaboration, a broadly accepted model of collaborative practice has not coalesced. In this paper, we put forward an augmented collaboration assessment tool. Building on existing research, we argue that systems thinking can help us better account for the dynamic and multidimensional nature of collaboration – a process in which partner organisations are interconnected and organised in a way that seeks to achieve a common purpose that they could not have achieved alone. We tested the validity of our tool using a three-stage, iterative mixed-methods approach. Our research confirms the value of a diagnostic tool to assist collaboration partners navigate an often uncertain terrain. It further establishes the value of our tool in illuminating a collaboration's dynamic interactions as a means to evaluate ‘collaboration health’.","author":[{"dropping-particle":"","family":"Salignac","given":"Fanny","non-dropping-particle":"","parse-names":false,"suffix":""},{"dropping-particle":"","family":"Marjolin","given":"Axelle","non-dropping-particle":"","parse-names":false,"suffix":""},{"dropping-particle":"","family":"Noone","given":"Jack","non-dropping-particle":"","parse-names":false,"suffix":""},{"dropping-particle":"","family":"Carey","given":"Gemma","non-dropping-particle":"","parse-names":false,"suffix":""}],"container-title":"Australian Journal of Public Administration","id":"ITEM-2","issue":"2","issued":{"date-parts":[["2019"]]},"page":"227-249","title":"Measuring dynamic collaborations: Collaborative health assessment tool","type":"article-journal","volume":"78"},"uris":["http://www.mendeley.com/documents/?uuid=6c416074-791e-4425-8120-24fa1c8f618d"]}],"mendeley":{"formattedCitation":"&lt;sup&gt;53,66&lt;/sup&gt;","plainTextFormattedCitation":"53,66","previouslyFormattedCitation":"&lt;sup&gt;53,66&lt;/sup&gt;"},"properties":{"noteIndex":0},"schema":"https://github.com/citation-style-language/schema/raw/master/csl-citation.json"}</w:instrText>
      </w:r>
      <w:r w:rsidR="007873A7" w:rsidRPr="007C01CB">
        <w:rPr>
          <w:rFonts w:cstheme="minorHAnsi"/>
        </w:rPr>
        <w:fldChar w:fldCharType="separate"/>
      </w:r>
      <w:r w:rsidR="00C4603E" w:rsidRPr="00C4603E">
        <w:rPr>
          <w:rFonts w:cstheme="minorHAnsi"/>
          <w:noProof/>
          <w:vertAlign w:val="superscript"/>
        </w:rPr>
        <w:t>53,66</w:t>
      </w:r>
      <w:r w:rsidR="007873A7" w:rsidRPr="007C01CB">
        <w:rPr>
          <w:rFonts w:cstheme="minorHAnsi"/>
        </w:rPr>
        <w:fldChar w:fldCharType="end"/>
      </w:r>
      <w:r w:rsidR="007873A7" w:rsidRPr="007C01CB">
        <w:rPr>
          <w:rFonts w:cstheme="minorHAnsi"/>
        </w:rPr>
        <w:t>. Guarneros-Meza et al (</w:t>
      </w:r>
      <w:r w:rsidR="002F6840">
        <w:rPr>
          <w:rFonts w:cstheme="minorHAnsi"/>
        </w:rPr>
        <w:t>53</w:t>
      </w:r>
      <w:r w:rsidR="007873A7" w:rsidRPr="007C01CB">
        <w:rPr>
          <w:rFonts w:cstheme="minorHAnsi"/>
        </w:rPr>
        <w:t xml:space="preserve">) review a range of measures and frameworks to demonstrate how collaborative performance can include </w:t>
      </w:r>
      <w:r>
        <w:rPr>
          <w:rFonts w:cstheme="minorHAnsi"/>
        </w:rPr>
        <w:t xml:space="preserve">several </w:t>
      </w:r>
      <w:r w:rsidR="007873A7" w:rsidRPr="007C01CB">
        <w:rPr>
          <w:rFonts w:cstheme="minorHAnsi"/>
        </w:rPr>
        <w:t xml:space="preserve">measures comprising the quantity and quality of service outputs, consumer satisfaction, service objectives, expenditure data, equity in </w:t>
      </w:r>
      <w:r w:rsidR="002D59BD">
        <w:rPr>
          <w:rFonts w:cstheme="minorHAnsi"/>
        </w:rPr>
        <w:t xml:space="preserve">the </w:t>
      </w:r>
      <w:r w:rsidR="007873A7" w:rsidRPr="007C01CB">
        <w:rPr>
          <w:rFonts w:cstheme="minorHAnsi"/>
        </w:rPr>
        <w:t>allocation of resources</w:t>
      </w:r>
      <w:r w:rsidR="002D59BD">
        <w:rPr>
          <w:rFonts w:cstheme="minorHAnsi"/>
        </w:rPr>
        <w:t>,</w:t>
      </w:r>
      <w:r w:rsidR="007873A7" w:rsidRPr="007C01CB">
        <w:rPr>
          <w:rFonts w:cstheme="minorHAnsi"/>
        </w:rPr>
        <w:t xml:space="preserve"> and service outcomes </w:t>
      </w:r>
      <w:r w:rsidR="007873A7" w:rsidRPr="007C01CB">
        <w:rPr>
          <w:rFonts w:cstheme="minorHAnsi"/>
        </w:rPr>
        <w:fldChar w:fldCharType="begin" w:fldLock="1"/>
      </w:r>
      <w:r w:rsidR="00804189">
        <w:rPr>
          <w:rFonts w:cstheme="minorHAnsi"/>
        </w:rPr>
        <w:instrText>ADDIN CSL_CITATION {"citationItems":[{"id":"ITEM-1","itemData":{"ISSN":"0033-3352","author":[{"dropping-particle":"","family":"Andrews","given":"Rhys","non-dropping-particle":"","parse-names":false,"suffix":""},{"dropping-particle":"","family":"Boyne","given":"George A","non-dropping-particle":"","parse-names":false,"suffix":""}],"container-title":"Public administration review","id":"ITEM-1","issue":"3","issued":{"date-parts":[["2010"]]},"page":"443-454","publisher":"Wiley Online Library","title":"Capacity, leadership, and organizational performance: Testing the black box model of public management","type":"article-journal","volume":"70"},"uris":["http://www.mendeley.com/documents/?uuid=47bff201-347b-4478-b708-1aeda1b055d2"]}],"mendeley":{"formattedCitation":"&lt;sup&gt;67&lt;/sup&gt;","plainTextFormattedCitation":"67","previouslyFormattedCitation":"&lt;sup&gt;67&lt;/sup&gt;"},"properties":{"noteIndex":0},"schema":"https://github.com/citation-style-language/schema/raw/master/csl-citation.json"}</w:instrText>
      </w:r>
      <w:r w:rsidR="007873A7" w:rsidRPr="007C01CB">
        <w:rPr>
          <w:rFonts w:cstheme="minorHAnsi"/>
        </w:rPr>
        <w:fldChar w:fldCharType="separate"/>
      </w:r>
      <w:r w:rsidR="00C4603E" w:rsidRPr="00C4603E">
        <w:rPr>
          <w:rFonts w:cstheme="minorHAnsi"/>
          <w:noProof/>
          <w:vertAlign w:val="superscript"/>
        </w:rPr>
        <w:t>67</w:t>
      </w:r>
      <w:r w:rsidR="007873A7" w:rsidRPr="007C01CB">
        <w:rPr>
          <w:rFonts w:cstheme="minorHAnsi"/>
        </w:rPr>
        <w:fldChar w:fldCharType="end"/>
      </w:r>
      <w:r w:rsidR="007873A7" w:rsidRPr="007C01CB">
        <w:rPr>
          <w:rFonts w:cstheme="minorHAnsi"/>
        </w:rPr>
        <w:t>. They can encompass common models of assessing performance related to goal attainment (outcomes), performance targets (outputs), and cultural efficacy measuring factors such as changes in rhetoric, emotions, and symbols</w:t>
      </w:r>
      <w:r w:rsidR="00D8755C">
        <w:rPr>
          <w:rFonts w:cstheme="minorHAnsi"/>
        </w:rPr>
        <w:t xml:space="preserve"> </w:t>
      </w:r>
      <w:r w:rsidR="00D8755C">
        <w:rPr>
          <w:rFonts w:cstheme="minorHAnsi"/>
        </w:rPr>
        <w:fldChar w:fldCharType="begin" w:fldLock="1"/>
      </w:r>
      <w:r w:rsidR="00EA4B53">
        <w:rPr>
          <w:rFonts w:cstheme="minorHAnsi"/>
        </w:rPr>
        <w:instrText>ADDIN CSL_CITATION {"citationItems":[{"id":"ITEM-1","itemData":{"DOI":"10.1111/padm.12048","ISSN":"14679299","abstract":"Much of what has been written about collaboration treats it instrumentally as a means-ends tool of improvement. However, despite considerable collaborative activity there is little evidence that clearly links collaboration to improvements in service-user outcomes or reduced inequalities. In this article we draw on literature from critical public policy and governance studies to recast collaboration as an expression of cultural performance associated with a rather different set of values and measures. We argue that understanding collaboration in the round means that we need to pay attention to all dimensions of performance including cultural performance. We argue that this in turn helps to explain the persistent appeal of collaboration amongst policy makers and practitioners. © 2013 John Wiley &amp; Sons Ltd.","author":[{"dropping-particle":"","family":"Dickinson","given":"Helen","non-dropping-particle":"","parse-names":false,"suffix":""},{"dropping-particle":"","family":"Sullivan","given":"Helen","non-dropping-particle":"","parse-names":false,"suffix":""}],"container-title":"Public Administration","id":"ITEM-1","issue":"1","issued":{"date-parts":[["2014"]]},"page":"161-177","title":"Towards a general theory of collaborative performance: The importance of efficacy and agency","type":"article-journal","volume":"92"},"uris":["http://www.mendeley.com/documents/?uuid=4634c9cd-08ce-43d3-8271-9a9e3d4a1850"]}],"mendeley":{"formattedCitation":"&lt;sup&gt;48&lt;/sup&gt;","plainTextFormattedCitation":"48","previouslyFormattedCitation":"&lt;sup&gt;48&lt;/sup&gt;"},"properties":{"noteIndex":0},"schema":"https://github.com/citation-style-language/schema/raw/master/csl-citation.json"}</w:instrText>
      </w:r>
      <w:r w:rsidR="00D8755C">
        <w:rPr>
          <w:rFonts w:cstheme="minorHAnsi"/>
        </w:rPr>
        <w:fldChar w:fldCharType="separate"/>
      </w:r>
      <w:r w:rsidR="00E25884" w:rsidRPr="00E25884">
        <w:rPr>
          <w:rFonts w:cstheme="minorHAnsi"/>
          <w:noProof/>
          <w:vertAlign w:val="superscript"/>
        </w:rPr>
        <w:t>48</w:t>
      </w:r>
      <w:r w:rsidR="00D8755C">
        <w:rPr>
          <w:rFonts w:cstheme="minorHAnsi"/>
        </w:rPr>
        <w:fldChar w:fldCharType="end"/>
      </w:r>
      <w:r w:rsidR="00D8755C">
        <w:rPr>
          <w:rFonts w:cstheme="minorHAnsi"/>
        </w:rPr>
        <w:t xml:space="preserve">. </w:t>
      </w:r>
      <w:r w:rsidR="002F6840" w:rsidRPr="007C01CB">
        <w:rPr>
          <w:rFonts w:cstheme="minorHAnsi"/>
        </w:rPr>
        <w:fldChar w:fldCharType="begin" w:fldLock="1"/>
      </w:r>
      <w:r w:rsidR="00EA4B53">
        <w:rPr>
          <w:rFonts w:cstheme="minorHAnsi"/>
        </w:rPr>
        <w:instrText>ADDIN CSL_CITATION {"citationItems":[{"id":"ITEM-1","itemData":{"DOI":"10.1111/puar.12888","ISSN":"15406210","abstract":"Collaboration has become the predominant approach to solving complex public problems. This choice, however, often is not driven by demonstrated effectiveness. Collaboration is instead chosen in the hope that a networked arrangement will be more effective than individual organizations working on the issue alone. Questions regarding collaborative effectiveness persist and constitute a significant challenge facing both public management practitioners and public administration scholars. In light of the case study in this issue of Public Administration Review by Maurits Waardenburg and colleagues, this article reviews the current thinking on the measurement of collaborative performance and discusses steps that professionals can take to evaluate the effectiveness of their collaborative endeavors.","author":[{"dropping-particle":"","family":"Silvia","given":"Chris","non-dropping-particle":"","parse-names":false,"suffix":""}],"container-title":"Public Administration Review","id":"ITEM-1","issue":"3","issued":{"date-parts":[["2018"]]},"page":"472-478","title":"Evaluating Collaboration: The Solution to One Problem Often Causes Another","type":"article-journal","volume":"78"},"uris":["http://www.mendeley.com/documents/?uuid=32722cea-a714-431d-b0f3-6b8d0ce5bd97"]}],"mendeley":{"formattedCitation":"&lt;sup&gt;51&lt;/sup&gt;","manualFormatting":"Silvia (51","plainTextFormattedCitation":"51","previouslyFormattedCitation":"&lt;sup&gt;51&lt;/sup&gt;"},"properties":{"noteIndex":0},"schema":"https://github.com/citation-style-language/schema/raw/master/csl-citation.json"}</w:instrText>
      </w:r>
      <w:r w:rsidR="002F6840" w:rsidRPr="007C01CB">
        <w:rPr>
          <w:rFonts w:cstheme="minorHAnsi"/>
        </w:rPr>
        <w:fldChar w:fldCharType="separate"/>
      </w:r>
      <w:r w:rsidR="002F6840" w:rsidRPr="007C01CB">
        <w:rPr>
          <w:rFonts w:cstheme="minorHAnsi"/>
          <w:noProof/>
        </w:rPr>
        <w:t>Silvia (</w:t>
      </w:r>
      <w:r w:rsidR="002F6840">
        <w:rPr>
          <w:rFonts w:cstheme="minorHAnsi"/>
          <w:noProof/>
        </w:rPr>
        <w:t>51</w:t>
      </w:r>
      <w:r w:rsidR="002F6840" w:rsidRPr="007C01CB">
        <w:rPr>
          <w:rFonts w:cstheme="minorHAnsi"/>
        </w:rPr>
        <w:fldChar w:fldCharType="end"/>
      </w:r>
      <w:r w:rsidR="007873A7">
        <w:rPr>
          <w:rFonts w:cstheme="minorHAnsi"/>
        </w:rPr>
        <w:t xml:space="preserve">), drawing on </w:t>
      </w:r>
      <w:r w:rsidR="007873A7" w:rsidRPr="007C01CB">
        <w:rPr>
          <w:rFonts w:cstheme="minorHAnsi"/>
        </w:rPr>
        <w:fldChar w:fldCharType="begin" w:fldLock="1"/>
      </w:r>
      <w:r w:rsidR="00804189">
        <w:rPr>
          <w:rFonts w:cstheme="minorHAnsi"/>
        </w:rPr>
        <w:instrText>ADDIN CSL_CITATION {"citationItems":[{"id":"ITEM-1","itemData":{"ISSN":"1530-9576","author":[{"dropping-particle":"","family":"Mandell","given":"Myrna","non-dropping-particle":"","parse-names":false,"suffix":""},{"dropping-particle":"","family":"Keast","given":"Robyn","non-dropping-particle":"","parse-names":false,"suffix":""}],"container-title":"Public performance &amp; management review","id":"ITEM-1","issue":"4","issued":{"date-parts":[["2007"]]},"page":"574-597","publisher":"Taylor &amp; Francis","title":"Evaluating network arrangements: Toward revised performance measures","type":"article-journal","volume":"30"},"uris":["http://www.mendeley.com/documents/?uuid=db9d1b49-022f-4f86-b61a-fe75bdeae589"]}],"mendeley":{"formattedCitation":"&lt;sup&gt;68&lt;/sup&gt;","plainTextFormattedCitation":"68","previouslyFormattedCitation":"&lt;sup&gt;68&lt;/sup&gt;"},"properties":{"noteIndex":0},"schema":"https://github.com/citation-style-language/schema/raw/master/csl-citation.json"}</w:instrText>
      </w:r>
      <w:r w:rsidR="007873A7" w:rsidRPr="007C01CB">
        <w:rPr>
          <w:rFonts w:cstheme="minorHAnsi"/>
        </w:rPr>
        <w:fldChar w:fldCharType="separate"/>
      </w:r>
      <w:r w:rsidR="00C4603E" w:rsidRPr="00C4603E">
        <w:rPr>
          <w:rFonts w:cstheme="minorHAnsi"/>
          <w:noProof/>
          <w:vertAlign w:val="superscript"/>
        </w:rPr>
        <w:t>68</w:t>
      </w:r>
      <w:r w:rsidR="007873A7" w:rsidRPr="007C01CB">
        <w:rPr>
          <w:rFonts w:cstheme="minorHAnsi"/>
        </w:rPr>
        <w:fldChar w:fldCharType="end"/>
      </w:r>
      <w:r w:rsidR="007873A7">
        <w:rPr>
          <w:rFonts w:cstheme="minorHAnsi"/>
        </w:rPr>
        <w:t xml:space="preserve">, </w:t>
      </w:r>
      <w:r w:rsidR="007873A7" w:rsidRPr="007C01CB">
        <w:rPr>
          <w:rFonts w:cstheme="minorHAnsi"/>
        </w:rPr>
        <w:t xml:space="preserve">shows how effectiveness can be measured at three interrelated levels of network operations: </w:t>
      </w:r>
    </w:p>
    <w:p w14:paraId="0C566F04" w14:textId="77777777" w:rsidR="007873A7" w:rsidRPr="007C01CB" w:rsidRDefault="007873A7" w:rsidP="00525BE0">
      <w:pPr>
        <w:spacing w:line="360" w:lineRule="auto"/>
        <w:ind w:left="720"/>
        <w:jc w:val="both"/>
        <w:rPr>
          <w:rFonts w:cstheme="minorHAnsi"/>
        </w:rPr>
      </w:pPr>
      <w:r w:rsidRPr="007C01CB">
        <w:rPr>
          <w:rFonts w:cstheme="minorHAnsi"/>
        </w:rPr>
        <w:t>•</w:t>
      </w:r>
      <w:r>
        <w:rPr>
          <w:rFonts w:cstheme="minorHAnsi"/>
        </w:rPr>
        <w:t xml:space="preserve"> </w:t>
      </w:r>
      <w:r w:rsidRPr="007C01CB">
        <w:rPr>
          <w:rFonts w:cstheme="minorHAnsi"/>
        </w:rPr>
        <w:t>The operating level: the extent to which participants have developed not only a better understanding of each other, but whether they have developed a shared language and culture, new ways of communication and the ability to find common ground</w:t>
      </w:r>
      <w:r>
        <w:rPr>
          <w:rFonts w:cstheme="minorHAnsi"/>
        </w:rPr>
        <w:t>.</w:t>
      </w:r>
    </w:p>
    <w:p w14:paraId="6AEDA7B8" w14:textId="39F7E1E2" w:rsidR="007873A7" w:rsidRPr="007C01CB" w:rsidRDefault="007873A7" w:rsidP="00525BE0">
      <w:pPr>
        <w:spacing w:line="360" w:lineRule="auto"/>
        <w:ind w:left="720"/>
        <w:jc w:val="both"/>
        <w:rPr>
          <w:rFonts w:cstheme="minorHAnsi"/>
        </w:rPr>
      </w:pPr>
      <w:r w:rsidRPr="007C01CB">
        <w:rPr>
          <w:rFonts w:cstheme="minorHAnsi"/>
        </w:rPr>
        <w:t>•</w:t>
      </w:r>
      <w:r>
        <w:rPr>
          <w:rFonts w:cstheme="minorHAnsi"/>
        </w:rPr>
        <w:t xml:space="preserve"> </w:t>
      </w:r>
      <w:r w:rsidRPr="007C01CB">
        <w:rPr>
          <w:rFonts w:cstheme="minorHAnsi"/>
        </w:rPr>
        <w:t>The organisational level: activating, framing, mobili</w:t>
      </w:r>
      <w:r w:rsidR="0069225B">
        <w:rPr>
          <w:rFonts w:cstheme="minorHAnsi"/>
        </w:rPr>
        <w:t>s</w:t>
      </w:r>
      <w:r w:rsidRPr="007C01CB">
        <w:rPr>
          <w:rFonts w:cstheme="minorHAnsi"/>
        </w:rPr>
        <w:t>ing, and synthesi</w:t>
      </w:r>
      <w:r w:rsidR="0069225B">
        <w:rPr>
          <w:rFonts w:cstheme="minorHAnsi"/>
        </w:rPr>
        <w:t>s</w:t>
      </w:r>
      <w:r w:rsidRPr="007C01CB">
        <w:rPr>
          <w:rFonts w:cstheme="minorHAnsi"/>
        </w:rPr>
        <w:t>ing activities as measured by the creation of a shared vision, the establishment of member commitment to the network’s mission, and the inclusion of all network members in the collaborative process</w:t>
      </w:r>
      <w:r>
        <w:rPr>
          <w:rFonts w:cstheme="minorHAnsi"/>
        </w:rPr>
        <w:t>.</w:t>
      </w:r>
    </w:p>
    <w:p w14:paraId="3A4831AF" w14:textId="77777777" w:rsidR="007873A7" w:rsidRPr="007C01CB" w:rsidRDefault="007873A7" w:rsidP="00525BE0">
      <w:pPr>
        <w:spacing w:line="360" w:lineRule="auto"/>
        <w:ind w:left="720"/>
        <w:jc w:val="both"/>
        <w:rPr>
          <w:rFonts w:cstheme="minorHAnsi"/>
        </w:rPr>
      </w:pPr>
      <w:r w:rsidRPr="007C01CB">
        <w:rPr>
          <w:rFonts w:cstheme="minorHAnsi"/>
        </w:rPr>
        <w:t>•</w:t>
      </w:r>
      <w:r>
        <w:rPr>
          <w:rFonts w:cstheme="minorHAnsi"/>
        </w:rPr>
        <w:t xml:space="preserve"> </w:t>
      </w:r>
      <w:r w:rsidRPr="007C01CB">
        <w:rPr>
          <w:rFonts w:cstheme="minorHAnsi"/>
        </w:rPr>
        <w:t>The environmental level: the ability to successfully meet the needs of external stakeholders and constituencies. E.g., citizen awareness and the outcome proxies</w:t>
      </w:r>
      <w:r>
        <w:rPr>
          <w:rFonts w:cstheme="minorHAnsi"/>
        </w:rPr>
        <w:t>.</w:t>
      </w:r>
    </w:p>
    <w:p w14:paraId="7EA6D984" w14:textId="4B5D2CA0" w:rsidR="007873A7" w:rsidRPr="007C01CB" w:rsidRDefault="007873A7" w:rsidP="00525BE0">
      <w:pPr>
        <w:spacing w:line="360" w:lineRule="auto"/>
        <w:jc w:val="both"/>
        <w:rPr>
          <w:rFonts w:eastAsiaTheme="majorEastAsia" w:cstheme="minorHAnsi"/>
        </w:rPr>
      </w:pPr>
      <w:r w:rsidRPr="007C01CB">
        <w:rPr>
          <w:rFonts w:eastAsiaTheme="majorEastAsia" w:cstheme="minorHAnsi"/>
        </w:rPr>
        <w:t xml:space="preserve">A review of partnering outcomes by </w:t>
      </w:r>
      <w:r w:rsidRPr="007C01CB">
        <w:rPr>
          <w:rFonts w:eastAsiaTheme="majorEastAsia" w:cstheme="minorHAnsi"/>
        </w:rPr>
        <w:fldChar w:fldCharType="begin" w:fldLock="1"/>
      </w:r>
      <w:r w:rsidR="00EA4B53">
        <w:rPr>
          <w:rFonts w:eastAsiaTheme="majorEastAsia" w:cstheme="minorHAnsi"/>
        </w:rPr>
        <w:instrText>ADDIN CSL_CITATION {"citationItems":[{"id":"ITEM-1","itemData":{"DOI":"10.1108/JICA-05-2020-0026","ISSN":"1476-9018","abstract":"Purpose The National Health Service (NHS) is facing unprecedented financial strain. These significant economic pressures have coincided with concerns regarding the quality and safety of the NHS provider sector. To make the necessary improvements to performance, policy interest has turned to encouraging greater collaboration and partnership working across providers. Design/methodology/approach Using a purposive search of academic and grey literature, this narrative review aimed (1) to establish a working typology of partnering arrangements for improvement across NHS providers and (2) inform the development of a plausible initial rough theory (IRF) of partnering to inform an ongoing realist synthesis. Findings Different types of partnership were characterised by degree of integration and/or organisational change. A review of existing theories of partnering also identified a suitable framework which incorporated key elements to partnerships, such as governance, workforce, leadership and culture. This informed the creation of an IRF of partnerships, which proposes that partnership “interventions” are proposed to primarily cause changes in governance, leadership, IT systems and care model design, which will then go on to affect culture, user engagement and workforce. Research limitations/implications Further realist evaluation, informed by this review, will aim to uncover configurations of mechanisms, contexts and outcomes in various partnering arrangements and limitations. As this is the starting point for building a programme theory, it draws on limited evidence. Originality/value This paper presents a novel theory of partnering and collaborating in healthcare with practical implications for policy makers and practitioners.","author":[{"dropping-particle":"","family":"Aunger","given":"Justin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Marie","non-dropping-particle":"","parse-names":false,"suffix":""},{"dropping-particle":"","family":"McLeod","given":"Hugh","non-dropping-particle":"","parse-names":false,"suffix":""}],"container-title":"Journal of Integrated Care","id":"ITEM-1","issued":{"date-parts":[["2020","9","22"]]},"title":"Building an initial realist theory of partnering across National Health Service providers","type":"article-journal"},"uris":["http://www.mendeley.com/documents/?uuid=ccca7775-b7c4-4cfb-8635-a42715eb28f4"]}],"mendeley":{"formattedCitation":"&lt;sup&gt;61&lt;/sup&gt;","manualFormatting":"Aunger et al. (2020)","plainTextFormattedCitation":"61","previouslyFormattedCitation":"&lt;sup&gt;61&lt;/sup&gt;"},"properties":{"noteIndex":0},"schema":"https://github.com/citation-style-language/schema/raw/master/csl-citation.json"}</w:instrText>
      </w:r>
      <w:r w:rsidRPr="007C01CB">
        <w:rPr>
          <w:rFonts w:eastAsiaTheme="majorEastAsia" w:cstheme="minorHAnsi"/>
        </w:rPr>
        <w:fldChar w:fldCharType="separate"/>
      </w:r>
      <w:r w:rsidRPr="007C01CB">
        <w:rPr>
          <w:rFonts w:eastAsiaTheme="majorEastAsia" w:cstheme="minorHAnsi"/>
          <w:noProof/>
        </w:rPr>
        <w:t>Aunger et al. (2020)</w:t>
      </w:r>
      <w:r w:rsidRPr="007C01CB">
        <w:rPr>
          <w:rFonts w:eastAsiaTheme="majorEastAsia" w:cstheme="minorHAnsi"/>
        </w:rPr>
        <w:fldChar w:fldCharType="end"/>
      </w:r>
      <w:r w:rsidRPr="007C01CB">
        <w:rPr>
          <w:rFonts w:eastAsiaTheme="majorEastAsia" w:cstheme="minorHAnsi"/>
        </w:rPr>
        <w:t xml:space="preserve"> found that evidence from NHS policy documents such as The Dalton Review (2014) and NHS Five Year Forward View </w:t>
      </w:r>
      <w:r>
        <w:rPr>
          <w:rFonts w:eastAsiaTheme="majorEastAsia" w:cstheme="minorHAnsi"/>
        </w:rPr>
        <w:fldChar w:fldCharType="begin" w:fldLock="1"/>
      </w:r>
      <w:r w:rsidR="00EA4B53">
        <w:rPr>
          <w:rFonts w:eastAsiaTheme="majorEastAsia" w:cstheme="minorHAnsi"/>
        </w:rPr>
        <w:instrText>ADDIN CSL_CITATION {"citationItems":[{"id":"ITEM-1","itemData":{"ISBN":"9780816910229","author":[{"dropping-particle":"","family":"NHS","given":"","non-dropping-particle":"","parse-names":false,"suffix":""}],"id":"ITEM-1","issued":{"date-parts":[["2014"]]},"title":"Five Year Forward View","type":"report"},"uris":["http://www.mendeley.com/documents/?uuid=20dd0889-81df-4d62-9e2e-51461e98be0d"]}],"mendeley":{"formattedCitation":"&lt;sup&gt;3&lt;/sup&gt;","plainTextFormattedCitation":"3","previouslyFormattedCitation":"&lt;sup&gt;3&lt;/sup&gt;"},"properties":{"noteIndex":0},"schema":"https://github.com/citation-style-language/schema/raw/master/csl-citation.json"}</w:instrText>
      </w:r>
      <w:r>
        <w:rPr>
          <w:rFonts w:eastAsiaTheme="majorEastAsia" w:cstheme="minorHAnsi"/>
        </w:rPr>
        <w:fldChar w:fldCharType="separate"/>
      </w:r>
      <w:r w:rsidR="00E25884" w:rsidRPr="00E25884">
        <w:rPr>
          <w:rFonts w:eastAsiaTheme="majorEastAsia" w:cstheme="minorHAnsi"/>
          <w:noProof/>
          <w:vertAlign w:val="superscript"/>
        </w:rPr>
        <w:t>3</w:t>
      </w:r>
      <w:r>
        <w:rPr>
          <w:rFonts w:eastAsiaTheme="majorEastAsia" w:cstheme="minorHAnsi"/>
        </w:rPr>
        <w:fldChar w:fldCharType="end"/>
      </w:r>
      <w:r>
        <w:rPr>
          <w:rFonts w:eastAsiaTheme="majorEastAsia" w:cstheme="minorHAnsi"/>
        </w:rPr>
        <w:t xml:space="preserve"> </w:t>
      </w:r>
      <w:r w:rsidRPr="007C01CB">
        <w:rPr>
          <w:rFonts w:eastAsiaTheme="majorEastAsia" w:cstheme="minorHAnsi"/>
        </w:rPr>
        <w:t xml:space="preserve">advocates different collaborative arrangements </w:t>
      </w:r>
      <w:r>
        <w:rPr>
          <w:rFonts w:eastAsiaTheme="majorEastAsia" w:cstheme="minorHAnsi"/>
        </w:rPr>
        <w:t xml:space="preserve">to provide </w:t>
      </w:r>
      <w:r w:rsidRPr="007C01CB">
        <w:rPr>
          <w:rFonts w:eastAsiaTheme="majorEastAsia" w:cstheme="minorHAnsi"/>
        </w:rPr>
        <w:t>a range of potential benefits to population health</w:t>
      </w:r>
      <w:r w:rsidR="003D65A0">
        <w:rPr>
          <w:rFonts w:eastAsiaTheme="majorEastAsia" w:cstheme="minorHAnsi"/>
        </w:rPr>
        <w:t xml:space="preserve"> by</w:t>
      </w:r>
      <w:r w:rsidRPr="007C01CB">
        <w:rPr>
          <w:rFonts w:eastAsiaTheme="majorEastAsia" w:cstheme="minorHAnsi"/>
        </w:rPr>
        <w:t xml:space="preserve"> improving care, quality</w:t>
      </w:r>
      <w:r w:rsidR="003D65A0">
        <w:rPr>
          <w:rFonts w:eastAsiaTheme="majorEastAsia" w:cstheme="minorHAnsi"/>
        </w:rPr>
        <w:t>,</w:t>
      </w:r>
      <w:r w:rsidRPr="007C01CB">
        <w:rPr>
          <w:rFonts w:eastAsiaTheme="majorEastAsia" w:cstheme="minorHAnsi"/>
        </w:rPr>
        <w:t xml:space="preserve"> and efficiency. A review of NHS provider </w:t>
      </w:r>
      <w:r w:rsidR="003D65A0">
        <w:rPr>
          <w:rFonts w:eastAsiaTheme="majorEastAsia" w:cstheme="minorHAnsi"/>
        </w:rPr>
        <w:t>mergers</w:t>
      </w:r>
      <w:r w:rsidRPr="007C01CB">
        <w:rPr>
          <w:rFonts w:eastAsiaTheme="majorEastAsia" w:cstheme="minorHAnsi"/>
        </w:rPr>
        <w:t xml:space="preserve"> by NHS Improvement (2017b) claims that merged organisations have the potential to help the local health economy by standardising care and quality, increasing market share in clinical services, improving financial sustainability, avoiding market share erosion and improving reputation to aid in staff recruitment (see also Aldwych Partners, 2015).  Aunger’s et al.’s (2020) review of strategic plans from 26 NHS providers demonstrated how intended outcomes can be arranged into </w:t>
      </w:r>
      <w:r w:rsidR="003D65A0">
        <w:rPr>
          <w:rFonts w:eastAsiaTheme="majorEastAsia" w:cstheme="minorHAnsi"/>
        </w:rPr>
        <w:t xml:space="preserve">the four broad categories of </w:t>
      </w:r>
      <w:r w:rsidRPr="007C01CB">
        <w:rPr>
          <w:rFonts w:eastAsiaTheme="majorEastAsia" w:cstheme="minorHAnsi"/>
        </w:rPr>
        <w:t>“deliverin</w:t>
      </w:r>
      <w:r w:rsidR="003D65A0">
        <w:rPr>
          <w:rFonts w:eastAsiaTheme="majorEastAsia" w:cstheme="minorHAnsi"/>
        </w:rPr>
        <w:t>g consistent high quality care”; “developing our people”;</w:t>
      </w:r>
      <w:r w:rsidRPr="007C01CB">
        <w:rPr>
          <w:rFonts w:eastAsiaTheme="majorEastAsia" w:cstheme="minorHAnsi"/>
        </w:rPr>
        <w:t xml:space="preserve"> “leveraging scarce resources” and “embracing innovation” </w:t>
      </w:r>
      <w:r>
        <w:rPr>
          <w:rFonts w:eastAsiaTheme="majorEastAsia" w:cstheme="minorHAnsi"/>
        </w:rPr>
        <w:fldChar w:fldCharType="begin" w:fldLock="1"/>
      </w:r>
      <w:r w:rsidR="00804189">
        <w:rPr>
          <w:rFonts w:eastAsiaTheme="majorEastAsia" w:cstheme="minorHAnsi"/>
        </w:rPr>
        <w:instrText>ADDIN CSL_CITATION {"citationItems":[{"id":"ITEM-1","itemData":{"author":[{"dropping-particle":"","family":"Guy's and St Thomas' Healthcare Alliance","given":"","non-dropping-particle":"","parse-names":false,"suffix":""}],"id":"ITEM-1","issued":{"date-parts":[["2017"]]},"number-of-pages":"1-14","title":"Healthcare Alliance Five-year strategy","type":"report"},"locator":"6","uris":["http://www.mendeley.com/documents/?uuid=6b2260bc-ed61-4a5d-a198-3678116d2625"]}],"mendeley":{"formattedCitation":"&lt;sup&gt;69&lt;/sup&gt;","plainTextFormattedCitation":"69","previouslyFormattedCitation":"&lt;sup&gt;69&lt;/sup&gt;"},"properties":{"noteIndex":0},"schema":"https://github.com/citation-style-language/schema/raw/master/csl-citation.json"}</w:instrText>
      </w:r>
      <w:r>
        <w:rPr>
          <w:rFonts w:eastAsiaTheme="majorEastAsia" w:cstheme="minorHAnsi"/>
        </w:rPr>
        <w:fldChar w:fldCharType="separate"/>
      </w:r>
      <w:r w:rsidR="00C4603E" w:rsidRPr="00C4603E">
        <w:rPr>
          <w:rFonts w:eastAsiaTheme="majorEastAsia" w:cstheme="minorHAnsi"/>
          <w:noProof/>
          <w:vertAlign w:val="superscript"/>
        </w:rPr>
        <w:t>69</w:t>
      </w:r>
      <w:r>
        <w:rPr>
          <w:rFonts w:eastAsiaTheme="majorEastAsia" w:cstheme="minorHAnsi"/>
        </w:rPr>
        <w:fldChar w:fldCharType="end"/>
      </w:r>
      <w:r>
        <w:rPr>
          <w:rFonts w:eastAsiaTheme="majorEastAsia" w:cstheme="minorHAnsi"/>
        </w:rPr>
        <w:t>.</w:t>
      </w:r>
      <w:r w:rsidRPr="007C01CB">
        <w:rPr>
          <w:rFonts w:eastAsiaTheme="majorEastAsia" w:cstheme="minorHAnsi"/>
        </w:rPr>
        <w:t xml:space="preserve"> Within these larger categories, long term and multiple medium-term objectives </w:t>
      </w:r>
      <w:r w:rsidR="003D65A0">
        <w:rPr>
          <w:rFonts w:eastAsiaTheme="majorEastAsia" w:cstheme="minorHAnsi"/>
        </w:rPr>
        <w:t>can also be identified</w:t>
      </w:r>
      <w:r w:rsidRPr="007C01CB">
        <w:rPr>
          <w:rFonts w:eastAsiaTheme="majorEastAsia" w:cstheme="minorHAnsi"/>
        </w:rPr>
        <w:t xml:space="preserve">. For example, within delivering consistent high-quality care, an objective is to “provide members (i.e. clinicians) with access to world-leading specialists from within the Healthcare Alliance”, by “enabling clinician-to-clinician relationships, facilitating knowledge share and access to specialist opinion” </w:t>
      </w:r>
      <w:r w:rsidR="00200EB7">
        <w:rPr>
          <w:rFonts w:eastAsiaTheme="majorEastAsia" w:cstheme="minorHAnsi"/>
        </w:rPr>
        <w:fldChar w:fldCharType="begin" w:fldLock="1"/>
      </w:r>
      <w:r w:rsidR="00804189">
        <w:rPr>
          <w:rFonts w:eastAsiaTheme="majorEastAsia" w:cstheme="minorHAnsi"/>
        </w:rPr>
        <w:instrText>ADDIN CSL_CITATION {"citationItems":[{"id":"ITEM-1","itemData":{"author":[{"dropping-particle":"","family":"Guy's and St Thomas' Healthcare Alliance","given":"","non-dropping-particle":"","parse-names":false,"suffix":""}],"id":"ITEM-1","issued":{"date-parts":[["2017"]]},"number-of-pages":"1-14","title":"Healthcare Alliance Five-year strategy","type":"report"},"locator":"8","uris":["http://www.mendeley.com/documents/?uuid=6b2260bc-ed61-4a5d-a198-3678116d2625"]}],"mendeley":{"formattedCitation":"&lt;sup&gt;69&lt;/sup&gt;","plainTextFormattedCitation":"69","previouslyFormattedCitation":"&lt;sup&gt;69&lt;/sup&gt;"},"properties":{"noteIndex":0},"schema":"https://github.com/citation-style-language/schema/raw/master/csl-citation.json"}</w:instrText>
      </w:r>
      <w:r w:rsidR="00200EB7">
        <w:rPr>
          <w:rFonts w:eastAsiaTheme="majorEastAsia" w:cstheme="minorHAnsi"/>
        </w:rPr>
        <w:fldChar w:fldCharType="separate"/>
      </w:r>
      <w:r w:rsidR="00C4603E" w:rsidRPr="00C4603E">
        <w:rPr>
          <w:rFonts w:eastAsiaTheme="majorEastAsia" w:cstheme="minorHAnsi"/>
          <w:noProof/>
          <w:vertAlign w:val="superscript"/>
        </w:rPr>
        <w:t>69</w:t>
      </w:r>
      <w:r w:rsidR="00200EB7">
        <w:rPr>
          <w:rFonts w:eastAsiaTheme="majorEastAsia" w:cstheme="minorHAnsi"/>
        </w:rPr>
        <w:fldChar w:fldCharType="end"/>
      </w:r>
      <w:r w:rsidR="00200EB7">
        <w:rPr>
          <w:rFonts w:eastAsiaTheme="majorEastAsia" w:cstheme="minorHAnsi"/>
        </w:rPr>
        <w:t>.</w:t>
      </w:r>
      <w:r w:rsidRPr="007C01CB">
        <w:rPr>
          <w:rFonts w:eastAsiaTheme="majorEastAsia" w:cstheme="minorHAnsi"/>
        </w:rPr>
        <w:t xml:space="preserve"> </w:t>
      </w:r>
    </w:p>
    <w:p w14:paraId="61F3A013" w14:textId="77777777" w:rsidR="007873A7" w:rsidRPr="007C01CB" w:rsidRDefault="007873A7" w:rsidP="00525BE0">
      <w:pPr>
        <w:pStyle w:val="Heading2"/>
        <w:spacing w:line="360" w:lineRule="auto"/>
        <w:jc w:val="both"/>
      </w:pPr>
      <w:bookmarkStart w:id="32" w:name="_Toc85066411"/>
      <w:r w:rsidRPr="007C01CB">
        <w:t>Drivers for inter-organisational collaboration</w:t>
      </w:r>
      <w:bookmarkEnd w:id="32"/>
    </w:p>
    <w:p w14:paraId="5A50F44F" w14:textId="67C39D10" w:rsidR="007873A7" w:rsidRPr="007C01CB" w:rsidRDefault="007873A7" w:rsidP="00525BE0">
      <w:pPr>
        <w:spacing w:line="360" w:lineRule="auto"/>
        <w:jc w:val="both"/>
        <w:rPr>
          <w:rFonts w:cstheme="minorHAnsi"/>
        </w:rPr>
      </w:pPr>
      <w:r w:rsidRPr="007C01CB">
        <w:rPr>
          <w:rFonts w:cstheme="minorHAnsi"/>
        </w:rPr>
        <w:t xml:space="preserve">Alongside outcomes, a range of perspectives and empirical research has been put forward to understand the stated and unstated drivers for IOCs. Table </w:t>
      </w:r>
      <w:r w:rsidR="003B1A8C">
        <w:rPr>
          <w:rFonts w:cstheme="minorHAnsi"/>
        </w:rPr>
        <w:t>2</w:t>
      </w:r>
      <w:r>
        <w:rPr>
          <w:rFonts w:cstheme="minorHAnsi"/>
        </w:rPr>
        <w:t xml:space="preserve"> </w:t>
      </w:r>
      <w:r w:rsidRPr="007C01CB">
        <w:rPr>
          <w:rFonts w:cstheme="minorHAnsi"/>
        </w:rPr>
        <w:t xml:space="preserve">summarises the results of the systematic search </w:t>
      </w:r>
      <w:r w:rsidR="003D65A0">
        <w:rPr>
          <w:rFonts w:cstheme="minorHAnsi"/>
        </w:rPr>
        <w:t xml:space="preserve">which </w:t>
      </w:r>
      <w:r w:rsidRPr="007C01CB">
        <w:rPr>
          <w:rFonts w:cstheme="minorHAnsi"/>
        </w:rPr>
        <w:t>identified the following domains and organisation theories associated with the formation of IOCs in healthcare.</w:t>
      </w:r>
    </w:p>
    <w:p w14:paraId="6EB95AC1" w14:textId="3AB73853" w:rsidR="007873A7" w:rsidRDefault="007873A7" w:rsidP="00525BE0">
      <w:pPr>
        <w:pStyle w:val="Caption"/>
        <w:keepNext/>
        <w:jc w:val="both"/>
      </w:pPr>
      <w:bookmarkStart w:id="33" w:name="_Toc106181506"/>
      <w:r>
        <w:t xml:space="preserve">Table </w:t>
      </w:r>
      <w:r w:rsidR="008802A5">
        <w:fldChar w:fldCharType="begin"/>
      </w:r>
      <w:r w:rsidR="008802A5">
        <w:instrText xml:space="preserve"> SEQ Table \* ARABIC </w:instrText>
      </w:r>
      <w:r w:rsidR="008802A5">
        <w:fldChar w:fldCharType="separate"/>
      </w:r>
      <w:r w:rsidR="003B1A8C">
        <w:rPr>
          <w:noProof/>
        </w:rPr>
        <w:t>2</w:t>
      </w:r>
      <w:r w:rsidR="008802A5">
        <w:rPr>
          <w:noProof/>
        </w:rPr>
        <w:fldChar w:fldCharType="end"/>
      </w:r>
      <w:r>
        <w:t xml:space="preserve">. </w:t>
      </w:r>
      <w:r w:rsidRPr="00D953E9">
        <w:t>Drivers for inter-organisational collaboration</w:t>
      </w:r>
      <w:r>
        <w:t>.</w:t>
      </w:r>
      <w:bookmarkEnd w:id="33"/>
    </w:p>
    <w:tbl>
      <w:tblPr>
        <w:tblStyle w:val="TableGrid"/>
        <w:tblW w:w="8926" w:type="dxa"/>
        <w:tblLook w:val="04A0" w:firstRow="1" w:lastRow="0" w:firstColumn="1" w:lastColumn="0" w:noHBand="0" w:noVBand="1"/>
      </w:tblPr>
      <w:tblGrid>
        <w:gridCol w:w="1333"/>
        <w:gridCol w:w="2257"/>
        <w:gridCol w:w="5336"/>
      </w:tblGrid>
      <w:tr w:rsidR="007873A7" w:rsidRPr="00977C5E" w14:paraId="715216E0" w14:textId="77777777" w:rsidTr="007873A7">
        <w:tc>
          <w:tcPr>
            <w:tcW w:w="1333" w:type="dxa"/>
          </w:tcPr>
          <w:p w14:paraId="57DB9912" w14:textId="77777777" w:rsidR="007873A7" w:rsidRPr="00593C31" w:rsidRDefault="007873A7" w:rsidP="00525BE0">
            <w:pPr>
              <w:spacing w:line="360" w:lineRule="auto"/>
              <w:jc w:val="both"/>
              <w:rPr>
                <w:rFonts w:cstheme="minorHAnsi"/>
                <w:b/>
                <w:bCs/>
                <w:sz w:val="20"/>
                <w:szCs w:val="20"/>
              </w:rPr>
            </w:pPr>
            <w:r w:rsidRPr="00593C31">
              <w:rPr>
                <w:rFonts w:cstheme="minorHAnsi"/>
                <w:b/>
                <w:bCs/>
                <w:sz w:val="20"/>
                <w:szCs w:val="20"/>
              </w:rPr>
              <w:t>Domain</w:t>
            </w:r>
          </w:p>
        </w:tc>
        <w:tc>
          <w:tcPr>
            <w:tcW w:w="2257" w:type="dxa"/>
          </w:tcPr>
          <w:p w14:paraId="1E8C243A" w14:textId="77777777" w:rsidR="007873A7" w:rsidRPr="00593C31" w:rsidRDefault="007873A7" w:rsidP="00525BE0">
            <w:pPr>
              <w:spacing w:line="360" w:lineRule="auto"/>
              <w:jc w:val="both"/>
              <w:rPr>
                <w:rFonts w:cstheme="minorHAnsi"/>
                <w:b/>
                <w:bCs/>
                <w:sz w:val="20"/>
                <w:szCs w:val="20"/>
              </w:rPr>
            </w:pPr>
            <w:r w:rsidRPr="00593C31">
              <w:rPr>
                <w:rFonts w:cstheme="minorHAnsi"/>
                <w:b/>
                <w:bCs/>
                <w:sz w:val="20"/>
                <w:szCs w:val="20"/>
              </w:rPr>
              <w:t>Drivers for IOCs</w:t>
            </w:r>
          </w:p>
        </w:tc>
        <w:tc>
          <w:tcPr>
            <w:tcW w:w="5336" w:type="dxa"/>
          </w:tcPr>
          <w:p w14:paraId="01569300" w14:textId="77777777" w:rsidR="007873A7" w:rsidRPr="00593C31" w:rsidRDefault="007873A7" w:rsidP="00525BE0">
            <w:pPr>
              <w:spacing w:line="360" w:lineRule="auto"/>
              <w:jc w:val="both"/>
              <w:rPr>
                <w:rFonts w:cstheme="minorHAnsi"/>
                <w:b/>
                <w:bCs/>
                <w:sz w:val="20"/>
                <w:szCs w:val="20"/>
              </w:rPr>
            </w:pPr>
            <w:r w:rsidRPr="00593C31">
              <w:rPr>
                <w:rFonts w:cstheme="minorHAnsi"/>
                <w:b/>
                <w:bCs/>
                <w:sz w:val="20"/>
                <w:szCs w:val="20"/>
              </w:rPr>
              <w:t>Underlying theories of organisation</w:t>
            </w:r>
          </w:p>
        </w:tc>
      </w:tr>
      <w:tr w:rsidR="007873A7" w:rsidRPr="00977C5E" w14:paraId="61BE2D8E" w14:textId="77777777" w:rsidTr="007873A7">
        <w:tc>
          <w:tcPr>
            <w:tcW w:w="1333" w:type="dxa"/>
          </w:tcPr>
          <w:p w14:paraId="75449233"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Expansion</w:t>
            </w:r>
          </w:p>
        </w:tc>
        <w:tc>
          <w:tcPr>
            <w:tcW w:w="2257" w:type="dxa"/>
          </w:tcPr>
          <w:p w14:paraId="62A99973"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Seeking competitive advantage</w:t>
            </w:r>
          </w:p>
        </w:tc>
        <w:tc>
          <w:tcPr>
            <w:tcW w:w="5336" w:type="dxa"/>
          </w:tcPr>
          <w:p w14:paraId="1F70B269"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 xml:space="preserve">Strategic Choice: organisations pursue IOCs to increase competitiveness or market power </w:t>
            </w:r>
          </w:p>
          <w:p w14:paraId="4179339F"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 xml:space="preserve">Agency: individuals pursue IOCs to benefit primarily themselves rather than organisations </w:t>
            </w:r>
          </w:p>
        </w:tc>
      </w:tr>
      <w:tr w:rsidR="007873A7" w:rsidRPr="00977C5E" w14:paraId="54F821BD" w14:textId="77777777" w:rsidTr="007873A7">
        <w:tc>
          <w:tcPr>
            <w:tcW w:w="1333" w:type="dxa"/>
          </w:tcPr>
          <w:p w14:paraId="57E695C6"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Consolidation</w:t>
            </w:r>
          </w:p>
        </w:tc>
        <w:tc>
          <w:tcPr>
            <w:tcW w:w="2257" w:type="dxa"/>
          </w:tcPr>
          <w:p w14:paraId="440CAA11"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Efficiencies and economies of scale</w:t>
            </w:r>
          </w:p>
        </w:tc>
        <w:tc>
          <w:tcPr>
            <w:tcW w:w="5336" w:type="dxa"/>
          </w:tcPr>
          <w:p w14:paraId="34E51F8D"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Transaction cost economics: organisations should organise boundary spanning activities in order to minimise production and transaction</w:t>
            </w:r>
            <w:r>
              <w:rPr>
                <w:rFonts w:cstheme="minorHAnsi"/>
                <w:sz w:val="20"/>
                <w:szCs w:val="20"/>
              </w:rPr>
              <w:t xml:space="preserve"> </w:t>
            </w:r>
            <w:r w:rsidRPr="00977C5E">
              <w:rPr>
                <w:rFonts w:cstheme="minorHAnsi"/>
                <w:sz w:val="20"/>
                <w:szCs w:val="20"/>
              </w:rPr>
              <w:t>costs</w:t>
            </w:r>
          </w:p>
        </w:tc>
      </w:tr>
      <w:tr w:rsidR="007873A7" w:rsidRPr="00977C5E" w14:paraId="60796847" w14:textId="77777777" w:rsidTr="007873A7">
        <w:tc>
          <w:tcPr>
            <w:tcW w:w="1333" w:type="dxa"/>
          </w:tcPr>
          <w:p w14:paraId="4E332E5E"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Participation</w:t>
            </w:r>
          </w:p>
        </w:tc>
        <w:tc>
          <w:tcPr>
            <w:tcW w:w="2257" w:type="dxa"/>
          </w:tcPr>
          <w:p w14:paraId="1C86BCC5"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Increasing responsiveness and alignment to needs</w:t>
            </w:r>
          </w:p>
        </w:tc>
        <w:tc>
          <w:tcPr>
            <w:tcW w:w="5336" w:type="dxa"/>
          </w:tcPr>
          <w:p w14:paraId="78048544"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Stakeholder: organisations require greater alignment with stakeholder groups who can affect or are affected by the achievement of objectives</w:t>
            </w:r>
          </w:p>
        </w:tc>
      </w:tr>
      <w:tr w:rsidR="007873A7" w:rsidRPr="00977C5E" w14:paraId="6AF5EE05" w14:textId="77777777" w:rsidTr="007873A7">
        <w:tc>
          <w:tcPr>
            <w:tcW w:w="1333" w:type="dxa"/>
          </w:tcPr>
          <w:p w14:paraId="2CA25F42"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Learning</w:t>
            </w:r>
          </w:p>
        </w:tc>
        <w:tc>
          <w:tcPr>
            <w:tcW w:w="2257" w:type="dxa"/>
          </w:tcPr>
          <w:p w14:paraId="6C2D3D4B"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Enhancing position through superior knowledge</w:t>
            </w:r>
          </w:p>
        </w:tc>
        <w:tc>
          <w:tcPr>
            <w:tcW w:w="5336" w:type="dxa"/>
          </w:tcPr>
          <w:p w14:paraId="1E9549AE" w14:textId="03687834" w:rsidR="007873A7" w:rsidRPr="00977C5E" w:rsidRDefault="007873A7" w:rsidP="00525BE0">
            <w:pPr>
              <w:spacing w:line="360" w:lineRule="auto"/>
              <w:jc w:val="both"/>
              <w:rPr>
                <w:rFonts w:cstheme="minorHAnsi"/>
                <w:sz w:val="20"/>
                <w:szCs w:val="20"/>
              </w:rPr>
            </w:pPr>
            <w:r w:rsidRPr="00977C5E">
              <w:rPr>
                <w:rFonts w:cstheme="minorHAnsi"/>
                <w:sz w:val="20"/>
                <w:szCs w:val="20"/>
              </w:rPr>
              <w:t xml:space="preserve">Absorptive Capacity: IOCs </w:t>
            </w:r>
            <w:r w:rsidR="00AA04ED">
              <w:rPr>
                <w:rFonts w:cstheme="minorHAnsi"/>
                <w:sz w:val="20"/>
                <w:szCs w:val="20"/>
              </w:rPr>
              <w:t xml:space="preserve">are </w:t>
            </w:r>
            <w:r w:rsidRPr="00977C5E">
              <w:rPr>
                <w:rFonts w:cstheme="minorHAnsi"/>
                <w:sz w:val="20"/>
                <w:szCs w:val="20"/>
              </w:rPr>
              <w:t>driven by value, assimilation, and application of new knowledge</w:t>
            </w:r>
          </w:p>
          <w:p w14:paraId="60384D2F" w14:textId="3BCC5B6B" w:rsidR="007873A7" w:rsidRPr="00977C5E" w:rsidRDefault="007873A7" w:rsidP="00525BE0">
            <w:pPr>
              <w:spacing w:line="360" w:lineRule="auto"/>
              <w:jc w:val="both"/>
              <w:rPr>
                <w:rFonts w:cstheme="minorHAnsi"/>
                <w:sz w:val="20"/>
                <w:szCs w:val="20"/>
              </w:rPr>
            </w:pPr>
            <w:r w:rsidRPr="00977C5E">
              <w:rPr>
                <w:rFonts w:cstheme="minorHAnsi"/>
                <w:sz w:val="20"/>
                <w:szCs w:val="20"/>
              </w:rPr>
              <w:t xml:space="preserve">Normative isomorphism: IOCs </w:t>
            </w:r>
            <w:r w:rsidR="00AA04ED">
              <w:rPr>
                <w:rFonts w:cstheme="minorHAnsi"/>
                <w:sz w:val="20"/>
                <w:szCs w:val="20"/>
              </w:rPr>
              <w:t xml:space="preserve">are </w:t>
            </w:r>
            <w:r w:rsidRPr="00977C5E">
              <w:rPr>
                <w:rFonts w:cstheme="minorHAnsi"/>
                <w:sz w:val="20"/>
                <w:szCs w:val="20"/>
              </w:rPr>
              <w:t>driven by professions and inter-organizational network pressures regarding best practice</w:t>
            </w:r>
          </w:p>
        </w:tc>
      </w:tr>
      <w:tr w:rsidR="007873A7" w:rsidRPr="00977C5E" w14:paraId="7073299D" w14:textId="77777777" w:rsidTr="007873A7">
        <w:tc>
          <w:tcPr>
            <w:tcW w:w="1333" w:type="dxa"/>
          </w:tcPr>
          <w:p w14:paraId="77B92FDF"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Sustenance</w:t>
            </w:r>
          </w:p>
        </w:tc>
        <w:tc>
          <w:tcPr>
            <w:tcW w:w="2257" w:type="dxa"/>
          </w:tcPr>
          <w:p w14:paraId="166E7A2C"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Fulfil resource needs and manage scarce resources</w:t>
            </w:r>
          </w:p>
        </w:tc>
        <w:tc>
          <w:tcPr>
            <w:tcW w:w="5336" w:type="dxa"/>
          </w:tcPr>
          <w:p w14:paraId="27519CB6"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Resource Dependency: organisations must engage in exchanges with their environment to obtain resources in order to survive or prosper</w:t>
            </w:r>
          </w:p>
          <w:p w14:paraId="00F5CAD6" w14:textId="7ABAA857" w:rsidR="007873A7" w:rsidRPr="00977C5E" w:rsidRDefault="007873A7" w:rsidP="00525BE0">
            <w:pPr>
              <w:spacing w:line="360" w:lineRule="auto"/>
              <w:jc w:val="both"/>
              <w:rPr>
                <w:rFonts w:cstheme="minorHAnsi"/>
                <w:sz w:val="20"/>
                <w:szCs w:val="20"/>
              </w:rPr>
            </w:pPr>
            <w:r w:rsidRPr="00977C5E">
              <w:rPr>
                <w:rFonts w:cstheme="minorHAnsi"/>
                <w:sz w:val="20"/>
                <w:szCs w:val="20"/>
              </w:rPr>
              <w:t xml:space="preserve">Common Pool Resource: IOCs </w:t>
            </w:r>
            <w:r w:rsidR="00AA04ED">
              <w:rPr>
                <w:rFonts w:cstheme="minorHAnsi"/>
                <w:sz w:val="20"/>
                <w:szCs w:val="20"/>
              </w:rPr>
              <w:t xml:space="preserve">are </w:t>
            </w:r>
            <w:r w:rsidRPr="00977C5E">
              <w:rPr>
                <w:rFonts w:cstheme="minorHAnsi"/>
                <w:sz w:val="20"/>
                <w:szCs w:val="20"/>
              </w:rPr>
              <w:t xml:space="preserve">driven by self-management of limited resources in a way that benefits all </w:t>
            </w:r>
          </w:p>
        </w:tc>
      </w:tr>
      <w:tr w:rsidR="007873A7" w:rsidRPr="00977C5E" w14:paraId="71850014" w14:textId="77777777" w:rsidTr="007873A7">
        <w:tc>
          <w:tcPr>
            <w:tcW w:w="1333" w:type="dxa"/>
          </w:tcPr>
          <w:p w14:paraId="0D105CE2"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Mimicry</w:t>
            </w:r>
          </w:p>
          <w:p w14:paraId="47C7F7E2" w14:textId="77777777" w:rsidR="007873A7" w:rsidRPr="00977C5E" w:rsidRDefault="007873A7" w:rsidP="00525BE0">
            <w:pPr>
              <w:spacing w:line="360" w:lineRule="auto"/>
              <w:jc w:val="both"/>
              <w:rPr>
                <w:rFonts w:cstheme="minorHAnsi"/>
                <w:sz w:val="20"/>
                <w:szCs w:val="20"/>
              </w:rPr>
            </w:pPr>
          </w:p>
        </w:tc>
        <w:tc>
          <w:tcPr>
            <w:tcW w:w="2257" w:type="dxa"/>
          </w:tcPr>
          <w:p w14:paraId="5D7D7244"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Obtain legitimacy or conformance to prevailing social norms</w:t>
            </w:r>
          </w:p>
        </w:tc>
        <w:tc>
          <w:tcPr>
            <w:tcW w:w="5336" w:type="dxa"/>
          </w:tcPr>
          <w:p w14:paraId="30957A63" w14:textId="328D3544" w:rsidR="007873A7" w:rsidRPr="00977C5E" w:rsidRDefault="007873A7" w:rsidP="00525BE0">
            <w:pPr>
              <w:spacing w:line="360" w:lineRule="auto"/>
              <w:jc w:val="both"/>
              <w:rPr>
                <w:rFonts w:cstheme="minorHAnsi"/>
                <w:sz w:val="20"/>
                <w:szCs w:val="20"/>
              </w:rPr>
            </w:pPr>
            <w:r w:rsidRPr="00977C5E">
              <w:rPr>
                <w:rFonts w:cstheme="minorHAnsi"/>
                <w:sz w:val="20"/>
                <w:szCs w:val="20"/>
              </w:rPr>
              <w:t xml:space="preserve">Mimetic Isomorphism: </w:t>
            </w:r>
            <w:r w:rsidR="00AA04ED">
              <w:rPr>
                <w:rFonts w:cstheme="minorHAnsi"/>
                <w:sz w:val="20"/>
                <w:szCs w:val="20"/>
              </w:rPr>
              <w:t xml:space="preserve">IOCs are driven by </w:t>
            </w:r>
            <w:r w:rsidRPr="00977C5E">
              <w:rPr>
                <w:rFonts w:cstheme="minorHAnsi"/>
                <w:sz w:val="20"/>
                <w:szCs w:val="20"/>
              </w:rPr>
              <w:t xml:space="preserve">intentionally and unintentionally copying to prove legitimacy </w:t>
            </w:r>
          </w:p>
        </w:tc>
      </w:tr>
      <w:tr w:rsidR="007873A7" w:rsidRPr="00977C5E" w14:paraId="1837BA49" w14:textId="77777777" w:rsidTr="007873A7">
        <w:tc>
          <w:tcPr>
            <w:tcW w:w="1333" w:type="dxa"/>
          </w:tcPr>
          <w:p w14:paraId="1660F07C"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Coercion</w:t>
            </w:r>
          </w:p>
        </w:tc>
        <w:tc>
          <w:tcPr>
            <w:tcW w:w="2257" w:type="dxa"/>
          </w:tcPr>
          <w:p w14:paraId="1FF68A35"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 xml:space="preserve">Mandated pressures to conform </w:t>
            </w:r>
          </w:p>
        </w:tc>
        <w:tc>
          <w:tcPr>
            <w:tcW w:w="5336" w:type="dxa"/>
          </w:tcPr>
          <w:p w14:paraId="5020DFD4" w14:textId="77777777" w:rsidR="007873A7" w:rsidRPr="00977C5E" w:rsidRDefault="007873A7" w:rsidP="00525BE0">
            <w:pPr>
              <w:spacing w:line="360" w:lineRule="auto"/>
              <w:jc w:val="both"/>
              <w:rPr>
                <w:rFonts w:cstheme="minorHAnsi"/>
                <w:sz w:val="20"/>
                <w:szCs w:val="20"/>
              </w:rPr>
            </w:pPr>
            <w:r w:rsidRPr="00977C5E">
              <w:rPr>
                <w:rFonts w:cstheme="minorHAnsi"/>
                <w:sz w:val="20"/>
                <w:szCs w:val="20"/>
              </w:rPr>
              <w:t xml:space="preserve">Coercive isomorphism: IOCs pursue activities in agreement with prevailing government rules, requirements, and norms </w:t>
            </w:r>
          </w:p>
        </w:tc>
      </w:tr>
    </w:tbl>
    <w:p w14:paraId="2CF23612" w14:textId="77777777" w:rsidR="007873A7" w:rsidRDefault="007873A7" w:rsidP="00525BE0">
      <w:pPr>
        <w:spacing w:before="240" w:line="360" w:lineRule="auto"/>
        <w:jc w:val="both"/>
        <w:rPr>
          <w:rFonts w:cstheme="minorHAnsi"/>
        </w:rPr>
      </w:pPr>
    </w:p>
    <w:p w14:paraId="6311292D" w14:textId="5085D908" w:rsidR="007873A7" w:rsidRPr="007C01CB" w:rsidRDefault="00F935DA" w:rsidP="00525BE0">
      <w:pPr>
        <w:spacing w:before="240" w:line="360" w:lineRule="auto"/>
        <w:jc w:val="both"/>
        <w:rPr>
          <w:rFonts w:cstheme="minorHAnsi"/>
        </w:rPr>
      </w:pPr>
      <w:r w:rsidRPr="007C01CB">
        <w:rPr>
          <w:rFonts w:cstheme="minorHAnsi"/>
        </w:rPr>
        <w:t>A summary</w:t>
      </w:r>
      <w:r w:rsidR="007873A7" w:rsidRPr="007C01CB">
        <w:rPr>
          <w:rFonts w:cstheme="minorHAnsi"/>
        </w:rPr>
        <w:t xml:space="preserve"> of these dynamics </w:t>
      </w:r>
      <w:r w:rsidR="007873A7">
        <w:rPr>
          <w:rFonts w:cstheme="minorHAnsi"/>
        </w:rPr>
        <w:t>are as follows.</w:t>
      </w:r>
    </w:p>
    <w:p w14:paraId="24659EFB" w14:textId="77777777" w:rsidR="007873A7" w:rsidRPr="007C01CB" w:rsidRDefault="007873A7" w:rsidP="00525BE0">
      <w:pPr>
        <w:pStyle w:val="Heading3"/>
        <w:jc w:val="both"/>
      </w:pPr>
      <w:bookmarkStart w:id="34" w:name="_Toc85066412"/>
      <w:r w:rsidRPr="007C01CB">
        <w:t>Expansion</w:t>
      </w:r>
      <w:bookmarkEnd w:id="34"/>
    </w:p>
    <w:p w14:paraId="6990D1C8" w14:textId="42BE62D2" w:rsidR="007873A7" w:rsidRPr="007C01CB" w:rsidRDefault="007873A7" w:rsidP="00525BE0">
      <w:pPr>
        <w:spacing w:line="360" w:lineRule="auto"/>
        <w:jc w:val="both"/>
        <w:rPr>
          <w:rFonts w:cstheme="minorHAnsi"/>
        </w:rPr>
      </w:pPr>
      <w:r w:rsidRPr="007C01CB">
        <w:rPr>
          <w:rFonts w:cstheme="minorHAnsi"/>
        </w:rPr>
        <w:t xml:space="preserve">Drivers for IOC draw attention to the organisational expansion within market environments where collaboration is sought for competitive advantage and strategic position </w:t>
      </w:r>
      <w:r w:rsidRPr="007C01CB">
        <w:rPr>
          <w:rFonts w:cstheme="minorHAnsi"/>
        </w:rPr>
        <w:fldChar w:fldCharType="begin" w:fldLock="1"/>
      </w:r>
      <w:r w:rsidR="00804189">
        <w:rPr>
          <w:rFonts w:cstheme="minorHAnsi"/>
        </w:rPr>
        <w:instrText>ADDIN CSL_CITATION {"citationItems":[{"id":"ITEM-1","itemData":{"DOI":"10.1016/S0840-4704(10)60916-7","ISSN":"08404704","abstract":"The multi-hospital arrangements literature is reviewed for Canada and the United States. There is a notable lack of evaluations on the outcomes of these arrangements, especially in the Canadian context. For evaluations that do make it to the literature generalizability of conclusions is difficult because most is based on case studies and relates to “for-profit” U.S. hospitals. We are forced to conclude, however, that there is little definitive evidence that quality of care is improved by multi-hospital arrangements or to support or refute the claims of better human resources deployment. The most striking organizational benefit appears to be that institutions considering merger or other arrangements are forced into explicit considerations of their mission and goals. Many of the potential disadvantages of multi-hospital arrangements may be ameliorated with appropriate strategic planning and attention to detail during negotiation of the arrangement. As new multi-institutional arrangements may cause harm as well as reap benefits, careful evaluation is needed. Cet article fait la revue de la documentation sur les accords multi-hôpitaux au Canada et aux états-Unis. Il n'existe que peu d'information sur les évaluations de résultats de tels accords, particulièrement dans le contexte canadien. Quant aux évaluations qui ont été faites, il est difficile d'en généraliser les conclusions, car la majorité des résultats sont basés sur des études de cas et font référence à des hôpitaux à but lucratif américains. Nous sommes cependant obligés de conclure qu'll existe peu de données valables montrant que les accords multi-hôpitaux améliorent la qualité des soins, ou qui confirment ou infirment qu'ils amènent une meilleure utilisation des ressources humaines. L'avantage organisationnel le plus frappant semble être que les établissements qui étudient la possibilité d'une fusion ou d'autres accords sont forcés d'étudier à fond leur mission et leurs buts. Bon nombre des inconvénients possibles associés aux accords multi-hôpitaux peuvent être améliorés par une planification stratégique adéquate et une attention aux détails lors des négociations. Comme de nouveaux accords entre plusieurs hôpitaux peuvent être nuisibles et réduire dramatiquement les avantages, des évaluations minutieuses deviennent nécessaires. © 1995, Canadian College of Health Service Executives. All rights reserved.","author":[{"dropping-particle":"","family":"Markham","given":"Barbara","non-dropping-particle":"","parse-names":false,"suffix":""},{"dropping-particle":"","family":"Lomas","given":"Jonathan","non-dropping-particle":"","parse-names":false,"suffix":""}],"container-title":"Healthcare Management Forum","id":"ITEM-1","issue":"3","issued":{"date-parts":[["1995"]]},"page":"24-35","publisher":"Canadian College of Health Service Executives","title":"Review of the Multi-Hospital Arrangements Literature: Benefits, Disadvantages and Lessons for Implementation","type":"article-journal","volume":"8"},"uris":["http://www.mendeley.com/documents/?uuid=35376112-06cd-418a-897b-840bf101f6af"]}],"mendeley":{"formattedCitation":"&lt;sup&gt;70&lt;/sup&gt;","plainTextFormattedCitation":"70","previouslyFormattedCitation":"&lt;sup&gt;70&lt;/sup&gt;"},"properties":{"noteIndex":0},"schema":"https://github.com/citation-style-language/schema/raw/master/csl-citation.json"}</w:instrText>
      </w:r>
      <w:r w:rsidRPr="007C01CB">
        <w:rPr>
          <w:rFonts w:cstheme="minorHAnsi"/>
        </w:rPr>
        <w:fldChar w:fldCharType="separate"/>
      </w:r>
      <w:r w:rsidR="00C4603E" w:rsidRPr="00C4603E">
        <w:rPr>
          <w:rFonts w:cstheme="minorHAnsi"/>
          <w:noProof/>
          <w:vertAlign w:val="superscript"/>
        </w:rPr>
        <w:t>70</w:t>
      </w:r>
      <w:r w:rsidRPr="007C01CB">
        <w:rPr>
          <w:rFonts w:cstheme="minorHAnsi"/>
        </w:rPr>
        <w:fldChar w:fldCharType="end"/>
      </w:r>
      <w:r w:rsidRPr="007C01CB">
        <w:rPr>
          <w:rFonts w:cstheme="minorHAnsi"/>
        </w:rPr>
        <w:t>. Forming an IOC for market expansion can be linked with strategic choice theory which proposes that an organisation will enter into a collaboration if the benefits exceed the costs and increase the ability of the firm to deliver superior products, services efficiency, or increase market power</w:t>
      </w:r>
      <w:r>
        <w:rPr>
          <w:rFonts w:cstheme="minorHAnsi"/>
        </w:rPr>
        <w:t xml:space="preserve"> </w:t>
      </w:r>
      <w:r w:rsidR="00D8755C">
        <w:rPr>
          <w:rFonts w:cstheme="minorHAnsi"/>
        </w:rPr>
        <w:fldChar w:fldCharType="begin" w:fldLock="1"/>
      </w:r>
      <w:r w:rsidR="00804189">
        <w:rPr>
          <w:rFonts w:cstheme="minorHAnsi"/>
        </w:rPr>
        <w:instrText>ADDIN CSL_CITATION {"citationItems":[{"id":"ITEM-1","itemData":{"ISSN":"0149-2063","author":[{"dropping-particle":"","family":"Barringer","given":"Bruce R","non-dropping-particle":"","parse-names":false,"suffix":""},{"dropping-particle":"","family":"Harrison","given":"Jeffrey S","non-dropping-particle":"","parse-names":false,"suffix":""}],"container-title":"Journal of management","id":"ITEM-1","issue":"3","issued":{"date-parts":[["2000"]]},"page":"367-403","publisher":"Elsevier","title":"Walking a tightrope: Creating value through interorganizational relationships","type":"article-journal","volume":"26"},"uris":["http://www.mendeley.com/documents/?uuid=88defbce-1d48-44f8-8e2d-db5a906853bc"]}],"mendeley":{"formattedCitation":"&lt;sup&gt;71&lt;/sup&gt;","plainTextFormattedCitation":"71","previouslyFormattedCitation":"&lt;sup&gt;71&lt;/sup&gt;"},"properties":{"noteIndex":0},"schema":"https://github.com/citation-style-language/schema/raw/master/csl-citation.json"}</w:instrText>
      </w:r>
      <w:r w:rsidR="00D8755C">
        <w:rPr>
          <w:rFonts w:cstheme="minorHAnsi"/>
        </w:rPr>
        <w:fldChar w:fldCharType="separate"/>
      </w:r>
      <w:r w:rsidR="00C4603E" w:rsidRPr="00C4603E">
        <w:rPr>
          <w:rFonts w:cstheme="minorHAnsi"/>
          <w:noProof/>
          <w:vertAlign w:val="superscript"/>
        </w:rPr>
        <w:t>71</w:t>
      </w:r>
      <w:r w:rsidR="00D8755C">
        <w:rPr>
          <w:rFonts w:cstheme="minorHAnsi"/>
        </w:rPr>
        <w:fldChar w:fldCharType="end"/>
      </w:r>
      <w:r w:rsidR="00D8755C">
        <w:rPr>
          <w:rFonts w:cstheme="minorHAnsi"/>
        </w:rPr>
        <w:t>.</w:t>
      </w:r>
      <w:r w:rsidRPr="007C01CB">
        <w:rPr>
          <w:rFonts w:cstheme="minorHAnsi"/>
        </w:rPr>
        <w:t xml:space="preserve"> </w:t>
      </w:r>
    </w:p>
    <w:p w14:paraId="73CCD43F" w14:textId="19079519" w:rsidR="007873A7" w:rsidRPr="007C01CB" w:rsidRDefault="007873A7" w:rsidP="00525BE0">
      <w:pPr>
        <w:spacing w:line="360" w:lineRule="auto"/>
        <w:jc w:val="both"/>
        <w:rPr>
          <w:rFonts w:cstheme="minorHAnsi"/>
        </w:rPr>
      </w:pPr>
      <w:r w:rsidRPr="007C01CB">
        <w:rPr>
          <w:rFonts w:cstheme="minorHAnsi"/>
        </w:rPr>
        <w:t xml:space="preserve">The perspective of expansion is capture by Postma and Roos (2016) who draw attention to how the formation of healthcare mergers can represent a strategic attempt by organisations to gain market power by merging with a competitor </w:t>
      </w:r>
      <w:r>
        <w:rPr>
          <w:rFonts w:cstheme="minorHAnsi"/>
        </w:rPr>
        <w:fldChar w:fldCharType="begin" w:fldLock="1"/>
      </w:r>
      <w:r w:rsidR="00804189">
        <w:rPr>
          <w:rFonts w:cstheme="minorHAnsi"/>
        </w:rPr>
        <w:instrText>ADDIN CSL_CITATION {"citationItems":[{"id":"ITEM-1","itemData":{"ISSN":"0025-7079","author":[{"dropping-particle":"","family":"Bogue","given":"Richard J","non-dropping-particle":"","parse-names":false,"suffix":""},{"dropping-particle":"","family":"Shortell","given":"Stephen M","non-dropping-particle":"","parse-names":false,"suffix":""},{"dropping-particle":"","family":"Sohn","given":"Min-Woong","non-dropping-particle":"","parse-names":false,"suffix":""},{"dropping-particle":"","family":"Manheim","given":"Larry M","non-dropping-particle":"","parse-names":false,"suffix":""},{"dropping-particle":"","family":"Bazzoli","given":"Gloria","non-dropping-particle":"","parse-names":false,"suffix":""},{"dropping-particle":"","family":"Chan","given":"Cheeling","non-dropping-particle":"","parse-names":false,"suffix":""}],"container-title":"Medical care","id":"ITEM-1","issued":{"date-parts":[["1995"]]},"page":"676-686","publisher":"JSTOR","title":"Hospital reorganization after merger","type":"article-journal"},"uris":["http://www.mendeley.com/documents/?uuid=92ccb705-cb8e-43b3-bac9-0108cccbdfab"]},{"id":"ITEM-2","itemData":{"author":[{"dropping-particle":"","family":"Barro","given":"Jason R","non-dropping-particle":"","parse-names":false,"suffix":""},{"dropping-particle":"","family":"Cutler","given":"David M","non-dropping-particle":"","parse-names":false,"suffix":""}],"container-title":"Health Care","id":"ITEM-2","issued":{"date-parts":[["1997"]]},"title":"consolidation is driven primarily by a large decline in the demand for hospital beds, resulting from","type":"article-journal"},"uris":["http://www.mendeley.com/documents/?uuid=fdc015e4-6898-4808-ab1e-6eb6ab91123a"]},{"id":"ITEM-3","itemData":{"author":[{"dropping-particle":"","family":"Brooks","given":"Geoffrey R","non-dropping-particle":"","parse-names":false,"suffix":""},{"dropping-particle":"","family":"Jones","given":"V Grace","non-dropping-particle":"","parse-names":false,"suffix":""}],"container-title":"Health Services Research","id":"ITEM-3","issue":"6","issued":{"date-parts":[["1997"]]},"page":"701","publisher":"Health Research &amp; Educational Trust","title":"Hospital mergers and market overlap.","type":"article-journal","volume":"31"},"uris":["http://www.mendeley.com/documents/?uuid=3ddd370f-d519-4838-b7d8-c236c59c1c61"]},{"id":"ITEM-4","itemData":{"ISSN":"0895-3309","author":[{"dropping-particle":"","family":"Gaynor","given":"Martin","non-dropping-particle":"","parse-names":false,"suffix":""},{"dropping-particle":"","family":"Haas-Wilson","given":"Deborah","non-dropping-particle":"","parse-names":false,"suffix":""}],"container-title":"Journal of economic perspectives","id":"ITEM-4","issue":"1","issued":{"date-parts":[["1999"]]},"page":"141-164","title":"Change, consolidation, and competition in health care markets","type":"article-journal","volume":"13"},"uris":["http://www.mendeley.com/documents/?uuid=3d563569-d171-4b5f-a2db-556cc8ef7dbc"]}],"mendeley":{"formattedCitation":"&lt;sup&gt;72–75&lt;/sup&gt;","plainTextFormattedCitation":"72–75","previouslyFormattedCitation":"&lt;sup&gt;72–75&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72–75</w:t>
      </w:r>
      <w:r>
        <w:rPr>
          <w:rFonts w:cstheme="minorHAnsi"/>
        </w:rPr>
        <w:fldChar w:fldCharType="end"/>
      </w:r>
      <w:r>
        <w:rPr>
          <w:rFonts w:cstheme="minorHAnsi"/>
        </w:rPr>
        <w:t xml:space="preserve">. </w:t>
      </w:r>
      <w:r>
        <w:rPr>
          <w:rFonts w:cstheme="minorHAnsi"/>
        </w:rPr>
        <w:fldChar w:fldCharType="begin" w:fldLock="1"/>
      </w:r>
      <w:r w:rsidR="00804189">
        <w:rPr>
          <w:rFonts w:cstheme="minorHAnsi"/>
        </w:rPr>
        <w:instrText>ADDIN CSL_CITATION {"citationItems":[{"id":"ITEM-1","itemData":{"ISSN":"0168-8510","author":[{"dropping-particle":"","family":"Angeli","given":"Federica","non-dropping-particle":"","parse-names":false,"suffix":""},{"dropping-particle":"","family":"Maarse","given":"Hans","non-dropping-particle":"","parse-names":false,"suffix":""}],"container-title":"Health policy","id":"ITEM-1","issue":"2-3","issued":{"date-parts":[["2012"]]},"page":"265-272","publisher":"Elsevier","title":"Mergers and acquisitions in Western European health care: Exploring the role of financial services organizations","type":"article-journal","volume":"105"},"uris":["http://www.mendeley.com/documents/?uuid=f2aae1ee-a038-4ebb-a0dc-47dbee473ebe"]}],"mendeley":{"formattedCitation":"&lt;sup&gt;76&lt;/sup&gt;","manualFormatting":"Angeli &amp; Maarse (2012)","plainTextFormattedCitation":"76","previouslyFormattedCitation":"&lt;sup&gt;76&lt;/sup&gt;"},"properties":{"noteIndex":0},"schema":"https://github.com/citation-style-language/schema/raw/master/csl-citation.json"}</w:instrText>
      </w:r>
      <w:r>
        <w:rPr>
          <w:rFonts w:cstheme="minorHAnsi"/>
        </w:rPr>
        <w:fldChar w:fldCharType="separate"/>
      </w:r>
      <w:r w:rsidRPr="00A22AB0">
        <w:rPr>
          <w:rFonts w:cstheme="minorHAnsi"/>
          <w:noProof/>
        </w:rPr>
        <w:t>Angeli &amp; Maarse</w:t>
      </w:r>
      <w:r>
        <w:rPr>
          <w:rFonts w:cstheme="minorHAnsi"/>
          <w:noProof/>
        </w:rPr>
        <w:t xml:space="preserve"> (</w:t>
      </w:r>
      <w:r w:rsidRPr="00A22AB0">
        <w:rPr>
          <w:rFonts w:cstheme="minorHAnsi"/>
          <w:noProof/>
        </w:rPr>
        <w:t>2012)</w:t>
      </w:r>
      <w:r>
        <w:rPr>
          <w:rFonts w:cstheme="minorHAnsi"/>
        </w:rPr>
        <w:fldChar w:fldCharType="end"/>
      </w:r>
      <w:r w:rsidRPr="007C01CB">
        <w:rPr>
          <w:rFonts w:cstheme="minorHAnsi"/>
        </w:rPr>
        <w:t xml:space="preserve"> investigate the evolution of </w:t>
      </w:r>
      <w:r w:rsidR="00AA04ED">
        <w:rPr>
          <w:rFonts w:cstheme="minorHAnsi"/>
        </w:rPr>
        <w:t>mergers and acquisitions (</w:t>
      </w:r>
      <w:r w:rsidRPr="007C01CB">
        <w:rPr>
          <w:rFonts w:cstheme="minorHAnsi"/>
        </w:rPr>
        <w:t>M&amp;As</w:t>
      </w:r>
      <w:r w:rsidR="00AA04ED">
        <w:rPr>
          <w:rFonts w:cstheme="minorHAnsi"/>
        </w:rPr>
        <w:t>)</w:t>
      </w:r>
      <w:r w:rsidRPr="007C01CB">
        <w:rPr>
          <w:rFonts w:cstheme="minorHAnsi"/>
        </w:rPr>
        <w:t xml:space="preserve"> across Western European health care providers. They chart the rise of financial service organisations</w:t>
      </w:r>
      <w:r w:rsidRPr="007C01CB">
        <w:rPr>
          <w:rFonts w:cstheme="minorHAnsi"/>
          <w:i/>
        </w:rPr>
        <w:t xml:space="preserve"> </w:t>
      </w:r>
      <w:r w:rsidRPr="007C01CB">
        <w:rPr>
          <w:rFonts w:cstheme="minorHAnsi"/>
        </w:rPr>
        <w:t xml:space="preserve">acting as acquirer in M&amp;As have been driven by the introduction of market elements in health care financing and provision, the broadening of private practice and for-profit medicine, the retrenchment of public financing arrangements, and the closure of public hospitals or the conversion of public hospitals into more private-like entities. Expansion of market power can also be attributed to the self-interests of managers and personal ambition as a potential motive for collaboration </w:t>
      </w:r>
      <w:r w:rsidRPr="007C01CB">
        <w:rPr>
          <w:rFonts w:cstheme="minorHAnsi"/>
        </w:rPr>
        <w:fldChar w:fldCharType="begin" w:fldLock="1"/>
      </w:r>
      <w:r w:rsidR="00804189">
        <w:rPr>
          <w:rFonts w:cstheme="minorHAnsi"/>
        </w:rPr>
        <w:instrText>ADDIN CSL_CITATION {"citationItems":[{"id":"ITEM-1","itemData":{"DOI":"10.1046/j.1467-9515.2003.00369.x","ISSN":"01445596","abstract":"In seeking a more seamless provision of health and social care, the government is promoting the merger of the functions of primary and community health services and social services. In the private sector, mergers have been commonplace. The primary aim of this paper is to identify the key concepts and explanatory frameworks in the literature on mergers and acquisitions in the private sector that are relevant to the development of new organizational structures in health and social care. The evidence suggests that it is difficult to merge two organizations successfully. Reasons for this are explored and the implications for health and social care mergers drawn out.","author":[{"dropping-particle":"","family":"Field","given":"Jean","non-dropping-particle":"","parse-names":false,"suffix":""},{"dropping-particle":"","family":"Peck","given":"Edward","non-dropping-particle":"","parse-names":false,"suffix":""}],"container-title":"Social Policy and Administration","id":"ITEM-1","issue":"7","issued":{"date-parts":[["2003"]]},"page":"742-755","title":"Mergers and acquisitions in the private sector: What are the lessons for health and social services?","type":"article-journal","volume":"37"},"uris":["http://www.mendeley.com/documents/?uuid=7ee519f3-8f8f-4d7b-9d16-d3bbad3383a6","http://www.mendeley.com/documents/?uuid=fa5f1d96-9cb1-4f36-8857-1a42c1a7d4bd"]},{"id":"ITEM-2","itemData":{"DOI":"10.1017/S1744133115000304","ISBN":"1744133115000","ISSN":"1744134X","abstract":"In many OECD countries, healthcare sectors have become increasingly concentrated as a result of mergers. However, detailed empirical insight into why healthcare providers merge is lacking. Also, we know little about the influence of national healthcare policies on mergers. We fill this gap in the literature by conducting a survey study on mergers among 848 Dutch healthcare executives, of which 35% responded (resulting in a study sample of 239 executives). A total of 65% of the respondents was involved in at least one merger between 2005 and 2012. During this period, Dutch healthcare providers faced a number of policy changes, including increasing competition, more pressure from purchasers, growing financial risks, de-institutionalisation of long-term care and decentralisation of healthcare services to municipalities. Our empirical study shows that healthcare providers predominantly merge to improve the provision of healthcare services and to strengthen their market position. Also efficiency and financial reasons are important drivers of merger activity in healthcare. We find that motives for merger are related to changes in health policies, in particular to the increasing pressure from competitors, insurers and municipalities.","author":[{"dropping-particle":"","family":"Postma","given":"Jeroen","non-dropping-particle":"","parse-names":false,"suffix":""},{"dropping-particle":"","family":"Roos","given":"Anne Fleur","non-dropping-particle":"","parse-names":false,"suffix":""}],"container-title":"Health Economics, Policy and Law","id":"ITEM-2","issue":"2","issued":{"date-parts":[["2016"]]},"page":"121-140","title":"Why healthcare providers merge","type":"article-journal","volume":"11"},"uris":["http://www.mendeley.com/documents/?uuid=ee94d6a5-90c1-4963-95dd-785a6ceefe98","http://www.mendeley.com/documents/?uuid=ebf0ff63-88de-4b3b-8b8f-c4feed763552"]}],"mendeley":{"formattedCitation":"&lt;sup&gt;77,78&lt;/sup&gt;","plainTextFormattedCitation":"77,78","previouslyFormattedCitation":"&lt;sup&gt;77,78&lt;/sup&gt;"},"properties":{"noteIndex":0},"schema":"https://github.com/citation-style-language/schema/raw/master/csl-citation.json"}</w:instrText>
      </w:r>
      <w:r w:rsidRPr="007C01CB">
        <w:rPr>
          <w:rFonts w:cstheme="minorHAnsi"/>
        </w:rPr>
        <w:fldChar w:fldCharType="separate"/>
      </w:r>
      <w:r w:rsidR="00C4603E" w:rsidRPr="00C4603E">
        <w:rPr>
          <w:rFonts w:cstheme="minorHAnsi"/>
          <w:noProof/>
          <w:vertAlign w:val="superscript"/>
        </w:rPr>
        <w:t>77,78</w:t>
      </w:r>
      <w:r w:rsidRPr="007C01CB">
        <w:rPr>
          <w:rFonts w:cstheme="minorHAnsi"/>
        </w:rPr>
        <w:fldChar w:fldCharType="end"/>
      </w:r>
      <w:r w:rsidRPr="007C01CB">
        <w:rPr>
          <w:rFonts w:cstheme="minorHAnsi"/>
        </w:rPr>
        <w:t xml:space="preserve">. Such a perspective resonates with agency theory which suggests managers act as utility maximisers </w:t>
      </w:r>
      <w:r>
        <w:rPr>
          <w:rFonts w:cstheme="minorHAnsi"/>
        </w:rPr>
        <w:fldChar w:fldCharType="begin" w:fldLock="1"/>
      </w:r>
      <w:r w:rsidR="00804189">
        <w:rPr>
          <w:rFonts w:cstheme="minorHAnsi"/>
        </w:rPr>
        <w:instrText>ADDIN CSL_CITATION {"citationItems":[{"id":"ITEM-1","itemData":{"ISSN":"0304-405X","author":[{"dropping-particle":"","family":"Jensen","given":"Michael C","non-dropping-particle":"","parse-names":false,"suffix":""},{"dropping-particle":"","family":"Meckling","given":"William H","non-dropping-particle":"","parse-names":false,"suffix":""}],"container-title":"Journal of financial economics","id":"ITEM-1","issue":"4","issued":{"date-parts":[["1976"]]},"page":"305-360","publisher":"Elsevier","title":"Theory of the firm: Managerial behavior, agency costs and ownership structure","type":"article-journal","volume":"3"},"uris":["http://www.mendeley.com/documents/?uuid=39203ca0-3026-4436-9e8b-63c4bd3b8621"]}],"mendeley":{"formattedCitation":"&lt;sup&gt;79&lt;/sup&gt;","plainTextFormattedCitation":"79","previouslyFormattedCitation":"&lt;sup&gt;79&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79</w:t>
      </w:r>
      <w:r>
        <w:rPr>
          <w:rFonts w:cstheme="minorHAnsi"/>
        </w:rPr>
        <w:fldChar w:fldCharType="end"/>
      </w:r>
      <w:r w:rsidRPr="007C01CB">
        <w:rPr>
          <w:rFonts w:cstheme="minorHAnsi"/>
        </w:rPr>
        <w:t xml:space="preserve">, where the architects of IOCs may seek to have their organisations partner with others to increase their reputation in the marketplace, or increase their benefits by managing a larger organisation </w:t>
      </w:r>
      <w:r w:rsidRPr="007C01CB">
        <w:rPr>
          <w:rFonts w:cstheme="minorHAnsi"/>
        </w:rPr>
        <w:fldChar w:fldCharType="begin" w:fldLock="1"/>
      </w:r>
      <w:r w:rsidR="00804189">
        <w:rPr>
          <w:rFonts w:cstheme="minorHAnsi"/>
        </w:rPr>
        <w:instrText>ADDIN CSL_CITATION {"citationItems":[{"id":"ITEM-1","itemData":{"DOI":"10.1017/S1744133115000304","ISBN":"1744133115000","ISSN":"1744134X","abstract":"In many OECD countries, healthcare sectors have become increasingly concentrated as a result of mergers. However, detailed empirical insight into why healthcare providers merge is lacking. Also, we know little about the influence of national healthcare policies on mergers. We fill this gap in the literature by conducting a survey study on mergers among 848 Dutch healthcare executives, of which 35% responded (resulting in a study sample of 239 executives). A total of 65% of the respondents was involved in at least one merger between 2005 and 2012. During this period, Dutch healthcare providers faced a number of policy changes, including increasing competition, more pressure from purchasers, growing financial risks, de-institutionalisation of long-term care and decentralisation of healthcare services to municipalities. Our empirical study shows that healthcare providers predominantly merge to improve the provision of healthcare services and to strengthen their market position. Also efficiency and financial reasons are important drivers of merger activity in healthcare. We find that motives for merger are related to changes in health policies, in particular to the increasing pressure from competitors, insurers and municipalities.","author":[{"dropping-particle":"","family":"Postma","given":"Jeroen","non-dropping-particle":"","parse-names":false,"suffix":""},{"dropping-particle":"","family":"Roos","given":"Anne Fleur","non-dropping-particle":"","parse-names":false,"suffix":""}],"container-title":"Health Economics, Policy and Law","id":"ITEM-1","issue":"2","issued":{"date-parts":[["2016"]]},"page":"121-140","title":"Why healthcare providers merge","type":"article-journal","volume":"11"},"uris":["http://www.mendeley.com/documents/?uuid=ebf0ff63-88de-4b3b-8b8f-c4feed763552","http://www.mendeley.com/documents/?uuid=ee94d6a5-90c1-4963-95dd-785a6ceefe98"]}],"mendeley":{"formattedCitation":"&lt;sup&gt;78&lt;/sup&gt;","plainTextFormattedCitation":"78","previouslyFormattedCitation":"&lt;sup&gt;78&lt;/sup&gt;"},"properties":{"noteIndex":0},"schema":"https://github.com/citation-style-language/schema/raw/master/csl-citation.json"}</w:instrText>
      </w:r>
      <w:r w:rsidRPr="007C01CB">
        <w:rPr>
          <w:rFonts w:cstheme="minorHAnsi"/>
        </w:rPr>
        <w:fldChar w:fldCharType="separate"/>
      </w:r>
      <w:r w:rsidR="00C4603E" w:rsidRPr="00C4603E">
        <w:rPr>
          <w:rFonts w:cstheme="minorHAnsi"/>
          <w:noProof/>
          <w:vertAlign w:val="superscript"/>
        </w:rPr>
        <w:t>78</w:t>
      </w:r>
      <w:r w:rsidRPr="007C01CB">
        <w:rPr>
          <w:rFonts w:cstheme="minorHAnsi"/>
        </w:rPr>
        <w:fldChar w:fldCharType="end"/>
      </w:r>
      <w:r w:rsidRPr="007C01CB">
        <w:rPr>
          <w:rFonts w:cstheme="minorHAnsi"/>
        </w:rPr>
        <w:t xml:space="preserve">. </w:t>
      </w:r>
    </w:p>
    <w:p w14:paraId="13F778FD" w14:textId="77777777" w:rsidR="007873A7" w:rsidRPr="007C01CB" w:rsidRDefault="007873A7" w:rsidP="00525BE0">
      <w:pPr>
        <w:pStyle w:val="Heading3"/>
        <w:jc w:val="both"/>
      </w:pPr>
      <w:bookmarkStart w:id="35" w:name="_Toc85066413"/>
      <w:r w:rsidRPr="007C01CB">
        <w:t>Consolidation</w:t>
      </w:r>
      <w:bookmarkEnd w:id="35"/>
    </w:p>
    <w:p w14:paraId="17E93E61" w14:textId="15514910" w:rsidR="007873A7" w:rsidRPr="007C01CB" w:rsidRDefault="007873A7" w:rsidP="00525BE0">
      <w:pPr>
        <w:spacing w:line="360" w:lineRule="auto"/>
        <w:jc w:val="both"/>
        <w:rPr>
          <w:rFonts w:cstheme="minorHAnsi"/>
        </w:rPr>
      </w:pPr>
      <w:r w:rsidRPr="007C01CB">
        <w:rPr>
          <w:rFonts w:cstheme="minorHAnsi"/>
        </w:rPr>
        <w:t xml:space="preserve">The formation of IOCs is driven by the need to consolidate services within a market environment. Connections are made here with Transaction Cost Economics and theories of inter-firm collaboration </w:t>
      </w:r>
      <w:r>
        <w:rPr>
          <w:rFonts w:cstheme="minorHAnsi"/>
        </w:rPr>
        <w:fldChar w:fldCharType="begin" w:fldLock="1"/>
      </w:r>
      <w:r w:rsidR="00804189">
        <w:rPr>
          <w:rFonts w:cstheme="minorHAnsi"/>
        </w:rPr>
        <w:instrText>ADDIN CSL_CITATION {"citationItems":[{"id":"ITEM-1","itemData":{"ISSN":"1573-448X","author":[{"dropping-particle":"","family":"Williamson","given":"Oliver E","non-dropping-particle":"","parse-names":false,"suffix":""}],"container-title":"Handbook of industrial organization","id":"ITEM-1","issued":{"date-parts":[["1989"]]},"page":"135-182","publisher":"Elsevier","title":"Transaction cost economics","type":"article-journal","volume":"1"},"uris":["http://www.mendeley.com/documents/?uuid=665749e6-c72f-4100-8e4e-72f4b7ebd208"]},{"id":"ITEM-2","itemData":{"author":[{"dropping-particle":"","family":"Williamson","given":"Oliver E","non-dropping-particle":"","parse-names":false,"suffix":""}],"container-title":"Das Summa Summarum des Management","id":"ITEM-2","issued":{"date-parts":[["2007"]]},"page":"61-75","publisher":"Springer","title":"The economic institutions of capitalism. Firms, markets, relational contracting","type":"chapter"},"uris":["http://www.mendeley.com/documents/?uuid=9823537a-35b4-42bb-9cb1-226842bedd97"]}],"mendeley":{"formattedCitation":"&lt;sup&gt;80,81&lt;/sup&gt;","plainTextFormattedCitation":"80,81","previouslyFormattedCitation":"&lt;sup&gt;80,81&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80,81</w:t>
      </w:r>
      <w:r>
        <w:rPr>
          <w:rFonts w:cstheme="minorHAnsi"/>
        </w:rPr>
        <w:fldChar w:fldCharType="end"/>
      </w:r>
      <w:r w:rsidRPr="007C01CB">
        <w:rPr>
          <w:rFonts w:cstheme="minorHAnsi"/>
        </w:rPr>
        <w:t xml:space="preserve"> which focus on how organisations organise their boundary spanning activities to minimise production and transaction costs. </w:t>
      </w:r>
    </w:p>
    <w:p w14:paraId="6A0AD91E" w14:textId="2718F925" w:rsidR="007873A7" w:rsidRPr="007C01CB" w:rsidRDefault="007873A7" w:rsidP="00525BE0">
      <w:pPr>
        <w:spacing w:line="360" w:lineRule="auto"/>
        <w:jc w:val="both"/>
        <w:rPr>
          <w:rFonts w:cstheme="minorHAnsi"/>
        </w:rPr>
      </w:pPr>
      <w:r w:rsidRPr="007C01CB">
        <w:rPr>
          <w:rFonts w:cstheme="minorHAnsi"/>
        </w:rPr>
        <w:t xml:space="preserve">Various collaborative efforts </w:t>
      </w:r>
      <w:r>
        <w:rPr>
          <w:rFonts w:cstheme="minorHAnsi"/>
        </w:rPr>
        <w:fldChar w:fldCharType="begin" w:fldLock="1"/>
      </w:r>
      <w:r w:rsidR="00804189">
        <w:rPr>
          <w:rFonts w:cstheme="minorHAnsi"/>
        </w:rPr>
        <w:instrText>ADDIN CSL_CITATION {"citationItems":[{"id":"ITEM-1","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-1","issue":"November","issued":{"date-parts":[["2020"]]},"title":"HS &amp; DR Rapid Evaluation Centre Topic Report Early evidence of the development of primary care networks in England: a rapid evaluation study","type":"report"},"uris":["http://www.mendeley.com/documents/?uuid=d8ac51e3-1c56-426a-b71e-68e97e21b386"]},{"id":"ITEM-2","itemData":{"DOI":"10.1016/S0840-4704(10)60916-7","ISSN":"08404704","abstract":"The multi-hospital arrangements literature is reviewed for Canada and the United States. There is a notable lack of evaluations on the outcomes of these arrangements, especially in the Canadian context. For evaluations that do make it to the literature generalizability of conclusions is difficult because most is based on case studies and relates to “for-profit” U.S. hospitals. We are forced to conclude, however, that there is little definitive evidence that quality of care is improved by multi-hospital arrangements or to support or refute the claims of better human resources deployment. The most striking organizational benefit appears to be that institutions considering merger or other arrangements are forced into explicit considerations of their mission and goals. Many of the potential disadvantages of multi-hospital arrangements may be ameliorated with appropriate strategic planning and attention to detail during negotiation of the arrangement. As new multi-institutional arrangements may cause harm as well as reap benefits, careful evaluation is needed. Cet article fait la revue de la documentation sur les accords multi-hôpitaux au Canada et aux états-Unis. Il n'existe que peu d'information sur les évaluations de résultats de tels accords, particulièrement dans le contexte canadien. Quant aux évaluations qui ont été faites, il est difficile d'en généraliser les conclusions, car la majorité des résultats sont basés sur des études de cas et font référence à des hôpitaux à but lucratif américains. Nous sommes cependant obligés de conclure qu'll existe peu de données valables montrant que les accords multi-hôpitaux améliorent la qualité des soins, ou qui confirment ou infirment qu'ils amènent une meilleure utilisation des ressources humaines. L'avantage organisationnel le plus frappant semble être que les établissements qui étudient la possibilité d'une fusion ou d'autres accords sont forcés d'étudier à fond leur mission et leurs buts. Bon nombre des inconvénients possibles associés aux accords multi-hôpitaux peuvent être améliorés par une planification stratégique adéquate et une attention aux détails lors des négociations. Comme de nouveaux accords entre plusieurs hôpitaux peuvent être nuisibles et réduire dramatiquement les avantages, des évaluations minutieuses deviennent nécessaires. © 1995, Canadian College of Health Service Executives. All rights reserved.","author":[{"dropping-particle":"","family":"Markham","given":"Barbara","non-dropping-particle":"","parse-names":false,"suffix":""},{"dropping-particle":"","family":"Lomas","given":"Jonathan","non-dropping-particle":"","parse-names":false,"suffix":""}],"container-title":"Healthcare Management Forum","id":"ITEM-2","issue":"3","issued":{"date-parts":[["1995"]]},"page":"24-35","publisher":"Canadian College of Health Service Executives","title":"Review of the Multi-Hospital Arrangements Literature: Benefits, Disadvantages and Lessons for Implementation","type":"article-journal","volume":"8"},"uris":["http://www.mendeley.com/documents/?uuid=35376112-06cd-418a-897b-840bf101f6af"]}],"mendeley":{"formattedCitation":"&lt;sup&gt;37,70&lt;/sup&gt;","plainTextFormattedCitation":"37,70","previouslyFormattedCitation":"&lt;sup&gt;37,70&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37,70</w:t>
      </w:r>
      <w:r>
        <w:rPr>
          <w:rFonts w:cstheme="minorHAnsi"/>
        </w:rPr>
        <w:fldChar w:fldCharType="end"/>
      </w:r>
      <w:r w:rsidRPr="007C01CB">
        <w:rPr>
          <w:rFonts w:cstheme="minorHAnsi"/>
        </w:rPr>
        <w:t xml:space="preserve"> highlight the economic drivers for overall and unit cost savings through improved economies of scale. Much of the coverage related to transaction cost economics underpins the rationale for mergers</w:t>
      </w:r>
      <w:r>
        <w:rPr>
          <w:rFonts w:cstheme="minorHAnsi"/>
        </w:rPr>
        <w:t xml:space="preserve"> </w:t>
      </w:r>
      <w:r>
        <w:rPr>
          <w:rFonts w:cstheme="minorHAnsi"/>
        </w:rPr>
        <w:fldChar w:fldCharType="begin" w:fldLock="1"/>
      </w:r>
      <w:r w:rsidR="00804189">
        <w:rPr>
          <w:rFonts w:cstheme="minorHAnsi"/>
        </w:rPr>
        <w:instrText>ADDIN CSL_CITATION {"citationItems":[{"id":"ITEM-1","itemData":{"author":[{"dropping-particle":"","family":"Rees","given":"James","non-dropping-particle":"","parse-names":false,"suffix":""},{"dropping-particle":"","family":"Mullins","given":"David","non-dropping-particle":"","parse-names":false,"suffix":""},{"dropping-particle":"","family":"Bovaird","given":"Tony","non-dropping-particle":"","parse-names":false,"suffix":""}],"id":"ITEM-1","issued":{"date-parts":[["2012"]]},"publisher":"University of Birmingham","title":"Third sector partnerships for public service delivery: an evidence review","type":"article-journal"},"uris":["http://www.mendeley.com/documents/?uuid=0939fb02-a7fb-44e5-9de5-b26103a7fc29"]},{"id":"ITEM-2","itemData":{"ISSN":"1386-9620","author":[{"dropping-particle":"","family":"Kristensen","given":"Troels","non-dropping-particle":"","parse-names":false,"suffix":""},{"dropping-particle":"","family":"Bogetoft","given":"Peter","non-dropping-particle":"","parse-names":false,"suffix":""},{"dropping-particle":"","family":"Pedersen","given":"Kjeld Moeller","non-dropping-particle":"","parse-names":false,"suffix":""}],"container-title":"Health care management science","id":"ITEM-2","issue":"4","issued":{"date-parts":[["2010"]]},"page":"334-345","publisher":"Springer","title":"Potential gains from hospital mergers in Denmark","type":"article-journal","volume":"13"},"uris":["http://www.mendeley.com/documents/?uuid=009ebedf-f304-4b02-a533-f689e64577cc"]},{"id":"ITEM-3","itemData":{"ISSN":"0168-8510","author":[{"dropping-particle":"","family":"Angeli","given":"Federica","non-dropping-particle":"","parse-names":false,"suffix":""},{"dropping-particle":"","family":"Maarse","given":"Hans","non-dropping-particle":"","parse-names":false,"suffix":""}],"container-title":"Health policy","id":"ITEM-3","issue":"2-3","issued":{"date-parts":[["2012"]]},"page":"265-272","publisher":"Elsevier","title":"Mergers and acquisitions in Western European health care: Exploring the role of financial services organizations","type":"article-journal","volume":"105"},"uris":["http://www.mendeley.com/documents/?uuid=f2aae1ee-a038-4ebb-a0dc-47dbee473ebe"]}],"mendeley":{"formattedCitation":"&lt;sup&gt;76,82,83&lt;/sup&gt;","plainTextFormattedCitation":"76,82,83","previouslyFormattedCitation":"&lt;sup&gt;76,82,83&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76,82,83</w:t>
      </w:r>
      <w:r>
        <w:rPr>
          <w:rFonts w:cstheme="minorHAnsi"/>
        </w:rPr>
        <w:fldChar w:fldCharType="end"/>
      </w:r>
      <w:r>
        <w:rPr>
          <w:rFonts w:cstheme="minorHAnsi"/>
        </w:rPr>
        <w:t xml:space="preserve">. </w:t>
      </w:r>
      <w:r w:rsidRPr="007C01CB">
        <w:rPr>
          <w:rFonts w:cstheme="minorHAnsi"/>
        </w:rPr>
        <w:t>A literature review and secondary data analysis by Gaynor et al (2012) traced the hospital ‘merger mania’ in England between 1997 and 2006. This review highlights how the drivers for these mergers included facilitating hospital or service closures to release capacity in the short term, secure financial viability of smaller organisations, and enlarge the hospital to provide better services for the buyers of services</w:t>
      </w:r>
      <w:r>
        <w:rPr>
          <w:rFonts w:cstheme="minorHAnsi"/>
        </w:rPr>
        <w:t xml:space="preserve"> </w:t>
      </w:r>
      <w:r>
        <w:rPr>
          <w:rFonts w:cstheme="minorHAnsi"/>
        </w:rPr>
        <w:fldChar w:fldCharType="begin" w:fldLock="1"/>
      </w:r>
      <w:r w:rsidR="00804189">
        <w:rPr>
          <w:rFonts w:cstheme="minorHAnsi"/>
        </w:rPr>
        <w:instrText>ADDIN CSL_CITATION {"citationItems":[{"id":"ITEM-1","itemData":{"ISSN":"1473-625X","abstract":"The literature on mergers between private hospitals suggests that such mergers often produce little benefit. Despite this, the UK government has pursued an active policy of hospital mergers, arguing that such consolidations will bring improvements for patients. We examine whether this promise is met. We exploit the fact that between 1997 and 2006 in England around half the short term general hospitals were involved in a merger, but that politics means that selection for a merger may be random with respect to future performance. We examine the impact of mergers on a large set of outcomes including financial performance, productivity, waiting times and clinical quality and find little evidence that mergers achieved gains other than a reduction in activity. Given that mergers reduce the scope for competition between hospitals the findings suggest that further merger activity may not be the appropriate way of dealing with poorly performing hospitals.","author":[{"dropping-particle":"","family":"Gaynor","given":"Martin","non-dropping-particle":"","parse-names":false,"suffix":""},{"dropping-particle":"","family":"Laudicella","given":"Mauro","non-dropping-particle":"","parse-names":false,"suffix":""},{"dropping-particle":"","family":"Propper","given":"Carol","non-dropping-particle":"","parse-names":false,"suffix":""}],"collection-title":"Working Paper","editor":[{"dropping-particle":"","family":"Organisation","given":"University of Bristol. Centre for Market and Public","non-dropping-particle":"","parse-names":false,"suffix":""}],"id":"ITEM-1","issued":{"date-parts":[["2012"]]},"publisher":"Bristol: CMPO, 2012","title":"Can governments do it better? Merger mania and hospital outcomes in the English NHS.","type":"article-journal"},"uris":["http://www.mendeley.com/documents/?uuid=ceefede5-822a-4c4b-bc47-4c1aa4db17cc"]}],"mendeley":{"formattedCitation":"&lt;sup&gt;84&lt;/sup&gt;","plainTextFormattedCitation":"84","previouslyFormattedCitation":"&lt;sup&gt;84&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84</w:t>
      </w:r>
      <w:r>
        <w:rPr>
          <w:rFonts w:cstheme="minorHAnsi"/>
        </w:rPr>
        <w:fldChar w:fldCharType="end"/>
      </w:r>
      <w:r w:rsidRPr="007C01CB">
        <w:rPr>
          <w:rFonts w:cstheme="minorHAnsi"/>
        </w:rPr>
        <w:t>.</w:t>
      </w:r>
      <w:r>
        <w:rPr>
          <w:rFonts w:cstheme="minorHAnsi"/>
        </w:rPr>
        <w:t xml:space="preserve"> </w:t>
      </w:r>
      <w:r>
        <w:rPr>
          <w:rFonts w:cstheme="minorHAnsi"/>
        </w:rPr>
        <w:fldChar w:fldCharType="begin" w:fldLock="1"/>
      </w:r>
      <w:r w:rsidR="00804189">
        <w:rPr>
          <w:rFonts w:cstheme="minorHAnsi"/>
        </w:rPr>
        <w:instrText>ADDIN CSL_CITATION {"citationItems":[{"id":"ITEM-1","itemData":{"DOI":"10.1136/bmj.325.7358.246","ISSN":"09598146","abstract":"Objective: To study the processes involved in and impact of mergers between NHS trusts, including the effect on management costs. Design: Cross sectional study involving in depth interviews and documentary analysis; case study to compare savings in management costs between case trusts and control trusts. Setting: Nine trusts (cross sectional study) and four trusts (case study) in London. Participants: 96 interviews with trust board members, other senior managers, clinicians, service managers, and representatives of health authorities, regional office, community health councils, local authorities, other trusts in the area, and primary care groups and trusts. Main outcome measures: Stated and unstated drivers, and impact of merger on delivery and development of services, management structures, and staff recruitment, retention, and morale. Effects of difference in trust size before and after the merger. Savings in management costs two years after merger. Results: Some important drivers for merger are not publicly stated. Mergers had a negative effect on delivery of services because of a loss of managerial focus on services. Planned developments in services were delayed by at least 18 months. Trusts' larger sizes after mergers had unintended negative consequences, as well as predicted advantages. The tendency for one trust's management team to dominate over the other resulted in tension. No improvement in recruitment or retention of clinical and managerial staff was reported. Perceived differences in organisational culture were an important barrier to bringing together two or more organisations. Two years after merger, merged trusts had not achieved the objective of saving £500 000 a year in management costs. Conclusions: Important unintended consequences need to be accounted for when mergers are planned. Mergers can cause considerable disruptions to services, and require greater management support than previously acknowledged. Other organisations undergoing restructuring, such as primary care groups developing into primary care trusts and health authorities merging into strategic health authorities, should take these findings into account.","author":[{"dropping-particle":"","family":"Fulop","given":"Naomi","non-dropping-particle":"","parse-names":false,"suffix":""},{"dropping-particle":"","family":"Protopsaltis","given":"Gerasimos","non-dropping-particle":"","parse-names":false,"suffix":""},{"dropping-particle":"","family":"Hutchings","given":"Andrew","non-dropping-particle":"","parse-names":false,"suffix":""},{"dropping-particle":"","family":"King","given":"Annette","non-dropping-particle":"","parse-names":false,"suffix":""},{"dropping-particle":"","family":"Allen","given":"Pauline","non-dropping-particle":"","parse-names":false,"suffix":""},{"dropping-particle":"","family":"Normand","given":"Charles","non-dropping-particle":"","parse-names":false,"suffix":""},{"dropping-particle":"","family":"Walters","given":"Rhiannon","non-dropping-particle":"","parse-names":false,"suffix":""}],"container-title":"British Medical Journal","id":"ITEM-1","issue":"7358","issued":{"date-parts":[["2002"]]},"page":"246-249","title":"Process and impact of mergers of NHS trusts: Multicentre case study and management cost analysis","type":"article-journal","volume":"325"},"uris":["http://www.mendeley.com/documents/?uuid=f9213f97-3906-4651-9340-5411de66b628"]},{"id":"ITEM-2","itemData":{"ISSN":"0277-9536","author":[{"dropping-particle":"","family":"Fulop","given":"Naomi","non-dropping-particle":"","parse-names":false,"suffix":""},{"dropping-particle":"","family":"Protopsaltis","given":"Gerasimos","non-dropping-particle":"","parse-names":false,"suffix":""},{"dropping-particle":"","family":"King","given":"Annette","non-dropping-particle":"","parse-names":false,"suffix":""},{"dropping-particle":"","family":"Allen","given":"Pauline","non-dropping-particle":"","parse-names":false,"suffix":""},{"dropping-particle":"","family":"Hutchings","given":"Andrew","non-dropping-particle":"","parse-names":false,"suffix":""},{"dropping-particle":"","family":"Normand","given":"Charles","non-dropping-particle":"","parse-names":false,"suffix":""}],"container-title":"Social science &amp; medicine","id":"ITEM-2","issue":"1","issued":{"date-parts":[["2005"]]},"page":"119-130","publisher":"Elsevier","title":"Changing organisations: a study of the context and processes of mergers of health care providers in England","type":"article-journal","volume":"60"},"uris":["http://www.mendeley.com/documents/?uuid=a20c8dc5-d3c6-42b1-b910-fdd8b5361c70"]}],"mendeley":{"formattedCitation":"&lt;sup&gt;85,86&lt;/sup&gt;","manualFormatting":"Fulop et al. (2002, 2005)","plainTextFormattedCitation":"85,86","previouslyFormattedCitation":"&lt;sup&gt;85,86&lt;/sup&gt;"},"properties":{"noteIndex":0},"schema":"https://github.com/citation-style-language/schema/raw/master/csl-citation.json"}</w:instrText>
      </w:r>
      <w:r>
        <w:rPr>
          <w:rFonts w:cstheme="minorHAnsi"/>
        </w:rPr>
        <w:fldChar w:fldCharType="separate"/>
      </w:r>
      <w:r w:rsidRPr="00310352">
        <w:rPr>
          <w:rFonts w:cstheme="minorHAnsi"/>
          <w:noProof/>
        </w:rPr>
        <w:t>Fulop et al.</w:t>
      </w:r>
      <w:r>
        <w:rPr>
          <w:rFonts w:cstheme="minorHAnsi"/>
          <w:noProof/>
        </w:rPr>
        <w:t xml:space="preserve"> (</w:t>
      </w:r>
      <w:r w:rsidRPr="00310352">
        <w:rPr>
          <w:rFonts w:cstheme="minorHAnsi"/>
          <w:noProof/>
        </w:rPr>
        <w:t>2002, 2005)</w:t>
      </w:r>
      <w:r>
        <w:rPr>
          <w:rFonts w:cstheme="minorHAnsi"/>
        </w:rPr>
        <w:fldChar w:fldCharType="end"/>
      </w:r>
      <w:r w:rsidRPr="007C01CB">
        <w:rPr>
          <w:rFonts w:cstheme="minorHAnsi"/>
        </w:rPr>
        <w:t xml:space="preserve"> outline similar economic drivers for trust mergers as an opportunity to take advantage of economies of scale and scope (especially regarding management costs) </w:t>
      </w:r>
      <w:r>
        <w:rPr>
          <w:rFonts w:cstheme="minorHAnsi"/>
        </w:rPr>
        <w:t>to</w:t>
      </w:r>
      <w:r w:rsidRPr="007C01CB">
        <w:rPr>
          <w:rFonts w:cstheme="minorHAnsi"/>
        </w:rPr>
        <w:t xml:space="preserve"> rationalis</w:t>
      </w:r>
      <w:r>
        <w:rPr>
          <w:rFonts w:cstheme="minorHAnsi"/>
        </w:rPr>
        <w:t>e</w:t>
      </w:r>
      <w:r w:rsidRPr="007C01CB">
        <w:rPr>
          <w:rFonts w:cstheme="minorHAnsi"/>
        </w:rPr>
        <w:t xml:space="preserve"> the provision of services by reducing excess capacity to treat patients. Resulting efficiencies can lead to improved clinical quality as usage of specialised unit increases, quality of medical training increases, and staff recruitment and staff retention become more effective.</w:t>
      </w:r>
    </w:p>
    <w:p w14:paraId="3D38317C" w14:textId="77777777" w:rsidR="007873A7" w:rsidRPr="007C01CB" w:rsidRDefault="007873A7" w:rsidP="00525BE0">
      <w:pPr>
        <w:pStyle w:val="Heading3"/>
        <w:jc w:val="both"/>
      </w:pPr>
      <w:bookmarkStart w:id="36" w:name="_Toc85066414"/>
      <w:r w:rsidRPr="007C01CB">
        <w:t>Participation</w:t>
      </w:r>
      <w:bookmarkEnd w:id="36"/>
    </w:p>
    <w:p w14:paraId="2FCF36DE" w14:textId="155B680D" w:rsidR="007873A7" w:rsidRPr="007C01CB" w:rsidRDefault="007873A7" w:rsidP="00525BE0">
      <w:pPr>
        <w:spacing w:line="360" w:lineRule="auto"/>
        <w:jc w:val="both"/>
        <w:rPr>
          <w:rFonts w:cstheme="minorHAnsi"/>
        </w:rPr>
      </w:pPr>
      <w:r w:rsidRPr="007C01CB">
        <w:rPr>
          <w:rFonts w:cstheme="minorHAnsi"/>
        </w:rPr>
        <w:t xml:space="preserve">Drivers for IOC draw attention to how such forms can increase participation of stakeholders to reduce environmental uncertainty. Such assumptions connect with a stakeholder theory of organisations at the centre of an independent web of stakeholders with a responsibility to consider their needs with making decisions/transactions </w:t>
      </w:r>
      <w:r>
        <w:rPr>
          <w:rFonts w:cstheme="minorHAnsi"/>
        </w:rPr>
        <w:fldChar w:fldCharType="begin" w:fldLock="1"/>
      </w:r>
      <w:r w:rsidR="00804189">
        <w:rPr>
          <w:rFonts w:cstheme="minorHAnsi"/>
        </w:rPr>
        <w:instrText>ADDIN CSL_CITATION {"citationItems":[{"id":"ITEM-1","itemData":{"ISSN":"0025-1909","author":[{"dropping-particle":"","family":"Axelrod","given":"Robert","non-dropping-particle":"","parse-names":false,"suffix":""},{"dropping-particle":"","family":"Mitchell","given":"Will","non-dropping-particle":"","parse-names":false,"suffix":""},{"dropping-particle":"","family":"Thomas","given":"Robert E","non-dropping-particle":"","parse-names":false,"suffix":""},{"dropping-particle":"","family":"Bennett","given":"D Scott","non-dropping-particle":"","parse-names":false,"suffix":""},{"dropping-particle":"","family":"Bruderer","given":"Erhard","non-dropping-particle":"","parse-names":false,"suffix":""}],"container-title":"Management science","id":"ITEM-1","issue":"9","issued":{"date-parts":[["1995"]]},"page":"1493-1508","publisher":"INFORMS","title":"Coalition formation in standard-setting alliances","type":"article-journal","volume":"41"},"uris":["http://www.mendeley.com/documents/?uuid=e10addeb-8296-43e9-ab5c-aff484e48737"]},{"id":"ITEM-2","itemData":{"ISSN":"1052-150X","author":[{"dropping-particle":"","family":"Freeman","given":"R Edward","non-dropping-particle":"","parse-names":false,"suffix":""}],"container-title":"Business ethics quarterly","id":"ITEM-2","issued":{"date-parts":[["1994"]]},"page":"409-421","publisher":"JSTOR","title":"The politics of stakeholder theory: Some future directions","type":"article-journal"},"uris":["http://www.mendeley.com/documents/?uuid=97aea4dc-d39a-4e6a-bff0-d9d327a1034c"]}],"mendeley":{"formattedCitation":"&lt;sup&gt;87,88&lt;/sup&gt;","plainTextFormattedCitation":"87,88","previouslyFormattedCitation":"&lt;sup&gt;87,88&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87,88</w:t>
      </w:r>
      <w:r>
        <w:rPr>
          <w:rFonts w:cstheme="minorHAnsi"/>
        </w:rPr>
        <w:fldChar w:fldCharType="end"/>
      </w:r>
      <w:r>
        <w:rPr>
          <w:rFonts w:cstheme="minorHAnsi"/>
        </w:rPr>
        <w:t>. I</w:t>
      </w:r>
      <w:r w:rsidRPr="007C01CB">
        <w:rPr>
          <w:rFonts w:cstheme="minorHAnsi"/>
        </w:rPr>
        <w:t>n a healthcare context, these are typically patients, members of the public, staff, board members, and government</w:t>
      </w:r>
      <w:r>
        <w:rPr>
          <w:rFonts w:cstheme="minorHAnsi"/>
        </w:rPr>
        <w:t xml:space="preserve"> </w:t>
      </w:r>
      <w:r>
        <w:rPr>
          <w:rFonts w:cstheme="minorHAnsi"/>
        </w:rPr>
        <w:fldChar w:fldCharType="begin" w:fldLock="1"/>
      </w:r>
      <w:r w:rsidR="00804189">
        <w:rPr>
          <w:rFonts w:cstheme="minorHAnsi"/>
        </w:rPr>
        <w:instrText>ADDIN CSL_CITATION {"citationItems":[{"id":"ITEM-1","itemData":{"DOI":"10.1017/S1744133115000304","ISBN":"1744133115000","ISSN":"1744134X","abstract":"In many OECD countries, healthcare sectors have become increasingly concentrated as a result of mergers. However, detailed empirical insight into why healthcare providers merge is lacking. Also, we know little about the influence of national healthcare policies on mergers. We fill this gap in the literature by conducting a survey study on mergers among 848 Dutch healthcare executives, of which 35% responded (resulting in a study sample of 239 executives). A total of 65% of the respondents was involved in at least one merger between 2005 and 2012. During this period, Dutch healthcare providers faced a number of policy changes, including increasing competition, more pressure from purchasers, growing financial risks, de-institutionalisation of long-term care and decentralisation of healthcare services to municipalities. Our empirical study shows that healthcare providers predominantly merge to improve the provision of healthcare services and to strengthen their market position. Also efficiency and financial reasons are important drivers of merger activity in healthcare. We find that motives for merger are related to changes in health policies, in particular to the increasing pressure from competitors, insurers and municipalities.","author":[{"dropping-particle":"","family":"Postma","given":"Jeroen","non-dropping-particle":"","parse-names":false,"suffix":""},{"dropping-particle":"","family":"Roos","given":"Anne Fleur","non-dropping-particle":"","parse-names":false,"suffix":""}],"container-title":"Health Economics, Policy and Law","id":"ITEM-1","issue":"2","issued":{"date-parts":[["2016"]]},"page":"121-140","title":"Why healthcare providers merge","type":"article-journal","volume":"11"},"uris":["http://www.mendeley.com/documents/?uuid=ebf0ff63-88de-4b3b-8b8f-c4feed763552"]},{"id":"ITEM-2","itemData":{"DOI":"10.1111/1467-9299.00103","ISSN":"00333298","abstract":"Multi-organizational partnerships are now an important means of governing and managing public programmes. They typically involve business, community and not-for-profit agencies alongside government bodies. Partnerships are frequently contrasted with competitive markets and bureaucratic hierarchies. A more complex reality is revealed once partnerships as an organizational form are distinguished from networks as a mode of social co-ordination or governance. Data from studies of UK urban regeneration partnerships are used to develop a four-stage partnership life cycle: pre-partnership collaboration; partnership creation; partnership programme delivery; and partnership termination. A different mode of governance -network, market or hierarchy - predominates at each stage. Separating organizational form from mode of governance enables a richer understanding of multiorganizational activity and provides the basis from which theory and practice can be developed. The key challenge for partnerships lies in managing the interaction of different modes of governance, which at some points will generate competition and at other points collaboration.","author":[{"dropping-particle":"","family":"Lowndes","given":"Vivien","non-dropping-particle":"","parse-names":false,"suffix":""},{"dropping-particle":"","family":"Skelcher","given":"Chris","non-dropping-particle":"","parse-names":false,"suffix":""}],"container-title":"Public Administration","id":"ITEM-2","issue":"2","issued":{"date-parts":[["1998"]]},"page":"313-333","title":"The dynamics of multi-organizational partnerships: An analysis of changing modes of governance","type":"article-journal","volume":"76"},"uris":["http://www.mendeley.com/documents/?uuid=ba1d3531-b355-4cf2-b0ad-fd7d3d63bc25"]},{"id":"ITEM-3","itemData":{"DOI":"10.1016/j.healthpol.2004.12.006","ISSN":"01688510","abstract":"Within Europe, although there are numerous examples of poor co-ordination in the delivery of integrated care, many providers do co-operate. We wanted to know why providers are moved to co-operate. In terms of systematic research, this is a new field; researchers have only begun to theorise about the rationales for co-operation. Practically, the issue of achieving co-operation attracts much attention from policymakers. Understanding the reasons for co-operation is a prerequisite for developing effective policy in support of integrated care. Our aim is to explore the comparative validity of different theoretical perspectives on the reasons for co-operation, to indicate directions for further study and for policy making. We used data from three successive studies to perform pattern matching with six established theoretical perspectives: transaction costs economics, strategic choice theory, resource dependence theory, learning theory, stakeholder theory and institutional theory. Insights from the studies were compared for validating purposes (triangulation). The first study concerned the evaluation of the Dutch 'National Home Health Care Programme' according to the case study methodology. The second and third studies were surveys among project directors: questionnaires were based on the concepts derived from the first study. Researchers should combine normative institutional theory, resource dependence theory and stakeholder theory into one perspective, in order to study relationship formation in health and social care. The concept of institutions (rules) is the linchpin between the theories. Policy makers must map the institutions of stakeholders and enable integrated care policy to correspond with these institutions as much as possible. © 2004 Elsevier Ireland Ltd. All rights reserved.","author":[{"dropping-particle":"","family":"Raak","given":"Arno","non-dropping-particle":"Van","parse-names":false,"suffix":""},{"dropping-particle":"","family":"Paulus","given":"Aggie","non-dropping-particle":"","parse-names":false,"suffix":""},{"dropping-particle":"","family":"Mur-Veeman","given":"Ingrid","non-dropping-particle":"","parse-names":false,"suffix":""}],"container-title":"Health Policy","id":"ITEM-3","issue":"1","issued":{"date-parts":[["2005"]]},"page":"13-23","title":"Why do health and social care providers co-operate?","type":"article-journal","volume":"74"},"uris":["http://www.mendeley.com/documents/?uuid=8b92eb9c-439d-4a0c-bf53-381522e30bb6"]}],"mendeley":{"formattedCitation":"&lt;sup&gt;78,89,90&lt;/sup&gt;","plainTextFormattedCitation":"78,89,90","previouslyFormattedCitation":"&lt;sup&gt;78,89,90&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78,89,90</w:t>
      </w:r>
      <w:r>
        <w:rPr>
          <w:rFonts w:cstheme="minorHAnsi"/>
        </w:rPr>
        <w:fldChar w:fldCharType="end"/>
      </w:r>
      <w:r>
        <w:rPr>
          <w:rFonts w:cstheme="minorHAnsi"/>
        </w:rPr>
        <w:t>.</w:t>
      </w:r>
    </w:p>
    <w:p w14:paraId="3B78ADCD" w14:textId="5999CCBD" w:rsidR="007873A7" w:rsidRPr="007C01CB" w:rsidRDefault="007873A7" w:rsidP="00525BE0">
      <w:pPr>
        <w:spacing w:line="360" w:lineRule="auto"/>
        <w:jc w:val="both"/>
        <w:rPr>
          <w:rFonts w:cstheme="minorHAnsi"/>
        </w:rPr>
      </w:pPr>
      <w:r w:rsidRPr="007C01CB">
        <w:rPr>
          <w:rFonts w:cstheme="minorHAnsi"/>
        </w:rPr>
        <w:t xml:space="preserve">Increased participation is aligned to multi hospital arrangements that are better able to improve quality by ensuring community needs are identified, assessed and assigned priority for service with comprehensive services reaching those most in need </w:t>
      </w:r>
      <w:r w:rsidR="00F84BDF">
        <w:rPr>
          <w:rFonts w:cstheme="minorHAnsi"/>
        </w:rPr>
        <w:fldChar w:fldCharType="begin" w:fldLock="1"/>
      </w:r>
      <w:r w:rsidR="00804189">
        <w:rPr>
          <w:rFonts w:cstheme="minorHAnsi"/>
        </w:rPr>
        <w:instrText>ADDIN CSL_CITATION {"citationItems":[{"id":"ITEM-1","itemData":{"DOI":"10.1016/S0840-4704(10)60916-7","ISSN":"08404704","abstract":"The multi-hospital arrangements literature is reviewed for Canada and the United States. There is a notable lack of evaluations on the outcomes of these arrangements, especially in the Canadian context. For evaluations that do make it to the literature generalizability of conclusions is difficult because most is based on case studies and relates to “for-profit” U.S. hospitals. We are forced to conclude, however, that there is little definitive evidence that quality of care is improved by multi-hospital arrangements or to support or refute the claims of better human resources deployment. The most striking organizational benefit appears to be that institutions considering merger or other arrangements are forced into explicit considerations of their mission and goals. Many of the potential disadvantages of multi-hospital arrangements may be ameliorated with appropriate strategic planning and attention to detail during negotiation of the arrangement. As new multi-institutional arrangements may cause harm as well as reap benefits, careful evaluation is needed. Cet article fait la revue de la documentation sur les accords multi-hôpitaux au Canada et aux états-Unis. Il n'existe que peu d'information sur les évaluations de résultats de tels accords, particulièrement dans le contexte canadien. Quant aux évaluations qui ont été faites, il est difficile d'en généraliser les conclusions, car la majorité des résultats sont basés sur des études de cas et font référence à des hôpitaux à but lucratif américains. Nous sommes cependant obligés de conclure qu'll existe peu de données valables montrant que les accords multi-hôpitaux améliorent la qualité des soins, ou qui confirment ou infirment qu'ils amènent une meilleure utilisation des ressources humaines. L'avantage organisationnel le plus frappant semble être que les établissements qui étudient la possibilité d'une fusion ou d'autres accords sont forcés d'étudier à fond leur mission et leurs buts. Bon nombre des inconvénients possibles associés aux accords multi-hôpitaux peuvent être améliorés par une planification stratégique adéquate et une attention aux détails lors des négociations. Comme de nouveaux accords entre plusieurs hôpitaux peuvent être nuisibles et réduire dramatiquement les avantages, des évaluations minutieuses deviennent nécessaires. © 1995, Canadian College of Health Service Executives. All rights reserved.","author":[{"dropping-particle":"","family":"Markham","given":"Barbara","non-dropping-particle":"","parse-names":false,"suffix":""},{"dropping-particle":"","family":"Lomas","given":"Jonathan","non-dropping-particle":"","parse-names":false,"suffix":""}],"container-title":"Healthcare Management Forum","id":"ITEM-1","issue":"3","issued":{"date-parts":[["1995"]]},"page":"24-35","publisher":"Canadian College of Health Service Executives","title":"Review of the Multi-Hospital Arrangements Literature: Benefits, Disadvantages and Lessons for Implementation","type":"article-journal","volume":"8"},"uris":["http://www.mendeley.com/documents/?uuid=35376112-06cd-418a-897b-840bf101f6af"]}],"mendeley":{"formattedCitation":"&lt;sup&gt;70&lt;/sup&gt;","plainTextFormattedCitation":"70","previouslyFormattedCitation":"&lt;sup&gt;70&lt;/sup&gt;"},"properties":{"noteIndex":0},"schema":"https://github.com/citation-style-language/schema/raw/master/csl-citation.json"}</w:instrText>
      </w:r>
      <w:r w:rsidR="00F84BDF">
        <w:rPr>
          <w:rFonts w:cstheme="minorHAnsi"/>
        </w:rPr>
        <w:fldChar w:fldCharType="separate"/>
      </w:r>
      <w:r w:rsidR="00C4603E" w:rsidRPr="00C4603E">
        <w:rPr>
          <w:rFonts w:cstheme="minorHAnsi"/>
          <w:noProof/>
          <w:vertAlign w:val="superscript"/>
        </w:rPr>
        <w:t>70</w:t>
      </w:r>
      <w:r w:rsidR="00F84BDF">
        <w:rPr>
          <w:rFonts w:cstheme="minorHAnsi"/>
        </w:rPr>
        <w:fldChar w:fldCharType="end"/>
      </w:r>
      <w:r w:rsidR="00F84BDF">
        <w:rPr>
          <w:rFonts w:cstheme="minorHAnsi"/>
        </w:rPr>
        <w:t>.</w:t>
      </w:r>
      <w:r w:rsidRPr="007C01CB">
        <w:rPr>
          <w:rFonts w:cstheme="minorHAnsi"/>
        </w:rPr>
        <w:t xml:space="preserve"> Greater alignment with patients and public interests is connected to the ethos of integrated care </w:t>
      </w:r>
      <w:r w:rsidR="003D65A0">
        <w:rPr>
          <w:rFonts w:cstheme="minorHAnsi"/>
        </w:rPr>
        <w:t xml:space="preserve">in </w:t>
      </w:r>
      <w:r w:rsidRPr="007C01CB">
        <w:rPr>
          <w:rFonts w:cstheme="minorHAnsi"/>
        </w:rPr>
        <w:t>‘meeting the needs of people with chronic diseases</w:t>
      </w:r>
      <w:r>
        <w:rPr>
          <w:rFonts w:cstheme="minorHAnsi"/>
        </w:rPr>
        <w:t xml:space="preserve"> </w:t>
      </w:r>
      <w:r>
        <w:rPr>
          <w:rFonts w:cstheme="minorHAnsi"/>
        </w:rPr>
        <w:fldChar w:fldCharType="begin" w:fldLock="1"/>
      </w:r>
      <w:r w:rsidR="00804189">
        <w:rPr>
          <w:rFonts w:cstheme="minorHAnsi"/>
        </w:rPr>
        <w:instrText>ADDIN CSL_CITATION {"citationItems":[{"id":"ITEM-1","itemData":{"ISSN":"0959-8138","author":[{"dropping-particle":"","family":"Ham","given":"Chris","non-dropping-particle":"","parse-names":false,"suffix":""},{"dropping-particle":"","family":"Dixon","given":"Jennifer","non-dropping-particle":"","parse-names":false,"suffix":""},{"dropping-particle":"","family":"Chantler","given":"Cyril","non-dropping-particle":"","parse-names":false,"suffix":""}],"container-title":"Bmj","id":"ITEM-1","issued":{"date-parts":[["2011"]]},"publisher":"British Medical Journal Publishing Group","title":"Clinically integrated systems: the future of NHS reform in England?","type":"article-journal","volume":"342"},"uris":["http://www.mendeley.com/documents/?uuid=4ed11742-ac72-43f6-b577-ed3e92b2cd49"]}],"mendeley":{"formattedCitation":"&lt;sup&gt;91&lt;/sup&gt;","plainTextFormattedCitation":"91","previouslyFormattedCitation":"&lt;sup&gt;91&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91</w:t>
      </w:r>
      <w:r>
        <w:rPr>
          <w:rFonts w:cstheme="minorHAnsi"/>
        </w:rPr>
        <w:fldChar w:fldCharType="end"/>
      </w:r>
      <w:r w:rsidRPr="007C01CB">
        <w:rPr>
          <w:rFonts w:cstheme="minorHAnsi"/>
        </w:rPr>
        <w:t xml:space="preserve"> and the</w:t>
      </w:r>
      <w:r w:rsidRPr="007C01CB">
        <w:rPr>
          <w:rFonts w:eastAsia="Times New Roman" w:cstheme="minorHAnsi"/>
          <w:lang w:eastAsia="en-GB"/>
        </w:rPr>
        <w:t xml:space="preserve"> drivers for </w:t>
      </w:r>
      <w:r w:rsidRPr="007C01CB">
        <w:rPr>
          <w:rFonts w:cstheme="minorHAnsi"/>
        </w:rPr>
        <w:t xml:space="preserve">joint commissioning as a way to overcome fragmentation by achieving ‘a seamless service’ where ‘assessment of need is unhindered by organisational boundaries’ </w:t>
      </w:r>
      <w:r w:rsidR="003D65A0" w:rsidRPr="009E79A7">
        <w:rPr>
          <w:rFonts w:cstheme="minorHAnsi"/>
        </w:rPr>
        <w:t>(</w:t>
      </w:r>
      <w:r w:rsidRPr="009E79A7">
        <w:rPr>
          <w:rFonts w:eastAsia="Times New Roman" w:cstheme="minorHAnsi"/>
          <w:lang w:eastAsia="en-GB"/>
        </w:rPr>
        <w:t>Hegi</w:t>
      </w:r>
      <w:r w:rsidR="003D65A0" w:rsidRPr="009E79A7">
        <w:rPr>
          <w:rFonts w:eastAsia="Times New Roman" w:cstheme="minorHAnsi"/>
          <w:lang w:eastAsia="en-GB"/>
        </w:rPr>
        <w:t xml:space="preserve">nbotham </w:t>
      </w:r>
      <w:r w:rsidRPr="009E79A7">
        <w:rPr>
          <w:rFonts w:eastAsia="Times New Roman" w:cstheme="minorHAnsi"/>
          <w:lang w:eastAsia="en-GB"/>
        </w:rPr>
        <w:t>1994).</w:t>
      </w:r>
      <w:r w:rsidRPr="007C01CB">
        <w:rPr>
          <w:rFonts w:cstheme="minorHAnsi"/>
        </w:rPr>
        <w:t xml:space="preserve"> Reflecting on partnership working in mental health, Glasby and Lester (2004) and others identified the importance of a service with a single point of contact as beneficial for service users and their carers who can often experience fragmented services, a lack of continuity and conflicting information in situations where local agencies fail to collaborate effectively </w:t>
      </w:r>
      <w:r>
        <w:rPr>
          <w:rFonts w:cstheme="minorHAnsi"/>
        </w:rPr>
        <w:fldChar w:fldCharType="begin" w:fldLock="1"/>
      </w:r>
      <w:r w:rsidR="00804189">
        <w:rPr>
          <w:rFonts w:cstheme="minorHAnsi"/>
        </w:rPr>
        <w:instrText>ADDIN CSL_CITATION {"citationItems":[{"id":"ITEM-1","itemData":{"ISSN":"0960-1643","author":[{"dropping-particle":"","family":"Lester","given":"Helen","non-dropping-particle":"","parse-names":false,"suffix":""},{"dropping-particle":"","family":"Glasby","given":"Jon","non-dropping-particle":"","parse-names":false,"suffix":""},{"dropping-particle":"","family":"Tylee","given":"André","non-dropping-particle":"","parse-names":false,"suffix":""}],"container-title":"British Journal of General Practice","id":"ITEM-1","issue":"501","issued":{"date-parts":[["2004"]]},"page":"285-291","publisher":"British Journal of General Practice","title":"Integrated primary mental health care: threat or opportunity in the new NHS?","type":"article-journal","volume":"54"},"uris":["http://www.mendeley.com/documents/?uuid=66b19e23-d2a9-4fb9-84c3-e0e0c682582b"]},{"id":"ITEM-2","itemData":{"ISSN":"1356-1294","author":[{"dropping-particle":"","family":"Hogard","given":"Elaine","non-dropping-particle":"","parse-names":false,"suffix":""},{"dropping-particle":"","family":"Ellis","given":"Roger","non-dropping-particle":"","parse-names":false,"suffix":""}],"container-title":"Journal of evaluation in clinical practice","id":"ITEM-2","issue":"6","issued":{"date-parts":[["2010"]]},"page":"1147-1156","publisher":"Wiley Online Library","title":"An evaluation of a managed clinical network for personality disorder: breaking new ground or top dressing?","type":"article-journal","volume":"16"},"uris":["http://www.mendeley.com/documents/?uuid=7f364026-6c11-4ce2-ae5a-1409fe596f13"]}],"mendeley":{"formattedCitation":"&lt;sup&gt;92,93&lt;/sup&gt;","plainTextFormattedCitation":"92,93","previouslyFormattedCitation":"&lt;sup&gt;92,93&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92,93</w:t>
      </w:r>
      <w:r>
        <w:rPr>
          <w:rFonts w:cstheme="minorHAnsi"/>
        </w:rPr>
        <w:fldChar w:fldCharType="end"/>
      </w:r>
      <w:r w:rsidRPr="007C01CB">
        <w:rPr>
          <w:rFonts w:eastAsia="Times New Roman" w:cstheme="minorHAnsi"/>
          <w:lang w:eastAsia="en-GB"/>
        </w:rPr>
        <w:t>.</w:t>
      </w:r>
      <w:r w:rsidRPr="007C01CB">
        <w:rPr>
          <w:rFonts w:cstheme="minorHAnsi"/>
        </w:rPr>
        <w:t xml:space="preserve"> </w:t>
      </w:r>
      <w:r w:rsidRPr="007C01CB">
        <w:rPr>
          <w:rFonts w:cstheme="minorHAnsi"/>
        </w:rPr>
        <w:fldChar w:fldCharType="begin" w:fldLock="1"/>
      </w:r>
      <w:r w:rsidR="00EA4B53">
        <w:rPr>
          <w:rFonts w:cstheme="minorHAnsi"/>
        </w:rPr>
        <w:instrText>ADDIN CSL_CITATION {"citationItems":[{"id":"ITEM-1","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-1","issue":"November","issued":{"date-parts":[["2020"]]},"title":"HS &amp; DR Rapid Evaluation Centre Topic Report Early evidence of the development of primary care networks in England: a rapid evaluation study","type":"report"},"uris":["http://www.mendeley.com/documents/?uuid=d8ac51e3-1c56-426a-b71e-68e97e21b386"]}],"mendeley":{"formattedCitation":"&lt;sup&gt;37&lt;/sup&gt;","manualFormatting":"Smith et al. (2020)","plainTextFormattedCitation":"37","previouslyFormattedCitation":"&lt;sup&gt;37&lt;/sup&gt;"},"properties":{"noteIndex":0},"schema":"https://github.com/citation-style-language/schema/raw/master/csl-citation.json"}</w:instrText>
      </w:r>
      <w:r w:rsidRPr="007C01CB">
        <w:rPr>
          <w:rFonts w:cstheme="minorHAnsi"/>
        </w:rPr>
        <w:fldChar w:fldCharType="separate"/>
      </w:r>
      <w:r w:rsidRPr="007C01CB">
        <w:rPr>
          <w:rFonts w:cstheme="minorHAnsi"/>
          <w:noProof/>
        </w:rPr>
        <w:t>Smith et al. (2020)</w:t>
      </w:r>
      <w:r w:rsidRPr="007C01CB">
        <w:rPr>
          <w:rFonts w:cstheme="minorHAnsi"/>
        </w:rPr>
        <w:fldChar w:fldCharType="end"/>
      </w:r>
      <w:r w:rsidRPr="007C01CB">
        <w:rPr>
          <w:rFonts w:cstheme="minorHAnsi"/>
        </w:rPr>
        <w:t xml:space="preserve"> document how improvements to patient care and service provision featured as reasons to form collaborations in primary care. Collaborating between practices can help fill gaps in service provision where single practices are not able to provide all services, </w:t>
      </w:r>
      <w:r w:rsidR="003D65A0">
        <w:rPr>
          <w:rFonts w:cstheme="minorHAnsi"/>
        </w:rPr>
        <w:t>where patients need</w:t>
      </w:r>
      <w:r w:rsidRPr="007C01CB">
        <w:rPr>
          <w:rFonts w:cstheme="minorHAnsi"/>
        </w:rPr>
        <w:t xml:space="preserve"> better coordinated care, and </w:t>
      </w:r>
      <w:r w:rsidR="003D65A0">
        <w:rPr>
          <w:rFonts w:cstheme="minorHAnsi"/>
        </w:rPr>
        <w:t xml:space="preserve">where improved </w:t>
      </w:r>
      <w:r w:rsidRPr="007C01CB">
        <w:rPr>
          <w:rFonts w:cstheme="minorHAnsi"/>
        </w:rPr>
        <w:t>planning and providing services at a population-level</w:t>
      </w:r>
      <w:r w:rsidR="003D65A0">
        <w:rPr>
          <w:rFonts w:cstheme="minorHAnsi"/>
        </w:rPr>
        <w:t xml:space="preserve"> is needed</w:t>
      </w:r>
      <w:r w:rsidRPr="007C01CB">
        <w:rPr>
          <w:rFonts w:cstheme="minorHAnsi"/>
        </w:rPr>
        <w:t xml:space="preserve">. Hunter and Perkins’ (2012, 2014) study of local strategic partnerships (LSPs) and local area agreements (LAAs) found that providing a co-ordinated approach to tackling public health issues was a prerequisite of effectively resolving such issues </w:t>
      </w:r>
      <w:r w:rsidRPr="007C01CB">
        <w:rPr>
          <w:rFonts w:cstheme="minorHAnsi"/>
        </w:rPr>
        <w:fldChar w:fldCharType="begin" w:fldLock="1"/>
      </w:r>
      <w:r w:rsidR="00804189">
        <w:rPr>
          <w:rFonts w:cstheme="minorHAnsi"/>
        </w:rPr>
        <w:instrText>ADDIN CSL_CITATION {"citationItems":[{"id":"ITEM-1","itemData":{"DOI":"10.1258/jhsrp.2012.011127","ISSN":"13558196","abstract":"Objectives: Most of the research on partnerships has centred on health and social care, and while many of the findings remain relevant, public health partnerships concerned with 'wicked issues' give rise to a different and more complex set of issues which merit exploration. The study aimed to identify those factors promoting effective partnership working for health improvement; to assess the extent to which partnership governance and incentive arrangements were commensurate with the complexities of the problem; and to explore how far local partnerships contributed to better outcomes for individuals and populations. Methods: A three-year study of public health partnerships (2007-10) in nine localities across England involving semi-structured interviews at strategic and operational levels. Results: Successful partnerships shared a number of characteristics: they were clear about goals and purpose; they were aware of partners' roles and responsibilities; and they had a clear strategic overview of performance through robust monitoring and evaluation. In many cases, partnerships were facades with a 'silo mentality'prevailing - there was an unwillingness to share information or resources, or to accord partnership working sufficient priority or support. Despite enthusiasm for partnerships and an insistence that they were essential, it was impossible to establish evidence of their impact on health outcomes. While the focus on partnerships tends to be on structures, relational factors, including high levels of trust and goodwill, were important ingredients of a well-functioning partnership. Less formal and more organic, operational partnerships were more effective than more formal, strategic level ones which were driven by targets. Finally, partnerships were, in part, shaped by the national policy context, with constant policy and organizational churn making it difficult to sustain long-term relationships. Conclusions: Future partnerships might be undertaken differently, adopting a complex adaptive systems perspective. This advocates an approach to partnership working that is less focused on rigid structures and much more on relational factors like trust and goodwill. © The Royal Society of Medicine Press Ltd 2012.","author":[{"dropping-particle":"","family":"Hunter","given":"David","non-dropping-particle":"","parse-names":false,"suffix":""},{"dropping-particle":"","family":"Perkins","given":"Neil","non-dropping-particle":"","parse-names":false,"suffix":""}],"container-title":"Journal of Health Services Research and Policy","id":"ITEM-1","issue":"SUPPL. 2","issued":{"date-parts":[["2012"]]},"page":"45-52","title":"Partnership working in public health: The implications for governance of a systems approach","type":"article-journal","volume":"17"},"uris":["http://www.mendeley.com/documents/?uuid=fa7a49a0-3382-4076-bcbf-8eb103723054"]},{"id":"ITEM-2","itemData":{"ISSN":"1476-9018","author":[{"dropping-particle":"","family":"Perkins","given":"Neil","non-dropping-particle":"","parse-names":false,"suffix":""},{"dropping-particle":"","family":"Hunter","given":"David James","non-dropping-particle":"","parse-names":false,"suffix":""}],"container-title":"Journal of Integrated Care","id":"ITEM-2","issued":{"date-parts":[["2014"]]},"publisher":"Emerald Group Publishing Limited","title":"Health and Wellbeing Boards: a new dawn for public health partnerships?","type":"article-journal"},"uris":["http://www.mendeley.com/documents/?uuid=991e0431-9154-4b52-8d94-7559f9ec2e10"]}],"mendeley":{"formattedCitation":"&lt;sup&gt;94,95&lt;/sup&gt;","plainTextFormattedCitation":"94,95","previouslyFormattedCitation":"&lt;sup&gt;94,95&lt;/sup&gt;"},"properties":{"noteIndex":0},"schema":"https://github.com/citation-style-language/schema/raw/master/csl-citation.json"}</w:instrText>
      </w:r>
      <w:r w:rsidRPr="007C01CB">
        <w:rPr>
          <w:rFonts w:cstheme="minorHAnsi"/>
        </w:rPr>
        <w:fldChar w:fldCharType="separate"/>
      </w:r>
      <w:r w:rsidR="00C4603E" w:rsidRPr="00C4603E">
        <w:rPr>
          <w:rFonts w:cstheme="minorHAnsi"/>
          <w:noProof/>
          <w:vertAlign w:val="superscript"/>
        </w:rPr>
        <w:t>94,95</w:t>
      </w:r>
      <w:r w:rsidRPr="007C01CB">
        <w:rPr>
          <w:rFonts w:cstheme="minorHAnsi"/>
        </w:rPr>
        <w:fldChar w:fldCharType="end"/>
      </w:r>
      <w:r>
        <w:rPr>
          <w:rFonts w:cstheme="minorHAnsi"/>
        </w:rPr>
        <w:t>.</w:t>
      </w:r>
    </w:p>
    <w:p w14:paraId="1FB0726F" w14:textId="77777777" w:rsidR="007873A7" w:rsidRPr="00684CF9" w:rsidRDefault="007873A7" w:rsidP="00525BE0">
      <w:pPr>
        <w:pStyle w:val="Heading3"/>
        <w:jc w:val="both"/>
      </w:pPr>
      <w:bookmarkStart w:id="37" w:name="_Toc85066415"/>
      <w:r w:rsidRPr="00684CF9">
        <w:t>Learning</w:t>
      </w:r>
      <w:bookmarkEnd w:id="37"/>
      <w:r w:rsidRPr="00684CF9">
        <w:t xml:space="preserve"> </w:t>
      </w:r>
    </w:p>
    <w:p w14:paraId="4F22C173" w14:textId="0B772838" w:rsidR="007873A7" w:rsidRPr="007C01CB" w:rsidRDefault="007873A7" w:rsidP="00525BE0">
      <w:pPr>
        <w:autoSpaceDE w:val="0"/>
        <w:autoSpaceDN w:val="0"/>
        <w:adjustRightInd w:val="0"/>
        <w:spacing w:after="240" w:line="360" w:lineRule="auto"/>
        <w:jc w:val="both"/>
        <w:rPr>
          <w:rFonts w:cstheme="minorHAnsi"/>
        </w:rPr>
      </w:pPr>
      <w:r w:rsidRPr="007C01CB">
        <w:rPr>
          <w:rFonts w:cstheme="minorHAnsi"/>
        </w:rPr>
        <w:t xml:space="preserve">Drivers for IOCs often arise from a desire for greater organisational learning and to improve the ability of organisations to absorb knowledge from partners </w:t>
      </w:r>
      <w:r>
        <w:rPr>
          <w:rFonts w:cstheme="minorHAnsi"/>
        </w:rPr>
        <w:fldChar w:fldCharType="begin" w:fldLock="1"/>
      </w:r>
      <w:r w:rsidR="00804189">
        <w:rPr>
          <w:rFonts w:cstheme="minorHAnsi"/>
        </w:rPr>
        <w:instrText>ADDIN CSL_CITATION {"citationItems":[{"id":"ITEM-1","itemData":{"ISSN":"1476-9018","author":[{"dropping-particle":"","family":"Williams","given":"Paul","non-dropping-particle":"","parse-names":false,"suffix":""},{"dropping-particle":"","family":"Sullivan","given":"Helen","non-dropping-particle":"","parse-names":false,"suffix":""}],"container-title":"Journal of Integrated Care","id":"ITEM-1","issued":{"date-parts":[["2010"]]},"publisher":"Emerald Group Publishing Limited","title":"Despite all we know about collaborative working, why do we still get it wrong?","type":"article-journal"},"uris":["http://www.mendeley.com/documents/?uuid=d0428754-b488-404b-9172-3fb80cb4f2c8"]},{"id":"ITEM-2","itemData":{"DOI":"10.1111/1467-6486.00342","ISSN":"00222380","abstract":"Inter-organizational collaboration has been linked to a range of important outcomes for collaborating organizations. The strategy literature emphasizes the way in which collaboration between organizations results in the sharing of critical resources and facilitates knowledge transfer. The learning literature argues that collaboration not only transfers existing knowledge among organizations, but also facilitates the creation of new knowledge and produce synergistic solutions. Finally, research on networks and interorganizational politics suggests that collaboration can help organizations achieve a more central and influential position in relation to other organizations. While these effects have been identified and discussed at some length, little attention has been paid to the relationship between them and the nature of the collaborations that produce them. In this paper, we present the results of a qualitative study that examines the relationship between the effects of interorganizational collaboration and the nature of the collaborations that produce them. Based on our study of the collaborative activities of a small, nongovernmental organization (NGO) in Palestine over a four-year period, we argue that two dimensions of collaboration - embeddedness and involvement -determine the potential of a collaboration to produce one or more of these effects. © Black-well Publishing Ltd 2003.","author":[{"dropping-particle":"","family":"Hardy","given":"Cynthia","non-dropping-particle":"","parse-names":false,"suffix":""},{"dropping-particle":"","family":"Phillips","given":"Nelson","non-dropping-particle":"","parse-names":false,"suffix":""},{"dropping-particle":"","family":"Lawrence","given":"Thomas B.","non-dropping-particle":"","parse-names":false,"suffix":""}],"container-title":"Journal of Management Studies","id":"ITEM-2","issue":"2","issued":{"date-parts":[["2003"]]},"page":"321-347","title":"Resources, knowledge and influence: The organizational effects of inter-organizational collaboration","type":"article-journal","volume":"40"},"uris":["http://www.mendeley.com/documents/?uuid=31fe0f54-d411-4926-b83a-10812bff6e70"]}],"mendeley":{"formattedCitation":"&lt;sup&gt;96,97&lt;/sup&gt;","plainTextFormattedCitation":"96,97","previouslyFormattedCitation":"&lt;sup&gt;96,97&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96,97</w:t>
      </w:r>
      <w:r>
        <w:rPr>
          <w:rFonts w:cstheme="minorHAnsi"/>
        </w:rPr>
        <w:fldChar w:fldCharType="end"/>
      </w:r>
      <w:r w:rsidRPr="007C01CB">
        <w:rPr>
          <w:rFonts w:cstheme="minorHAnsi"/>
        </w:rPr>
        <w:t>. Absorptive capacity is central to such an approach as a firm’s ability to recognize the value of new knowledge, assimilate it, and apply in a business setting</w:t>
      </w:r>
      <w:r>
        <w:rPr>
          <w:rFonts w:cstheme="minorHAnsi"/>
        </w:rPr>
        <w:t xml:space="preserve"> </w:t>
      </w:r>
      <w:r>
        <w:rPr>
          <w:rFonts w:cstheme="minorHAnsi"/>
        </w:rPr>
        <w:fldChar w:fldCharType="begin" w:fldLock="1"/>
      </w:r>
      <w:r w:rsidR="00804189">
        <w:rPr>
          <w:rFonts w:cstheme="minorHAnsi"/>
        </w:rPr>
        <w:instrText>ADDIN CSL_CITATION {"citationItems":[{"id":"ITEM-1","itemData":{"ISSN":"0001-8392","author":[{"dropping-particle":"","family":"Cohen","given":"Wesley M","non-dropping-particle":"","parse-names":false,"suffix":""},{"dropping-particle":"","family":"Levinthal","given":"Daniel A","non-dropping-particle":"","parse-names":false,"suffix":""}],"container-title":"Administrative science quarterly","id":"ITEM-1","issued":{"date-parts":[["1990"]]},"page":"128-152","publisher":"JSTOR","title":"Absorptive capacity: A new perspective on learning and innovation","type":"article-journal"},"uris":["http://www.mendeley.com/documents/?uuid=d5ea1d43-9b4e-452f-8f39-b898d2ab287b"]}],"mendeley":{"formattedCitation":"&lt;sup&gt;98&lt;/sup&gt;","plainTextFormattedCitation":"98","previouslyFormattedCitation":"&lt;sup&gt;98&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98</w:t>
      </w:r>
      <w:r>
        <w:rPr>
          <w:rFonts w:cstheme="minorHAnsi"/>
        </w:rPr>
        <w:fldChar w:fldCharType="end"/>
      </w:r>
      <w:r>
        <w:rPr>
          <w:rFonts w:cstheme="minorHAnsi"/>
        </w:rPr>
        <w:t xml:space="preserve">. </w:t>
      </w:r>
      <w:r w:rsidR="00723393">
        <w:rPr>
          <w:rFonts w:cstheme="minorHAnsi"/>
        </w:rPr>
        <w:t>A rationale for IOC</w:t>
      </w:r>
      <w:r w:rsidRPr="007C01CB">
        <w:rPr>
          <w:rFonts w:cstheme="minorHAnsi"/>
        </w:rPr>
        <w:t xml:space="preserve"> formation is that firms form partnerships to capitalise on opportunities to learn or enhance their competitive position through superior knowledge</w:t>
      </w:r>
      <w:r>
        <w:rPr>
          <w:rFonts w:cstheme="minorHAnsi"/>
        </w:rPr>
        <w:t xml:space="preserve"> </w:t>
      </w:r>
      <w:r>
        <w:rPr>
          <w:rFonts w:cstheme="minorHAnsi"/>
        </w:rPr>
        <w:fldChar w:fldCharType="begin" w:fldLock="1"/>
      </w:r>
      <w:r w:rsidR="00804189">
        <w:rPr>
          <w:rFonts w:cstheme="minorHAnsi"/>
        </w:rPr>
        <w:instrText>ADDIN CSL_CITATION {"citationItems":[{"id":"ITEM-1","itemData":{"ISBN":"0198774842","author":[{"dropping-particle":"","family":"Child","given":"John","non-dropping-particle":"","parse-names":false,"suffix":""},{"dropping-particle":"","family":"Faulkner","given":"David","non-dropping-particle":"","parse-names":false,"suffix":""}],"id":"ITEM-1","issued":{"date-parts":[["1998"]]},"publisher":"Oxford University","title":"Strategies of cooperation: Managing alliances, networks, and joint ventures","type":"book"},"uris":["http://www.mendeley.com/documents/?uuid=0c0489ab-3cc5-426a-a8a8-c3a7ad947e9e"]}],"mendeley":{"formattedCitation":"&lt;sup&gt;99&lt;/sup&gt;","plainTextFormattedCitation":"99","previouslyFormattedCitation":"&lt;sup&gt;99&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99</w:t>
      </w:r>
      <w:r>
        <w:rPr>
          <w:rFonts w:cstheme="minorHAnsi"/>
        </w:rPr>
        <w:fldChar w:fldCharType="end"/>
      </w:r>
      <w:r>
        <w:rPr>
          <w:rFonts w:cstheme="minorHAnsi"/>
        </w:rPr>
        <w:t>.</w:t>
      </w:r>
      <w:r w:rsidRPr="007C01CB">
        <w:rPr>
          <w:rFonts w:cstheme="minorHAnsi"/>
        </w:rPr>
        <w:t xml:space="preserve"> </w:t>
      </w:r>
    </w:p>
    <w:p w14:paraId="03642A4E" w14:textId="033F030E" w:rsidR="007873A7" w:rsidRPr="007C01CB" w:rsidRDefault="007873A7" w:rsidP="00525BE0">
      <w:pPr>
        <w:autoSpaceDE w:val="0"/>
        <w:autoSpaceDN w:val="0"/>
        <w:adjustRightInd w:val="0"/>
        <w:spacing w:after="0" w:line="360" w:lineRule="auto"/>
        <w:jc w:val="both"/>
        <w:rPr>
          <w:rFonts w:cstheme="minorHAnsi"/>
        </w:rPr>
      </w:pPr>
      <w:r w:rsidRPr="007C01CB">
        <w:rPr>
          <w:rFonts w:cstheme="minorHAnsi"/>
        </w:rPr>
        <w:t xml:space="preserve">Within IOCs, such conditions for learning have the potential to increase capability and innovation through education and skills development </w:t>
      </w:r>
      <w:r>
        <w:rPr>
          <w:rFonts w:cstheme="minorHAnsi"/>
        </w:rPr>
        <w:fldChar w:fldCharType="begin" w:fldLock="1"/>
      </w:r>
      <w:r w:rsidR="00804189">
        <w:rPr>
          <w:rFonts w:cstheme="minorHAnsi"/>
        </w:rPr>
        <w:instrText>ADDIN CSL_CITATION {"citationItems":[{"id":"ITEM-1","itemData":{"DOI":"10.1016/S0840-4704(10)60916-7","ISSN":"08404704","abstract":"The multi-hospital arrangements literature is reviewed for Canada and the United States. There is a notable lack of evaluations on the outcomes of these arrangements, especially in the Canadian context. For evaluations that do make it to the literature generalizability of conclusions is difficult because most is based on case studies and relates to “for-profit” U.S. hospitals. We are forced to conclude, however, that there is little definitive evidence that quality of care is improved by multi-hospital arrangements or to support or refute the claims of better human resources deployment. The most striking organizational benefit appears to be that institutions considering merger or other arrangements are forced into explicit considerations of their mission and goals. Many of the potential disadvantages of multi-hospital arrangements may be ameliorated with appropriate strategic planning and attention to detail during negotiation of the arrangement. As new multi-institutional arrangements may cause harm as well as reap benefits, careful evaluation is needed. Cet article fait la revue de la documentation sur les accords multi-hôpitaux au Canada et aux états-Unis. Il n'existe que peu d'information sur les évaluations de résultats de tels accords, particulièrement dans le contexte canadien. Quant aux évaluations qui ont été faites, il est difficile d'en généraliser les conclusions, car la majorité des résultats sont basés sur des études de cas et font référence à des hôpitaux à but lucratif américains. Nous sommes cependant obligés de conclure qu'll existe peu de données valables montrant que les accords multi-hôpitaux améliorent la qualité des soins, ou qui confirment ou infirment qu'ils amènent une meilleure utilisation des ressources humaines. L'avantage organisationnel le plus frappant semble être que les établissements qui étudient la possibilité d'une fusion ou d'autres accords sont forcés d'étudier à fond leur mission et leurs buts. Bon nombre des inconvénients possibles associés aux accords multi-hôpitaux peuvent être améliorés par une planification stratégique adéquate et une attention aux détails lors des négociations. Comme de nouveaux accords entre plusieurs hôpitaux peuvent être nuisibles et réduire dramatiquement les avantages, des évaluations minutieuses deviennent nécessaires. © 1995, Canadian College of Health Service Executives. All rights reserved.","author":[{"dropping-particle":"","family":"Markham","given":"Barbara","non-dropping-particle":"","parse-names":false,"suffix":""},{"dropping-particle":"","family":"Lomas","given":"Jonathan","non-dropping-particle":"","parse-names":false,"suffix":""}],"container-title":"Healthcare Management Forum","id":"ITEM-1","issue":"3","issued":{"date-parts":[["1995"]]},"page":"24-35","publisher":"Canadian College of Health Service Executives","title":"Review of the Multi-Hospital Arrangements Literature: Benefits, Disadvantages and Lessons for Implementation","type":"article-journal","volume":"8"},"uris":["http://www.mendeley.com/documents/?uuid=35376112-06cd-418a-897b-840bf101f6af"]}],"mendeley":{"formattedCitation":"&lt;sup&gt;70&lt;/sup&gt;","plainTextFormattedCitation":"70","previouslyFormattedCitation":"&lt;sup&gt;70&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70</w:t>
      </w:r>
      <w:r>
        <w:rPr>
          <w:rFonts w:cstheme="minorHAnsi"/>
        </w:rPr>
        <w:fldChar w:fldCharType="end"/>
      </w:r>
      <w:r>
        <w:rPr>
          <w:rFonts w:cstheme="minorHAnsi"/>
        </w:rPr>
        <w:t>.</w:t>
      </w:r>
      <w:r w:rsidRPr="007C01CB">
        <w:rPr>
          <w:rFonts w:cstheme="minorHAnsi"/>
        </w:rPr>
        <w:t xml:space="preserve"> Studies of mergers of healthcare providers identified organisational learning and shared practice as stated drivers for merging </w:t>
      </w:r>
      <w:r w:rsidR="00F84BDF">
        <w:rPr>
          <w:rFonts w:cstheme="minorHAnsi"/>
        </w:rPr>
        <w:fldChar w:fldCharType="begin" w:fldLock="1"/>
      </w:r>
      <w:r w:rsidR="00804189">
        <w:rPr>
          <w:rFonts w:cstheme="minorHAnsi"/>
        </w:rPr>
        <w:instrText>ADDIN CSL_CITATION {"citationItems":[{"id":"ITEM-1","itemData":{"ISSN":"0277-9536","author":[{"dropping-particle":"","family":"Fulop","given":"Naomi","non-dropping-particle":"","parse-names":false,"suffix":""},{"dropping-particle":"","family":"Protopsaltis","given":"Gerasimos","non-dropping-particle":"","parse-names":false,"suffix":""},{"dropping-particle":"","family":"King","given":"Annette","non-dropping-particle":"","parse-names":false,"suffix":""},{"dropping-particle":"","family":"Allen","given":"Pauline","non-dropping-particle":"","parse-names":false,"suffix":""},{"dropping-particle":"","family":"Hutchings","given":"Andrew","non-dropping-particle":"","parse-names":false,"suffix":""},{"dropping-particle":"","family":"Normand","given":"Charles","non-dropping-particle":"","parse-names":false,"suffix":""}],"container-title":"Social science &amp; medicine","id":"ITEM-1","issue":"1","issued":{"date-parts":[["2005"]]},"page":"119-130","publisher":"Elsevier","title":"Changing organisations: a study of the context and processes of mergers of health care providers in England","type":"article-journal","volume":"60"},"uris":["http://www.mendeley.com/documents/?uuid=a20c8dc5-d3c6-42b1-b910-fdd8b5361c70"]}],"mendeley":{"formattedCitation":"&lt;sup&gt;86&lt;/sup&gt;","plainTextFormattedCitation":"86","previouslyFormattedCitation":"&lt;sup&gt;86&lt;/sup&gt;"},"properties":{"noteIndex":0},"schema":"https://github.com/citation-style-language/schema/raw/master/csl-citation.json"}</w:instrText>
      </w:r>
      <w:r w:rsidR="00F84BDF">
        <w:rPr>
          <w:rFonts w:cstheme="minorHAnsi"/>
        </w:rPr>
        <w:fldChar w:fldCharType="separate"/>
      </w:r>
      <w:r w:rsidR="00C4603E" w:rsidRPr="00C4603E">
        <w:rPr>
          <w:rFonts w:cstheme="minorHAnsi"/>
          <w:noProof/>
          <w:vertAlign w:val="superscript"/>
        </w:rPr>
        <w:t>86</w:t>
      </w:r>
      <w:r w:rsidR="00F84BDF">
        <w:rPr>
          <w:rFonts w:cstheme="minorHAnsi"/>
        </w:rPr>
        <w:fldChar w:fldCharType="end"/>
      </w:r>
      <w:r w:rsidR="00F84BDF">
        <w:rPr>
          <w:rFonts w:cstheme="minorHAnsi"/>
        </w:rPr>
        <w:t>.</w:t>
      </w:r>
      <w:r w:rsidRPr="007C01CB">
        <w:rPr>
          <w:rFonts w:cstheme="minorHAnsi"/>
        </w:rPr>
        <w:t xml:space="preserve"> Sharing of knowledge fosters coordination of care as best-practices become shared between organisations </w:t>
      </w:r>
      <w:r w:rsidRPr="007C01CB">
        <w:rPr>
          <w:rFonts w:cstheme="minorHAnsi"/>
        </w:rPr>
        <w:fldChar w:fldCharType="begin" w:fldLock="1"/>
      </w:r>
      <w:r w:rsidR="00804189">
        <w:rPr>
          <w:rFonts w:cstheme="minorHAnsi"/>
        </w:rPr>
        <w:instrText>ADDIN CSL_CITATION {"citationItems":[{"id":"ITEM-1","itemData":{"DOI":"10.1016/j.healthpol.2004.12.006","ISSN":"01688510","abstract":"Within Europe, although there are numerous examples of poor co-ordination in the delivery of integrated care, many providers do co-operate. We wanted to know why providers are moved to co-operate. In terms of systematic research, this is a new field; researchers have only begun to theorise about the rationales for co-operation. Practically, the issue of achieving co-operation attracts much attention from policymakers. Understanding the reasons for co-operation is a prerequisite for developing effective policy in support of integrated care. Our aim is to explore the comparative validity of different theoretical perspectives on the reasons for co-operation, to indicate directions for further study and for policy making. We used data from three successive studies to perform pattern matching with six established theoretical perspectives: transaction costs economics, strategic choice theory, resource dependence theory, learning theory, stakeholder theory and institutional theory. Insights from the studies were compared for validating purposes (triangulation). The first study concerned the evaluation of the Dutch 'National Home Health Care Programme' according to the case study methodology. The second and third studies were surveys among project directors: questionnaires were based on the concepts derived from the first study. Researchers should combine normative institutional theory, resource dependence theory and stakeholder theory into one perspective, in order to study relationship formation in health and social care. The concept of institutions (rules) is the linchpin between the theories. Policy makers must map the institutions of stakeholders and enable integrated care policy to correspond with these institutions as much as possible. © 2004 Elsevier Ireland Ltd. All rights reserved.","author":[{"dropping-particle":"","family":"Raak","given":"Arno","non-dropping-particle":"Van","parse-names":false,"suffix":""},{"dropping-particle":"","family":"Paulus","given":"Aggie","non-dropping-particle":"","parse-names":false,"suffix":""},{"dropping-particle":"","family":"Mur-Veeman","given":"Ingrid","non-dropping-particle":"","parse-names":false,"suffix":""}],"container-title":"Health Policy","id":"ITEM-1","issue":"1","issued":{"date-parts":[["2005"]]},"page":"13-23","title":"Why do health and social care providers co-operate?","type":"article-journal","volume":"74"},"uris":["http://www.mendeley.com/documents/?uuid=4790a029-4317-401a-837b-d36464a1e167","http://www.mendeley.com/documents/?uuid=8b92eb9c-439d-4a0c-bf53-381522e30bb6"]}],"mendeley":{"formattedCitation":"&lt;sup&gt;90&lt;/sup&gt;","plainTextFormattedCitation":"90","previouslyFormattedCitation":"&lt;sup&gt;90&lt;/sup&gt;"},"properties":{"noteIndex":0},"schema":"https://github.com/citation-style-language/schema/raw/master/csl-citation.json"}</w:instrText>
      </w:r>
      <w:r w:rsidRPr="007C01CB">
        <w:rPr>
          <w:rFonts w:cstheme="minorHAnsi"/>
        </w:rPr>
        <w:fldChar w:fldCharType="separate"/>
      </w:r>
      <w:r w:rsidR="00C4603E" w:rsidRPr="00C4603E">
        <w:rPr>
          <w:rFonts w:cstheme="minorHAnsi"/>
          <w:noProof/>
          <w:vertAlign w:val="superscript"/>
        </w:rPr>
        <w:t>90</w:t>
      </w:r>
      <w:r w:rsidRPr="007C01CB">
        <w:rPr>
          <w:rFonts w:cstheme="minorHAnsi"/>
        </w:rPr>
        <w:fldChar w:fldCharType="end"/>
      </w:r>
      <w:r w:rsidRPr="007C01CB">
        <w:rPr>
          <w:rFonts w:cstheme="minorHAnsi"/>
        </w:rPr>
        <w:t xml:space="preserve"> and learn from different perspectives </w:t>
      </w:r>
      <w:r>
        <w:rPr>
          <w:rFonts w:cstheme="minorHAnsi"/>
        </w:rPr>
        <w:fldChar w:fldCharType="begin" w:fldLock="1"/>
      </w:r>
      <w:r w:rsidR="00804189">
        <w:rPr>
          <w:rFonts w:cstheme="minorHAnsi"/>
        </w:rPr>
        <w:instrText>ADDIN CSL_CITATION {"citationItems":[{"id":"ITEM-1","itemData":{"ISSN":"0960-1643","author":[{"dropping-particle":"","family":"Lester","given":"Helen","non-dropping-particle":"","parse-names":false,"suffix":""},{"dropping-particle":"","family":"Glasby","given":"Jon","non-dropping-particle":"","parse-names":false,"suffix":""},{"dropping-particle":"","family":"Tylee","given":"André","non-dropping-particle":"","parse-names":false,"suffix":""}],"container-title":"British Journal of General Practice","id":"ITEM-1","issue":"501","issued":{"date-parts":[["2004"]]},"page":"285-291","publisher":"British Journal of General Practice","title":"Integrated primary mental health care: threat or opportunity in the new NHS?","type":"article-journal","volume":"54"},"uris":["http://www.mendeley.com/documents/?uuid=66b19e23-d2a9-4fb9-84c3-e0e0c682582b"]},{"id":"ITEM-2","itemData":{"DOI":"10.1111/1468-0009.12356","ISSN":"14680009","abstract":"Policy Points Accountable care organizations (ACOs) form alliances with management partners to access financial, technical, and managerial support. Alliances between ACOs and management partners are subject to destabilizing tension around decision-making authority, distribution of shared savings, and conflicting goals and values. Management partners may serve either as trainers, ultimately breaking off from the ACO, or as central drivers of the ACO. Management partner participation in ACOs is currently unregulated, and management partners may receive a significant portion (in some cases, majority) of shared savings. Context: Accountable care organizations (ACOs) are a prominent payment and delivery model. Though ACOs are often described as groups of health care providers, nearly 4 in 10 ACOs partner with a management company for services such as financial investment, contracting, data analytics, and care management, according to recent research. However, we know little about how and why these partnerships form. This article aims to understand the reasons providers seek partners, the nature of these relationships, and factors critical to the success or failure of these alliances. Methods: We used qualitative data collected longitudinally from 2012 to 2017 at 2 ACOs to understand relationships between management partners and ACO providers. The data include 115 semistructured interviews and observational data from 7 site visits. Two coders applied 48 codes to the data. We reviewed coded data for emergent themes in the context of alliance life cycle theory. Findings: Qualitative data revealed that management partners brought specific skills and services and also gave providers confidence in pursuing an ACO. Over time, tension between providers and management partners arose around decision-making authority, distribution of shared savings, and conflicting goals and values. We observed 2 outcomes of partnerships: cemented partnerships and dissolution. Key factors distinguishing alliance outcome in these 2 cases include degree of trust between organizations in the alliance; approach to conflict resolution; distribution of power in the alliance; skills and confidence acquired by the ACO over the life of the alliance; continuity of management partner delivery on promised resources; and proportion of savings going to the management partner. Conclusions: The diverging paths for ACOs with management partners suggest 2 different roles that management partners may pla…","author":[{"dropping-particle":"","family":"Murray","given":"Genevra F.","non-dropping-particle":"","parse-names":false,"suffix":""},{"dropping-particle":"","family":"D'Aunno","given":"Thomas","non-dropping-particle":"","parse-names":false,"suffix":""},{"dropping-particle":"","family":"Lewis","given":"Valerie A.","non-dropping-particle":"","parse-names":false,"suffix":""}],"container-title":"Milbank Quarterly","id":"ITEM-2","issue":"4","issued":{"date-parts":[["2018"]]},"page":"755-781","title":"Trust, Money, and Power: Life Cycle Dynamics in Alliances Between Management Partners and Accountable Care Organizations","type":"article-journal","volume":"96"},"uris":["http://www.mendeley.com/documents/?uuid=87ed0673-8dc6-4539-95b4-fffb3d412316"]},{"id":"ITEM-3","itemData":{"DOI":"10.1258/jhsrp.2012.011127","ISSN":"13558196","abstract":"Objectives: Most of the research on partnerships has centred on health and social care, and while many of the findings remain relevant, public health partnerships concerned with 'wicked issues' give rise to a different and more complex set of issues which merit exploration. The study aimed to identify those factors promoting effective partnership working for health improvement; to assess the extent to which partnership governance and incentive arrangements were commensurate with the complexities of the problem; and to explore how far local partnerships contributed to better outcomes for individuals and populations. Methods: A three-year study of public health partnerships (2007-10) in nine localities across England involving semi-structured interviews at strategic and operational levels. Results: Successful partnerships shared a number of characteristics: they were clear about goals and purpose; they were aware of partners' roles and responsibilities; and they had a clear strategic overview of performance through robust monitoring and evaluation. In many cases, partnerships were facades with a 'silo mentality'prevailing - there was an unwillingness to share information or resources, or to accord partnership working sufficient priority or support. Despite enthusiasm for partnerships and an insistence that they were essential, it was impossible to establish evidence of their impact on health outcomes. While the focus on partnerships tends to be on structures, relational factors, including high levels of trust and goodwill, were important ingredients of a well-functioning partnership. Less formal and more organic, operational partnerships were more effective than more formal, strategic level ones which were driven by targets. Finally, partnerships were, in part, shaped by the national policy context, with constant policy and organizational churn making it difficult to sustain long-term relationships. Conclusions: Future partnerships might be undertaken differently, adopting a complex adaptive systems perspective. This advocates an approach to partnership working that is less focused on rigid structures and much more on relational factors like trust and goodwill. © The Royal Society of Medicine Press Ltd 2012.","author":[{"dropping-particle":"","family":"Hunter","given":"David","non-dropping-particle":"","parse-names":false,"suffix":""},{"dropping-particle":"","family":"Perkins","given":"Neil","non-dropping-particle":"","parse-names":false,"suffix":""}],"container-title":"Journal of Health Services Research and Policy","id":"ITEM-3","issue":"SUPPL. 2","issued":{"date-parts":[["2012"]]},"page":"45-52","title":"Partnership working in public health: The implications for governance of a systems approach","type":"article-journal","volume":"17"},"uris":["http://www.mendeley.com/documents/?uuid=fa7a49a0-3382-4076-bcbf-8eb103723054"]},{"id":"ITEM-4","itemData":{"ISSN":"1476-9018","author":[{"dropping-particle":"","family":"Perkins","given":"Neil","non-dropping-particle":"","parse-names":false,"suffix":""},{"dropping-particle":"","family":"Hunter","given":"David James","non-dropping-particle":"","parse-names":false,"suffix":""}],"container-title":"Journal of Integrated Care","id":"ITEM-4","issued":{"date-parts":[["2014"]]},"publisher":"Emerald Group Publishing Limited","title":"Health and Wellbeing Boards: a new dawn for public health partnerships?","type":"article-journal"},"uris":["http://www.mendeley.com/documents/?uuid=991e0431-9154-4b52-8d94-7559f9ec2e10"]}],"mendeley":{"formattedCitation":"&lt;sup&gt;92,94,95,100&lt;/sup&gt;","plainTextFormattedCitation":"92,94,95,100","previouslyFormattedCitation":"&lt;sup&gt;92,94,95,100&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92,94,95,100</w:t>
      </w:r>
      <w:r>
        <w:rPr>
          <w:rFonts w:cstheme="minorHAnsi"/>
        </w:rPr>
        <w:fldChar w:fldCharType="end"/>
      </w:r>
      <w:r w:rsidRPr="007C01CB">
        <w:rPr>
          <w:rFonts w:cstheme="minorHAnsi"/>
        </w:rPr>
        <w:t>. Van Raak et al</w:t>
      </w:r>
      <w:r>
        <w:rPr>
          <w:rFonts w:cstheme="minorHAnsi"/>
        </w:rPr>
        <w:t>.</w:t>
      </w:r>
      <w:r w:rsidRPr="007C01CB">
        <w:rPr>
          <w:rFonts w:cstheme="minorHAnsi"/>
        </w:rPr>
        <w:t xml:space="preserve"> (2005)</w:t>
      </w:r>
      <w:r>
        <w:rPr>
          <w:rFonts w:cstheme="minorHAnsi"/>
        </w:rPr>
        <w:t>,</w:t>
      </w:r>
      <w:r w:rsidRPr="007C01CB">
        <w:rPr>
          <w:rFonts w:cstheme="minorHAnsi"/>
        </w:rPr>
        <w:t xml:space="preserve"> </w:t>
      </w:r>
      <w:r>
        <w:rPr>
          <w:rFonts w:cstheme="minorHAnsi"/>
        </w:rPr>
        <w:t>in their study of</w:t>
      </w:r>
      <w:r w:rsidRPr="007C01CB">
        <w:rPr>
          <w:rFonts w:cstheme="minorHAnsi"/>
        </w:rPr>
        <w:t xml:space="preserve"> integrated care in the Netherlands</w:t>
      </w:r>
      <w:r>
        <w:rPr>
          <w:rFonts w:cstheme="minorHAnsi"/>
        </w:rPr>
        <w:t>,</w:t>
      </w:r>
      <w:r w:rsidRPr="007C01CB">
        <w:rPr>
          <w:rFonts w:cstheme="minorHAnsi"/>
        </w:rPr>
        <w:t xml:space="preserve"> finds motivations to </w:t>
      </w:r>
      <w:r>
        <w:rPr>
          <w:rFonts w:cstheme="minorHAnsi"/>
        </w:rPr>
        <w:t>collaborate</w:t>
      </w:r>
      <w:r w:rsidRPr="007C01CB">
        <w:rPr>
          <w:rFonts w:cstheme="minorHAnsi"/>
        </w:rPr>
        <w:t xml:space="preserve"> based on opportunities for learning about other providers whom they had never encountered before, and for generating new concepts for care delivery to improve performance. </w:t>
      </w:r>
      <w:r w:rsidRPr="007C01CB">
        <w:rPr>
          <w:rFonts w:cstheme="minorHAnsi"/>
        </w:rPr>
        <w:fldChar w:fldCharType="begin" w:fldLock="1"/>
      </w:r>
      <w:r w:rsidR="00804189">
        <w:rPr>
          <w:rFonts w:cstheme="minorHAnsi"/>
        </w:rPr>
        <w:instrText>ADDIN CSL_CITATION {"citationItems":[{"id":"ITEM-1","itemData":{"DOI":"10.1016/j.healthpol.2016.11.018","ISSN":"18726054","PMID":"27986338","abstract":"Pro-competitive policy reforms have been introduced in several countries, attempting to contain increasing healthcare costs. Yet, research proves ambiguous when it comes to the effect of competition in healthcare, with a number of studies highlighting unintended and unwanted effects. We argue that current empirical work overlooks the role of inter-organizational relations as well as the interplay between policy at macro level, inter-organizational networks at meso level, and outcomes at micro level. To bridge this gap and stimulate a more detailed understanding of the effect of competition in health care, this article introduces a cross-level conceptual framework which emphasizes the intermediary role of cooperative inter-organizational relations at meso level. We discuss how patient transfers, specialist affiliations, and interlocking directorates constitute three forms of inter-organizational relations in health care which can be used within this framework. The paper concludes by deriving several propositions from the framework which can guide future research.","author":[{"dropping-particle":"","family":"Westra","given":"Daan","non-dropping-particle":"","parse-names":false,"suffix":""},{"dropping-particle":"","family":"Angeli","given":"Federica","non-dropping-particle":"","parse-names":false,"suffix":""},{"dropping-particle":"","family":"Carree","given":"Martin","non-dropping-particle":"","parse-names":false,"suffix":""},{"dropping-particle":"","family":"Ruwaard","given":"Dirk","non-dropping-particle":"","parse-names":false,"suffix":""}],"container-title":"Health Policy","id":"ITEM-1","issue":"2","issued":{"date-parts":[["2017"]]},"page":"149-157","publisher":"Elsevier Ireland Ltd","title":"Understanding competition between healthcare providers: Introducing an intermediary inter-organizational perspective","type":"article-journal","volume":"121"},"uris":["http://www.mendeley.com/documents/?uuid=99bed088-be24-4663-a98f-cf686f82ea3e"]}],"mendeley":{"formattedCitation":"&lt;sup&gt;101&lt;/sup&gt;","manualFormatting":"Westra et al. (2017)","plainTextFormattedCitation":"101","previouslyFormattedCitation":"&lt;sup&gt;101&lt;/sup&gt;"},"properties":{"noteIndex":0},"schema":"https://github.com/citation-style-language/schema/raw/master/csl-citation.json"}</w:instrText>
      </w:r>
      <w:r w:rsidRPr="007C01CB">
        <w:rPr>
          <w:rFonts w:cstheme="minorHAnsi"/>
        </w:rPr>
        <w:fldChar w:fldCharType="separate"/>
      </w:r>
      <w:r w:rsidRPr="007C01CB">
        <w:rPr>
          <w:rFonts w:cstheme="minorHAnsi"/>
          <w:noProof/>
        </w:rPr>
        <w:t>Westra et al. (2017)</w:t>
      </w:r>
      <w:r w:rsidRPr="007C01CB">
        <w:rPr>
          <w:rFonts w:cstheme="minorHAnsi"/>
        </w:rPr>
        <w:fldChar w:fldCharType="end"/>
      </w:r>
      <w:r w:rsidRPr="007C01CB">
        <w:rPr>
          <w:rFonts w:cstheme="minorHAnsi"/>
        </w:rPr>
        <w:t xml:space="preserve"> examine how in order for healthcare organisations to balance competition and cooperation in a situation of ‘coopetition’, where knowledge sharing and inter-organisational learning are considered the primary motives to cooperate with competitors. Leach et al (2019) present a case study of a buddying agreement to help teams undertake change and develop a medical pathway where ‘improved learning’ underpins the aim to promote close working partnerships, compassionate leadership and improve quality and safety</w:t>
      </w:r>
      <w:r>
        <w:rPr>
          <w:rFonts w:cstheme="minorHAnsi"/>
        </w:rPr>
        <w:t xml:space="preserve"> </w:t>
      </w:r>
      <w:r>
        <w:rPr>
          <w:rFonts w:cstheme="minorHAnsi"/>
        </w:rPr>
        <w:fldChar w:fldCharType="begin" w:fldLock="1"/>
      </w:r>
      <w:r w:rsidR="00804189">
        <w:rPr>
          <w:rFonts w:cstheme="minorHAnsi"/>
        </w:rPr>
        <w:instrText>ADDIN CSL_CITATION {"citationItems":[{"id":"ITEM-1","itemData":{"DOI":"https://dx.doi.org/10.7861/futurehosp.6-1-67","ISSN":"2514-6645","abstract":"Increased NHS regulation has identified many healthcare organisations with operational and/or financial difficulties. Although the causes are often complex, most cases are effectively managed internally with limited input from external agencies. How best to support the few organisations needing additional support has not been established. 'Buddying', in which senior clinical and managerial teams from a well performing organisation work with colleagues from an organisation in difficulty has been proposed as a potential solution. Previous reports suggest that these partnerships are generally valued by the organisation in difficulty but there is a paucity of measured operational benefit. In this article we present our experience of a 'buddying agreement' and its impact on the introduction of a new 'whole system' medical pathway (ie rotas, staffing, process) at an organisation in difficulty. We describe the process, problems, effect on operational performance, staff survey feedback six months post-implementation and the lessons learned. Factors critical to success were good communication; clear responsibilities, common values and strong governance; incorporation into an effective local improvement programme; targeting of specific issues; ability to influence people and foster relationships; adequate 'manpower' and gradual transition to local 'ownership'.","author":[{"dropping-particle":"","family":"Leach","given":"Richard","non-dropping-particle":"","parse-names":false,"suffix":""},{"dropping-particle":"","family":"Banerjee","given":"Sandip","non-dropping-particle":"","parse-names":false,"suffix":""},{"dropping-particle":"","family":"Beer","given":"Gail","non-dropping-particle":"","parse-names":false,"suffix":""},{"dropping-particle":"","family":"Tencheva","given":"Svetka","non-dropping-particle":"","parse-names":false,"suffix":""},{"dropping-particle":"","family":"Conn","given":"Deidre","non-dropping-particle":"","parse-names":false,"suffix":""},{"dropping-particle":"","family":"Waterman","given":"Ashley","non-dropping-particle":"","parse-names":false,"suffix":""},{"dropping-particle":"","family":"Parrott","given":"Jackie","non-dropping-particle":"","parse-names":false,"suffix":""},{"dropping-particle":"","family":"Gifford","given":"Julie","non-dropping-particle":"","parse-names":false,"suffix":""},{"dropping-particle":"","family":"Steddon","given":"Simon","non-dropping-particle":"","parse-names":false,"suffix":""},{"dropping-particle":"","family":"Abbs","given":"Ian","non-dropping-particle":"","parse-names":false,"suffix":""},{"dropping-particle":"","family":"Pritchard","given":"Amanda","non-dropping-particle":"","parse-names":false,"suffix":""},{"dropping-particle":"","family":"Kerr","given":"Ron","non-dropping-particle":"","parse-names":false,"suffix":""},{"dropping-particle":"","family":"Dwyer","given":"Lesley","non-dropping-particle":"","parse-names":false,"suffix":""},{"dropping-particle":"","family":"Hamilton-Fairley","given":"Diana","non-dropping-particle":"","parse-names":false,"suffix":""}],"container-title":"Future healthcare journal","id":"ITEM-1","issue":"1","issued":{"date-parts":[["2019"]]},"page":"67-75","publisher-place":"England","title":"QUALITY IMPROVEMENT: Supporting a hospital in difficulty: -experience of a '-buddying' agreement to implement a new medical pathway.","type":"article-journal","volume":"6"},"uris":["http://www.mendeley.com/documents/?uuid=104b95db-03a3-4575-80c5-934c35187a13"]}],"mendeley":{"formattedCitation":"&lt;sup&gt;102&lt;/sup&gt;","plainTextFormattedCitation":"102","previouslyFormattedCitation":"&lt;sup&gt;102&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102</w:t>
      </w:r>
      <w:r>
        <w:rPr>
          <w:rFonts w:cstheme="minorHAnsi"/>
        </w:rPr>
        <w:fldChar w:fldCharType="end"/>
      </w:r>
      <w:r>
        <w:rPr>
          <w:rFonts w:cstheme="minorHAnsi"/>
        </w:rPr>
        <w:t>.</w:t>
      </w:r>
    </w:p>
    <w:p w14:paraId="34B7976D" w14:textId="77777777" w:rsidR="007873A7" w:rsidRPr="007C01CB" w:rsidRDefault="007873A7" w:rsidP="00525BE0">
      <w:pPr>
        <w:pStyle w:val="Heading3"/>
        <w:jc w:val="both"/>
      </w:pPr>
      <w:bookmarkStart w:id="38" w:name="_Toc85066416"/>
      <w:r w:rsidRPr="007C01CB">
        <w:t>Sustenance</w:t>
      </w:r>
      <w:bookmarkEnd w:id="38"/>
      <w:r w:rsidRPr="007C01CB">
        <w:t xml:space="preserve"> </w:t>
      </w:r>
    </w:p>
    <w:p w14:paraId="02390712" w14:textId="2B02A7CD" w:rsidR="007873A7" w:rsidRPr="007C01CB" w:rsidRDefault="007873A7" w:rsidP="00525BE0">
      <w:pPr>
        <w:spacing w:line="360" w:lineRule="auto"/>
        <w:jc w:val="both"/>
        <w:rPr>
          <w:rFonts w:cstheme="minorHAnsi"/>
        </w:rPr>
      </w:pPr>
      <w:r w:rsidRPr="007C01CB">
        <w:rPr>
          <w:rFonts w:cstheme="minorHAnsi"/>
        </w:rPr>
        <w:t>Drivers for IOC resonates with the desire for sustainability and the need to fill a perceived resource need or to exert power or control over organisations that possess scarce resources. The sustainability of IOCs draws attention to systems and how organisations must engage in exchanges with their environment to obtain resources. Resource dependence theory posits that organisations require resources from their environment therefore cooperative inter-organisational relationships will be formed as a managerial response to the need for critical resources controlled by others in the environment</w:t>
      </w:r>
      <w:r>
        <w:rPr>
          <w:rFonts w:cstheme="minorHAnsi"/>
        </w:rPr>
        <w:t xml:space="preserve"> </w:t>
      </w:r>
      <w:r>
        <w:rPr>
          <w:rFonts w:cstheme="minorHAnsi"/>
        </w:rPr>
        <w:fldChar w:fldCharType="begin" w:fldLock="1"/>
      </w:r>
      <w:r w:rsidR="00804189">
        <w:rPr>
          <w:rFonts w:cstheme="minorHAnsi"/>
        </w:rPr>
        <w:instrText>ADDIN CSL_CITATION {"citationItems":[{"id":"ITEM-1","itemData":{"ISSN":"0363-7425","author":[{"dropping-particle":"","family":"Provan","given":"Keith G","non-dropping-particle":"","parse-names":false,"suffix":""}],"container-title":"Academy of management review","id":"ITEM-1","issue":"3","issued":{"date-parts":[["1984"]]},"page":"494-504","publisher":"Academy of Management Briarcliff Manor, NY 10510","title":"Interorganizational cooperation and decision making autonomy in a consortium multihospital system","type":"article-journal","volume":"9"},"uris":["http://www.mendeley.com/documents/?uuid=ed4d45da-2eae-443e-9be3-accf897f0b1a"]},{"id":"ITEM-2","itemData":{"ISSN":"0033-3352","author":[{"dropping-particle":"","family":"Malatesta","given":"Deanna","non-dropping-particle":"","parse-names":false,"suffix":""},{"dropping-particle":"","family":"Smith","given":"Craig R","non-dropping-particle":"","parse-names":false,"suffix":""}],"container-title":"Public Administration Review","id":"ITEM-2","issue":"1","issued":{"date-parts":[["2014"]]},"page":"14-25","publisher":"Wiley Online Library","title":"Lessons from resource dependence theory for contemporary public and nonprofit management","type":"article-journal","volume":"74"},"uris":["http://www.mendeley.com/documents/?uuid=fcd1a5ae-a5a1-4e5a-b6ec-56354fea68d6"]},{"id":"ITEM-3","itemData":{"DOI":"10.1016/j.healthpol.2004.12.006","ISSN":"01688510","abstract":"Within Europe, although there are numerous examples of poor co-ordination in the delivery of integrated care, many providers do co-operate. We wanted to know why providers are moved to co-operate. In terms of systematic research, this is a new field; researchers have only begun to theorise about the rationales for co-operation. Practically, the issue of achieving co-operation attracts much attention from policymakers. Understanding the reasons for co-operation is a prerequisite for developing effective policy in support of integrated care. Our aim is to explore the comparative validity of different theoretical perspectives on the reasons for co-operation, to indicate directions for further study and for policy making. We used data from three successive studies to perform pattern matching with six established theoretical perspectives: transaction costs economics, strategic choice theory, resource dependence theory, learning theory, stakeholder theory and institutional theory. Insights from the studies were compared for validating purposes (triangulation). The first study concerned the evaluation of the Dutch 'National Home Health Care Programme' according to the case study methodology. The second and third studies were surveys among project directors: questionnaires were based on the concepts derived from the first study. Researchers should combine normative institutional theory, resource dependence theory and stakeholder theory into one perspective, in order to study relationship formation in health and social care. The concept of institutions (rules) is the linchpin between the theories. Policy makers must map the institutions of stakeholders and enable integrated care policy to correspond with these institutions as much as possible. © 2004 Elsevier Ireland Ltd. All rights reserved.","author":[{"dropping-particle":"","family":"Raak","given":"Arno","non-dropping-particle":"Van","parse-names":false,"suffix":""},{"dropping-particle":"","family":"Paulus","given":"Aggie","non-dropping-particle":"","parse-names":false,"suffix":""},{"dropping-particle":"","family":"Mur-Veeman","given":"Ingrid","non-dropping-particle":"","parse-names":false,"suffix":""}],"container-title":"Health Policy","id":"ITEM-3","issue":"1","issued":{"date-parts":[["2005"]]},"page":"13-23","title":"Why do health and social care providers co-operate?","type":"article-journal","volume":"74"},"uris":["http://www.mendeley.com/documents/?uuid=8b92eb9c-439d-4a0c-bf53-381522e30bb6"]}],"mendeley":{"formattedCitation":"&lt;sup&gt;90,103,104&lt;/sup&gt;","plainTextFormattedCitation":"90,103,104","previouslyFormattedCitation":"&lt;sup&gt;90,103,104&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90,103,104</w:t>
      </w:r>
      <w:r>
        <w:rPr>
          <w:rFonts w:cstheme="minorHAnsi"/>
        </w:rPr>
        <w:fldChar w:fldCharType="end"/>
      </w:r>
      <w:r>
        <w:rPr>
          <w:rFonts w:cstheme="minorHAnsi"/>
        </w:rPr>
        <w:t>.</w:t>
      </w:r>
    </w:p>
    <w:p w14:paraId="60D0E22D" w14:textId="594012B7" w:rsidR="007873A7" w:rsidRPr="007C01CB" w:rsidRDefault="007873A7" w:rsidP="00525BE0">
      <w:pPr>
        <w:spacing w:line="360" w:lineRule="auto"/>
        <w:jc w:val="both"/>
        <w:rPr>
          <w:rFonts w:cstheme="minorHAnsi"/>
        </w:rPr>
      </w:pPr>
      <w:r w:rsidRPr="007C01CB">
        <w:rPr>
          <w:rFonts w:cstheme="minorHAnsi"/>
        </w:rPr>
        <w:t>In their review of multihospital systems in the USA, Provan (1984) document</w:t>
      </w:r>
      <w:r>
        <w:rPr>
          <w:rFonts w:cstheme="minorHAnsi"/>
        </w:rPr>
        <w:t>s</w:t>
      </w:r>
      <w:r w:rsidRPr="007C01CB">
        <w:rPr>
          <w:rFonts w:cstheme="minorHAnsi"/>
        </w:rPr>
        <w:t xml:space="preserve"> drivers to establish such forms as the need to access critical resources with Markham and Thomas (1995) not</w:t>
      </w:r>
      <w:r>
        <w:rPr>
          <w:rFonts w:cstheme="minorHAnsi"/>
        </w:rPr>
        <w:t>ing</w:t>
      </w:r>
      <w:r w:rsidRPr="007C01CB">
        <w:rPr>
          <w:rFonts w:cstheme="minorHAnsi"/>
        </w:rPr>
        <w:t xml:space="preserve"> the development of “lateral” or “service alliances”, in which similar types of organisations with similar needs and dependences come together to achieve benefits such as economies of scale, enhanced access to scarce resources, and increased collectives </w:t>
      </w:r>
      <w:r>
        <w:rPr>
          <w:rFonts w:cstheme="minorHAnsi"/>
        </w:rPr>
        <w:fldChar w:fldCharType="begin" w:fldLock="1"/>
      </w:r>
      <w:r w:rsidR="00804189">
        <w:rPr>
          <w:rFonts w:cstheme="minorHAnsi"/>
        </w:rPr>
        <w:instrText>ADDIN CSL_CITATION {"citationItems":[{"id":"ITEM-1","itemData":{"DOI":"10.1017/S1744133115000304","ISBN":"1744133115000","ISSN":"1744134X","abstract":"In many OECD countries, healthcare sectors have become increasingly concentrated as a result of mergers. However, detailed empirical insight into why healthcare providers merge is lacking. Also, we know little about the influence of national healthcare policies on mergers. We fill this gap in the literature by conducting a survey study on mergers among 848 Dutch healthcare executives, of which 35% responded (resulting in a study sample of 239 executives). A total of 65% of the respondents was involved in at least one merger between 2005 and 2012. During this period, Dutch healthcare providers faced a number of policy changes, including increasing competition, more pressure from purchasers, growing financial risks, de-institutionalisation of long-term care and decentralisation of healthcare services to municipalities. Our empirical study shows that healthcare providers predominantly merge to improve the provision of healthcare services and to strengthen their market position. Also efficiency and financial reasons are important drivers of merger activity in healthcare. We find that motives for merger are related to changes in health policies, in particular to the increasing pressure from competitors, insurers and municipalities.","author":[{"dropping-particle":"","family":"Postma","given":"Jeroen","non-dropping-particle":"","parse-names":false,"suffix":""},{"dropping-particle":"","family":"Roos","given":"Anne Fleur","non-dropping-particle":"","parse-names":false,"suffix":""}],"container-title":"Health Economics, Policy and Law","id":"ITEM-1","issue":"2","issued":{"date-parts":[["2016"]]},"page":"121-140","title":"Why healthcare providers merge","type":"article-journal","volume":"11"},"uris":["http://www.mendeley.com/documents/?uuid=ebf0ff63-88de-4b3b-8b8f-c4feed763552"]}],"mendeley":{"formattedCitation":"&lt;sup&gt;78&lt;/sup&gt;","plainTextFormattedCitation":"78","previouslyFormattedCitation":"&lt;sup&gt;78&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78</w:t>
      </w:r>
      <w:r>
        <w:rPr>
          <w:rFonts w:cstheme="minorHAnsi"/>
        </w:rPr>
        <w:fldChar w:fldCharType="end"/>
      </w:r>
      <w:r w:rsidRPr="007C01CB">
        <w:rPr>
          <w:rFonts w:cstheme="minorHAnsi"/>
        </w:rPr>
        <w:t>. Van Raak et al (2005)</w:t>
      </w:r>
      <w:r>
        <w:rPr>
          <w:rFonts w:cstheme="minorHAnsi"/>
        </w:rPr>
        <w:t xml:space="preserve"> </w:t>
      </w:r>
      <w:r w:rsidR="00723393">
        <w:rPr>
          <w:rFonts w:cstheme="minorHAnsi"/>
        </w:rPr>
        <w:t>also</w:t>
      </w:r>
      <w:r w:rsidRPr="007C01CB">
        <w:rPr>
          <w:rFonts w:cstheme="minorHAnsi"/>
        </w:rPr>
        <w:t xml:space="preserve"> </w:t>
      </w:r>
      <w:r w:rsidR="00723393">
        <w:rPr>
          <w:rFonts w:cstheme="minorHAnsi"/>
        </w:rPr>
        <w:t>capture how</w:t>
      </w:r>
      <w:r w:rsidRPr="007C01CB">
        <w:rPr>
          <w:rFonts w:cstheme="minorHAnsi"/>
        </w:rPr>
        <w:t xml:space="preserve"> access to resources was an important reason for becoming involved where participants benefited from co-operation to exert power over organisations that possessed desired means. </w:t>
      </w:r>
      <w:r w:rsidR="001F2FDE">
        <w:rPr>
          <w:rFonts w:cstheme="minorHAnsi"/>
        </w:rPr>
        <w:t>Smith et al (2020) note</w:t>
      </w:r>
      <w:r w:rsidRPr="007C01CB">
        <w:rPr>
          <w:rFonts w:cstheme="minorHAnsi"/>
        </w:rPr>
        <w:t xml:space="preserve"> how issues of sustainability, both in terms of finances and the primary care workforce, emerged as significant across their evaluation of PCNs, and were identified as key reasons to enter into collaborations in primary care. </w:t>
      </w:r>
    </w:p>
    <w:p w14:paraId="4881D1BC" w14:textId="77777777" w:rsidR="007873A7" w:rsidRPr="007C01CB" w:rsidRDefault="007873A7" w:rsidP="00525BE0">
      <w:pPr>
        <w:pStyle w:val="Heading3"/>
        <w:jc w:val="both"/>
      </w:pPr>
      <w:bookmarkStart w:id="39" w:name="_Toc85066417"/>
      <w:r w:rsidRPr="007C01CB">
        <w:t>Mimicry</w:t>
      </w:r>
      <w:bookmarkEnd w:id="39"/>
    </w:p>
    <w:p w14:paraId="3757EDAB" w14:textId="0E71C35E" w:rsidR="007873A7" w:rsidRPr="007C01CB" w:rsidRDefault="007873A7" w:rsidP="00525BE0">
      <w:pPr>
        <w:spacing w:line="360" w:lineRule="auto"/>
        <w:jc w:val="both"/>
        <w:rPr>
          <w:rFonts w:cstheme="minorHAnsi"/>
        </w:rPr>
      </w:pPr>
      <w:r w:rsidRPr="007C01CB">
        <w:rPr>
          <w:rFonts w:cstheme="minorHAnsi"/>
        </w:rPr>
        <w:t>Drivers for IOCs in healthcare draw attention to the institutional environments shaping how organisations collaborate in order to obtain legitimacy or succumb to isomorphic pressures by mimicking or copying others. Such a viewpoint aligns with</w:t>
      </w:r>
      <w:r>
        <w:rPr>
          <w:rFonts w:cstheme="minorHAnsi"/>
        </w:rPr>
        <w:t xml:space="preserve"> i</w:t>
      </w:r>
      <w:r w:rsidRPr="007C01CB">
        <w:rPr>
          <w:rFonts w:cstheme="minorHAnsi"/>
        </w:rPr>
        <w:t>nstitutional theory which posits that environment</w:t>
      </w:r>
      <w:r>
        <w:rPr>
          <w:rFonts w:cstheme="minorHAnsi"/>
        </w:rPr>
        <w:t>s impose pressures on organis</w:t>
      </w:r>
      <w:r w:rsidRPr="007C01CB">
        <w:rPr>
          <w:rFonts w:cstheme="minorHAnsi"/>
        </w:rPr>
        <w:t xml:space="preserve">ations to appear legitimate and conform to prevailing social norms </w:t>
      </w:r>
      <w:r>
        <w:rPr>
          <w:rFonts w:cstheme="minorHAnsi"/>
        </w:rPr>
        <w:fldChar w:fldCharType="begin" w:fldLock="1"/>
      </w:r>
      <w:r w:rsidR="00804189">
        <w:rPr>
          <w:rFonts w:cstheme="minorHAnsi"/>
        </w:rPr>
        <w:instrText>ADDIN CSL_CITATION {"citationItems":[{"id":"ITEM-1","itemData":{"ISSN":"0003-1224","author":[{"dropping-particle":"","family":"DiMaggio","given":"Paul J","non-dropping-particle":"","parse-names":false,"suffix":""},{"dropping-particle":"","family":"Powell","given":"Walter W","non-dropping-particle":"","parse-names":false,"suffix":""}],"container-title":"American sociological review","id":"ITEM-1","issued":{"date-parts":[["1983"]]},"page":"147-160","publisher":"JSTOR","title":"The iron cage revisited: Institutional isomorphism and collective rationality in organizational fields","type":"article-journal"},"uris":["http://www.mendeley.com/documents/?uuid=8de4046f-d9f8-4854-be5b-8cf9b724bc83"]},{"id":"ITEM-2","itemData":{"ISSN":"0149-2063","author":[{"dropping-particle":"","family":"Barringer","given":"Bruce R","non-dropping-particle":"","parse-names":false,"suffix":""},{"dropping-particle":"","family":"Harrison","given":"Jeffrey S","non-dropping-particle":"","parse-names":false,"suffix":""}],"container-title":"Journal of management","id":"ITEM-2","issue":"3","issued":{"date-parts":[["2000"]]},"page":"367-403","publisher":"Elsevier","title":"Walking a tightrope: Creating value through interorganizational relationships","type":"article-journal","volume":"26"},"uris":["http://www.mendeley.com/documents/?uuid=88defbce-1d48-44f8-8e2d-db5a906853bc"]}],"mendeley":{"formattedCitation":"&lt;sup&gt;71,105&lt;/sup&gt;","plainTextFormattedCitation":"71,105","previouslyFormattedCitation":"&lt;sup&gt;71,105&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71,105</w:t>
      </w:r>
      <w:r>
        <w:rPr>
          <w:rFonts w:cstheme="minorHAnsi"/>
        </w:rPr>
        <w:fldChar w:fldCharType="end"/>
      </w:r>
      <w:r>
        <w:rPr>
          <w:rFonts w:cstheme="minorHAnsi"/>
        </w:rPr>
        <w:t>.</w:t>
      </w:r>
      <w:r w:rsidRPr="007C01CB">
        <w:rPr>
          <w:rFonts w:cstheme="minorHAnsi"/>
        </w:rPr>
        <w:t xml:space="preserve"> Legitimacy can gain access to critical resources and expertise as well as enhancing reputation and gain visibility. </w:t>
      </w:r>
    </w:p>
    <w:p w14:paraId="434580D4" w14:textId="755B2F04" w:rsidR="007873A7" w:rsidRPr="007C01CB" w:rsidRDefault="007873A7" w:rsidP="00525BE0">
      <w:pPr>
        <w:spacing w:after="120" w:line="360" w:lineRule="auto"/>
        <w:jc w:val="both"/>
        <w:rPr>
          <w:rFonts w:cstheme="minorHAnsi"/>
        </w:rPr>
      </w:pPr>
      <w:r w:rsidRPr="007C01CB">
        <w:rPr>
          <w:rFonts w:cstheme="minorHAnsi"/>
        </w:rPr>
        <w:t xml:space="preserve">Dickinson &amp; Glasby (2010) note that through inter-organisational partnerships, smaller organisations can gain legitimacy by increasing their recognisability, image, and standing. Collaborations can also be perceived as socially desirable due to the positive outlook that </w:t>
      </w:r>
      <w:r>
        <w:rPr>
          <w:rFonts w:cstheme="minorHAnsi"/>
        </w:rPr>
        <w:t>partnership working</w:t>
      </w:r>
      <w:r w:rsidRPr="007C01CB">
        <w:rPr>
          <w:rFonts w:cstheme="minorHAnsi"/>
        </w:rPr>
        <w:t xml:space="preserve"> inspires. Field &amp; Peck (2003) outline how “the modus operandi of the perceived market leaders is likely to be copied by other organisations in the belief that this is the most effective way of operating”, with merger motives</w:t>
      </w:r>
      <w:r>
        <w:rPr>
          <w:rFonts w:cstheme="minorHAnsi"/>
        </w:rPr>
        <w:t xml:space="preserve"> connected to</w:t>
      </w:r>
      <w:r w:rsidRPr="007C01CB">
        <w:rPr>
          <w:rFonts w:cstheme="minorHAnsi"/>
        </w:rPr>
        <w:t xml:space="preserve"> examples of 'mimicking', i.e. uncritically copying business practices from the private sector </w:t>
      </w:r>
      <w:r>
        <w:rPr>
          <w:rFonts w:cstheme="minorHAnsi"/>
        </w:rPr>
        <w:fldChar w:fldCharType="begin" w:fldLock="1"/>
      </w:r>
      <w:r w:rsidR="00804189">
        <w:rPr>
          <w:rFonts w:cstheme="minorHAnsi"/>
        </w:rPr>
        <w:instrText>ADDIN CSL_CITATION {"citationItems":[{"id":"ITEM-1","itemData":{"DOI":"10.1017/S1744133115000304","ISBN":"1744133115000","ISSN":"1744134X","abstract":"In many OECD countries, healthcare sectors have become increasingly concentrated as a result of mergers. However, detailed empirical insight into why healthcare providers merge is lacking. Also, we know little about the influence of national healthcare policies on mergers. We fill this gap in the literature by conducting a survey study on mergers among 848 Dutch healthcare executives, of which 35% responded (resulting in a study sample of 239 executives). A total of 65% of the respondents was involved in at least one merger between 2005 and 2012. During this period, Dutch healthcare providers faced a number of policy changes, including increasing competition, more pressure from purchasers, growing financial risks, de-institutionalisation of long-term care and decentralisation of healthcare services to municipalities. Our empirical study shows that healthcare providers predominantly merge to improve the provision of healthcare services and to strengthen their market position. Also efficiency and financial reasons are important drivers of merger activity in healthcare. We find that motives for merger are related to changes in health policies, in particular to the increasing pressure from competitors, insurers and municipalities.","author":[{"dropping-particle":"","family":"Postma","given":"Jeroen","non-dropping-particle":"","parse-names":false,"suffix":""},{"dropping-particle":"","family":"Roos","given":"Anne Fleur","non-dropping-particle":"","parse-names":false,"suffix":""}],"container-title":"Health Economics, Policy and Law","id":"ITEM-1","issue":"2","issued":{"date-parts":[["2016"]]},"page":"121-140","title":"Why healthcare providers merge","type":"article-journal","volume":"11"},"uris":["http://www.mendeley.com/documents/?uuid=ebf0ff63-88de-4b3b-8b8f-c4feed763552"]}],"mendeley":{"formattedCitation":"&lt;sup&gt;78&lt;/sup&gt;","plainTextFormattedCitation":"78","previouslyFormattedCitation":"&lt;sup&gt;78&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78</w:t>
      </w:r>
      <w:r>
        <w:rPr>
          <w:rFonts w:cstheme="minorHAnsi"/>
        </w:rPr>
        <w:fldChar w:fldCharType="end"/>
      </w:r>
      <w:r>
        <w:rPr>
          <w:rFonts w:cstheme="minorHAnsi"/>
        </w:rPr>
        <w:t>.</w:t>
      </w:r>
      <w:r w:rsidRPr="007C01CB">
        <w:rPr>
          <w:rFonts w:cstheme="minorHAnsi"/>
        </w:rPr>
        <w:t xml:space="preserve"> In their study of joint commissioning, Dickinson and Glasby (2013) </w:t>
      </w:r>
      <w:r w:rsidR="001F2FDE">
        <w:rPr>
          <w:rFonts w:cstheme="minorHAnsi"/>
        </w:rPr>
        <w:t>document</w:t>
      </w:r>
      <w:r w:rsidRPr="007C01CB">
        <w:rPr>
          <w:rFonts w:cstheme="minorHAnsi"/>
        </w:rPr>
        <w:t xml:space="preserve"> how joint commissioning can be understood as producing efficiencies, empowerment and productivity but also with other potential meanings as inherently a “good thing”</w:t>
      </w:r>
      <w:r>
        <w:rPr>
          <w:rFonts w:cstheme="minorHAnsi"/>
        </w:rPr>
        <w:t xml:space="preserve"> </w:t>
      </w:r>
      <w:r>
        <w:rPr>
          <w:rFonts w:cstheme="minorHAnsi"/>
        </w:rPr>
        <w:fldChar w:fldCharType="begin" w:fldLock="1"/>
      </w:r>
      <w:r w:rsidR="00EA4B53">
        <w:rPr>
          <w:rFonts w:cstheme="minorHAnsi"/>
        </w:rPr>
        <w:instrText>ADDIN CSL_CITATION {"citationItems":[{"id":"ITEM-1","itemData":{"ISSN":"1476-9018","abstract":"PURPOSE: This paper reports research undertaken into the practices, processes and outcomes of joint commissioning at five English localities. This paper reflects on the implications of this study for the practice of joint commissioning. DESIGN/METHODOLOGY/APPROACH: A case study approach to the research was adopted where the assumptions about what joint commissioning should deliver in five \"best practice\" sites. These hypothesised relationships about organisational processes, services and outcomes were then tested through the collection of primary and secondary data. Methods of data collection included an online tool based on Q methodology, documentary analysis, interviews and focus groups. FINDINGS: Very little of what we found seemed to relate directly to issues of joint commissioning. Respondents often spoke of joint commissioning conflating it with issues of commissioning or joint working more generally. We found a variety of different definitions and meanings of joint commissioning in practice suggesting that this is not a coherent model but varies across localities. Little evidence of improved outcomes was found, due to practical and technical difficulties. RESEARCH LIMITATIONS/IMPLICATIONS: Joint commissioning is not a coherent model and is applied in different ways across different contexts. As such we may need to ask very different questions of joint commissioning to those typically asked. PRACTICAL IMPLICATIONS: It is important that local sites are clear about what they are trying to deliver through joint commissioning or else risk that it becomes an end in itself. Some of the current reforms taking place in health and social care risk pulling apart existing relationships that have taken significant time and resource to develop. ORIGINALITY/VALUE: This is one of the first large-scale studies of joint commissioning conducted in England. [Abstract]","author":[{"dropping-particle":"","family":"Dickinson","given":"Helen","non-dropping-particle":"","parse-names":false,"suffix":""},{"dropping-particle":"","family":"Glasby","given":"Jon","non-dropping-particle":"","parse-names":false,"suffix":""}],"container-title":"Journal of Integrated Care","id":"ITEM-1","issue":"4","issued":{"date-parts":[["2013"]]},"page":"221-232","publisher":"2013","title":"How effective is joint commissioning? A study of five English localities.","type":"article-journal","volume":"21"},"uris":["http://www.mendeley.com/documents/?uuid=6ec42eb0-70b6-40da-a4f5-9e7639723a05"]}],"mendeley":{"formattedCitation":"&lt;sup&gt;22&lt;/sup&gt;","plainTextFormattedCitation":"22","previouslyFormattedCitation":"&lt;sup&gt;22&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22</w:t>
      </w:r>
      <w:r>
        <w:rPr>
          <w:rFonts w:cstheme="minorHAnsi"/>
        </w:rPr>
        <w:fldChar w:fldCharType="end"/>
      </w:r>
      <w:r w:rsidRPr="007C01CB">
        <w:rPr>
          <w:rFonts w:cstheme="minorHAnsi"/>
        </w:rPr>
        <w:t xml:space="preserve">. Connections to institutional theory can also be found in Dickinson and Glasby’s (2010) analysis of </w:t>
      </w:r>
      <w:r w:rsidR="001F2FDE">
        <w:rPr>
          <w:rFonts w:cstheme="minorHAnsi"/>
        </w:rPr>
        <w:t>a</w:t>
      </w:r>
      <w:r w:rsidRPr="007C01CB">
        <w:rPr>
          <w:rFonts w:cstheme="minorHAnsi"/>
        </w:rPr>
        <w:t xml:space="preserve"> </w:t>
      </w:r>
      <w:r w:rsidR="001F2FDE">
        <w:rPr>
          <w:rFonts w:cstheme="minorHAnsi"/>
        </w:rPr>
        <w:t>mental health p</w:t>
      </w:r>
      <w:r w:rsidRPr="007C01CB">
        <w:rPr>
          <w:rFonts w:cstheme="minorHAnsi"/>
        </w:rPr>
        <w:t>art</w:t>
      </w:r>
      <w:r w:rsidR="001F2FDE">
        <w:rPr>
          <w:rFonts w:cstheme="minorHAnsi"/>
        </w:rPr>
        <w:t>nership</w:t>
      </w:r>
      <w:r w:rsidRPr="007C01CB">
        <w:rPr>
          <w:rFonts w:cstheme="minorHAnsi"/>
        </w:rPr>
        <w:t xml:space="preserve">. Their study found that a high number of staff members found it hard to identify what </w:t>
      </w:r>
      <w:r w:rsidR="001F2FDE">
        <w:rPr>
          <w:rFonts w:cstheme="minorHAnsi"/>
        </w:rPr>
        <w:t>the partnership</w:t>
      </w:r>
      <w:r w:rsidRPr="007C01CB">
        <w:rPr>
          <w:rFonts w:cstheme="minorHAnsi"/>
        </w:rPr>
        <w:t xml:space="preserve"> had been set up to achieve. While some previous internal policy documents set out process-based aspirations (</w:t>
      </w:r>
      <w:r w:rsidR="00F84BDF" w:rsidRPr="007C01CB">
        <w:rPr>
          <w:rFonts w:cstheme="minorHAnsi"/>
        </w:rPr>
        <w:t>e.g.,</w:t>
      </w:r>
      <w:r w:rsidRPr="007C01CB">
        <w:rPr>
          <w:rFonts w:cstheme="minorHAnsi"/>
        </w:rPr>
        <w:t xml:space="preserve"> a single point of access for service users), these were often very unspecific and often focused on processes and outputs rather than on outcomes. </w:t>
      </w:r>
    </w:p>
    <w:p w14:paraId="5C6C1856" w14:textId="77777777" w:rsidR="007873A7" w:rsidRPr="007C01CB" w:rsidRDefault="007873A7" w:rsidP="00525BE0">
      <w:pPr>
        <w:pStyle w:val="Heading3"/>
        <w:jc w:val="both"/>
      </w:pPr>
      <w:bookmarkStart w:id="40" w:name="_Toc85066418"/>
      <w:r w:rsidRPr="007C01CB">
        <w:t>Coercion</w:t>
      </w:r>
      <w:bookmarkEnd w:id="40"/>
    </w:p>
    <w:p w14:paraId="39EE747C" w14:textId="5DE0BF3A" w:rsidR="007873A7" w:rsidRPr="007C01CB" w:rsidRDefault="007873A7" w:rsidP="00525BE0">
      <w:pPr>
        <w:spacing w:line="360" w:lineRule="auto"/>
        <w:jc w:val="both"/>
        <w:rPr>
          <w:rFonts w:cstheme="minorHAnsi"/>
        </w:rPr>
      </w:pPr>
      <w:r w:rsidRPr="007C01CB">
        <w:rPr>
          <w:rFonts w:cstheme="minorHAnsi"/>
        </w:rPr>
        <w:t>Contributions draw attention to the interlinkages</w:t>
      </w:r>
      <w:r>
        <w:rPr>
          <w:rFonts w:cstheme="minorHAnsi"/>
        </w:rPr>
        <w:t xml:space="preserve"> </w:t>
      </w:r>
      <w:r w:rsidRPr="007C01CB">
        <w:rPr>
          <w:rFonts w:cstheme="minorHAnsi"/>
        </w:rPr>
        <w:t>between mimetic pressures to conform and wider institutional and systemic pressures mandating collaboration</w:t>
      </w:r>
      <w:r>
        <w:rPr>
          <w:rFonts w:cstheme="minorHAnsi"/>
        </w:rPr>
        <w:t xml:space="preserve"> </w:t>
      </w:r>
      <w:r>
        <w:rPr>
          <w:rFonts w:cstheme="minorHAnsi"/>
        </w:rPr>
        <w:fldChar w:fldCharType="begin" w:fldLock="1"/>
      </w:r>
      <w:r w:rsidR="00804189">
        <w:rPr>
          <w:rFonts w:cstheme="minorHAnsi"/>
        </w:rPr>
        <w:instrText>ADDIN CSL_CITATION {"citationItems":[{"id":"ITEM-1","itemData":{"ISSN":"0277-9536","author":[{"dropping-particle":"","family":"Fulop","given":"Naomi","non-dropping-particle":"","parse-names":false,"suffix":""},{"dropping-particle":"","family":"Protopsaltis","given":"Gerasimos","non-dropping-particle":"","parse-names":false,"suffix":""},{"dropping-particle":"","family":"King","given":"Annette","non-dropping-particle":"","parse-names":false,"suffix":""},{"dropping-particle":"","family":"Allen","given":"Pauline","non-dropping-particle":"","parse-names":false,"suffix":""},{"dropping-particle":"","family":"Hutchings","given":"Andrew","non-dropping-particle":"","parse-names":false,"suffix":""},{"dropping-particle":"","family":"Normand","given":"Charles","non-dropping-particle":"","parse-names":false,"suffix":""}],"container-title":"Social science &amp; medicine","id":"ITEM-1","issue":"1","issued":{"date-parts":[["2005"]]},"page":"119-130","publisher":"Elsevier","title":"Changing organisations: a study of the context and processes of mergers of health care providers in England","type":"article-journal","volume":"60"},"uris":["http://www.mendeley.com/documents/?uuid=a20c8dc5-d3c6-42b1-b910-fdd8b5361c70"]},{"id":"ITEM-2","itemData":{"DOI":"10.1016/j.healthpol.2004.12.006","ISSN":"01688510","abstract":"Within Europe, although there are numerous examples of poor co-ordination in the delivery of integrated care, many providers do co-operate. We wanted to know why providers are moved to co-operate. In terms of systematic research, this is a new field; researchers have only begun to theorise about the rationales for co-operation. Practically, the issue of achieving co-operation attracts much attention from policymakers. Understanding the reasons for co-operation is a prerequisite for developing effective policy in support of integrated care. Our aim is to explore the comparative validity of different theoretical perspectives on the reasons for co-operation, to indicate directions for further study and for policy making. We used data from three successive studies to perform pattern matching with six established theoretical perspectives: transaction costs economics, strategic choice theory, resource dependence theory, learning theory, stakeholder theory and institutional theory. Insights from the studies were compared for validating purposes (triangulation). The first study concerned the evaluation of the Dutch 'National Home Health Care Programme' according to the case study methodology. The second and third studies were surveys among project directors: questionnaires were based on the concepts derived from the first study. Researchers should combine normative institutional theory, resource dependence theory and stakeholder theory into one perspective, in order to study relationship formation in health and social care. The concept of institutions (rules) is the linchpin between the theories. Policy makers must map the institutions of stakeholders and enable integrated care policy to correspond with these institutions as much as possible. © 2004 Elsevier Ireland Ltd. All rights reserved.","author":[{"dropping-particle":"","family":"Raak","given":"Arno","non-dropping-particle":"Van","parse-names":false,"suffix":""},{"dropping-particle":"","family":"Paulus","given":"Aggie","non-dropping-particle":"","parse-names":false,"suffix":""},{"dropping-particle":"","family":"Mur-Veeman","given":"Ingrid","non-dropping-particle":"","parse-names":false,"suffix":""}],"container-title":"Health Policy","id":"ITEM-2","issue":"1","issued":{"date-parts":[["2005"]]},"page":"13-23","title":"Why do health and social care providers co-operate?","type":"article-journal","volume":"74"},"uris":["http://www.mendeley.com/documents/?uuid=8b92eb9c-439d-4a0c-bf53-381522e30bb6"]},{"id":"ITEM-3","itemData":{"DOI":"10.1017/S1744133115000304","ISBN":"1744133115000","ISSN":"1744134X","abstract":"In many OECD countries, healthcare sectors have become increasingly concentrated as a result of mergers. However, detailed empirical insight into why healthcare providers merge is lacking. Also, we know little about the influence of national healthcare policies on mergers. We fill this gap in the literature by conducting a survey study on mergers among 848 Dutch healthcare executives, of which 35% responded (resulting in a study sample of 239 executives). A total of 65% of the respondents was involved in at least one merger between 2005 and 2012. During this period, Dutch healthcare providers faced a number of policy changes, including increasing competition, more pressure from purchasers, growing financial risks, de-institutionalisation of long-term care and decentralisation of healthcare services to municipalities. Our empirical study shows that healthcare providers predominantly merge to improve the provision of healthcare services and to strengthen their market position. Also efficiency and financial reasons are important drivers of merger activity in healthcare. We find that motives for merger are related to changes in health policies, in particular to the increasing pressure from competitors, insurers and municipalities.","author":[{"dropping-particle":"","family":"Postma","given":"Jeroen","non-dropping-particle":"","parse-names":false,"suffix":""},{"dropping-particle":"","family":"Roos","given":"Anne Fleur","non-dropping-particle":"","parse-names":false,"suffix":""}],"container-title":"Health Economics, Policy and Law","id":"ITEM-3","issue":"2","issued":{"date-parts":[["2016"]]},"page":"121-140","title":"Why healthcare providers merge","type":"article-journal","volume":"11"},"uris":["http://www.mendeley.com/documents/?uuid=ebf0ff63-88de-4b3b-8b8f-c4feed763552"]}],"mendeley":{"formattedCitation":"&lt;sup&gt;78,86,90&lt;/sup&gt;","plainTextFormattedCitation":"78,86,90","previouslyFormattedCitation":"&lt;sup&gt;78,86,90&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78,86,90</w:t>
      </w:r>
      <w:r>
        <w:rPr>
          <w:rFonts w:cstheme="minorHAnsi"/>
        </w:rPr>
        <w:fldChar w:fldCharType="end"/>
      </w:r>
      <w:r w:rsidRPr="007C01CB">
        <w:rPr>
          <w:rFonts w:cstheme="minorHAnsi"/>
        </w:rPr>
        <w:t xml:space="preserve">. What Works Scotland (2015) note that many partnerships that claim to operate through collective governance are in reality also shaped by mandates from central government. The presence of such hierarchical mechanisms leads to less powerful partners feeling disenfranchised and lost within the partnership </w:t>
      </w:r>
      <w:r>
        <w:rPr>
          <w:rFonts w:cstheme="minorHAnsi"/>
        </w:rPr>
        <w:fldChar w:fldCharType="begin" w:fldLock="1"/>
      </w:r>
      <w:r w:rsidR="00804189">
        <w:rPr>
          <w:rFonts w:cstheme="minorHAnsi"/>
        </w:rPr>
        <w:instrText>ADDIN CSL_CITATION {"citationItems":[{"id":"ITEM-1","itemData":{"ISSN":"0300-3930","author":[{"dropping-particle":"","family":"Lamie","given":"Joan","non-dropping-particle":"","parse-names":false,"suffix":""},{"dropping-particle":"","family":"Ball","given":"Rob","non-dropping-particle":"","parse-names":false,"suffix":""}],"container-title":"Local government studies","id":"ITEM-1","issue":"1","issued":{"date-parts":[["2010"]]},"page":"109-127","publisher":"Taylor &amp; Francis","title":"Evaluation of partnership working within a community planning context","type":"article-journal","volume":"36"},"uris":["http://www.mendeley.com/documents/?uuid=d8ff101d-93e9-4c1b-b590-f8167dce0783"]}],"mendeley":{"formattedCitation":"&lt;sup&gt;106&lt;/sup&gt;","plainTextFormattedCitation":"106","previouslyFormattedCitation":"&lt;sup&gt;106&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106</w:t>
      </w:r>
      <w:r>
        <w:rPr>
          <w:rFonts w:cstheme="minorHAnsi"/>
        </w:rPr>
        <w:fldChar w:fldCharType="end"/>
      </w:r>
      <w:r w:rsidRPr="007C01CB">
        <w:rPr>
          <w:rFonts w:cstheme="minorHAnsi"/>
        </w:rPr>
        <w:t xml:space="preserve"> and in turn less likely to engage </w:t>
      </w:r>
      <w:r>
        <w:rPr>
          <w:rFonts w:cstheme="minorHAnsi"/>
        </w:rPr>
        <w:fldChar w:fldCharType="begin" w:fldLock="1"/>
      </w:r>
      <w:r w:rsidR="00804189">
        <w:rPr>
          <w:rFonts w:cstheme="minorHAnsi"/>
        </w:rPr>
        <w:instrText>ADDIN CSL_CITATION {"citationItems":[{"id":"ITEM-1","itemData":{"ISSN":"0144-5596","author":[{"dropping-particle":"","family":"McCreadie","given":"Claudine","non-dropping-particle":"","parse-names":false,"suffix":""},{"dropping-particle":"","family":"Mathew","given":"Dinah","non-dropping-particle":"","parse-names":false,"suffix":""},{"dropping-particle":"","family":"Filinson","given":"Rachel","non-dropping-particle":"","parse-names":false,"suffix":""},{"dropping-particle":"","family":"Askham","given":"Janet","non-dropping-particle":"","parse-names":false,"suffix":""}],"container-title":"Social Policy &amp; Administration","id":"ITEM-1","issue":"3","issued":{"date-parts":[["2008"]]},"page":"248-266","publisher":"Wiley Online Library","title":"Ambiguity and cooperation in the implementation of adult protection policy","type":"article-journal","volume":"42"},"uris":["http://www.mendeley.com/documents/?uuid=b978c7cc-ecc8-45ed-b9a5-834fc5317832"]}],"mendeley":{"formattedCitation":"&lt;sup&gt;107&lt;/sup&gt;","plainTextFormattedCitation":"107","previouslyFormattedCitation":"&lt;sup&gt;107&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107</w:t>
      </w:r>
      <w:r>
        <w:rPr>
          <w:rFonts w:cstheme="minorHAnsi"/>
        </w:rPr>
        <w:fldChar w:fldCharType="end"/>
      </w:r>
      <w:r>
        <w:rPr>
          <w:rFonts w:cstheme="minorHAnsi"/>
        </w:rPr>
        <w:t>.</w:t>
      </w:r>
    </w:p>
    <w:p w14:paraId="0BF77957" w14:textId="1DFD4D68" w:rsidR="007873A7" w:rsidRPr="007C01CB" w:rsidRDefault="007873A7" w:rsidP="00525BE0">
      <w:pPr>
        <w:spacing w:line="360" w:lineRule="auto"/>
        <w:jc w:val="both"/>
        <w:rPr>
          <w:rFonts w:cstheme="minorHAnsi"/>
        </w:rPr>
      </w:pPr>
      <w:r w:rsidRPr="007C01CB">
        <w:rPr>
          <w:rFonts w:cstheme="minorHAnsi"/>
        </w:rPr>
        <w:t>Fulop et al</w:t>
      </w:r>
      <w:r>
        <w:rPr>
          <w:rFonts w:cstheme="minorHAnsi"/>
        </w:rPr>
        <w:t>.</w:t>
      </w:r>
      <w:r w:rsidRPr="007C01CB">
        <w:rPr>
          <w:rFonts w:cstheme="minorHAnsi"/>
        </w:rPr>
        <w:t xml:space="preserve"> (2005) note the unstated drivers for mergers included facilitating hospital or service closures and securing financial viability of smaller organisations </w:t>
      </w:r>
      <w:r>
        <w:rPr>
          <w:rFonts w:cstheme="minorHAnsi"/>
        </w:rPr>
        <w:fldChar w:fldCharType="begin" w:fldLock="1"/>
      </w:r>
      <w:r w:rsidR="00804189">
        <w:rPr>
          <w:rFonts w:cstheme="minorHAnsi"/>
        </w:rPr>
        <w:instrText>ADDIN CSL_CITATION {"citationItems":[{"id":"ITEM-1","itemData":{"ISBN":"0959-8138","author":[{"dropping-particle":"","family":"Garside","given":"Pam","non-dropping-particle":"","parse-names":false,"suffix":""}],"id":"ITEM-1","issued":{"date-parts":[["1999"]]},"publisher":"British Medical Journal Publishing Group","title":"Evidence based mergers?: Two things are important in mergers: clear goals, clearly communicated","type":"article"},"uris":["http://www.mendeley.com/documents/?uuid=ae06cb8d-abb1-43d5-9c53-60637615f8cd"]}],"mendeley":{"formattedCitation":"&lt;sup&gt;108&lt;/sup&gt;","plainTextFormattedCitation":"108","previouslyFormattedCitation":"&lt;sup&gt;108&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108</w:t>
      </w:r>
      <w:r>
        <w:rPr>
          <w:rFonts w:cstheme="minorHAnsi"/>
        </w:rPr>
        <w:fldChar w:fldCharType="end"/>
      </w:r>
      <w:r w:rsidRPr="007C01CB">
        <w:rPr>
          <w:rFonts w:cstheme="minorHAnsi"/>
        </w:rPr>
        <w:t xml:space="preserve">. In their research, common to all mergers was the need to maintain quality and level of service in the context of external policy drivers with reconfigurations informed by pressures for improvements to services and closer co-operation with local government and partnership agencies. Dickinson and Glasby (2010) </w:t>
      </w:r>
      <w:r w:rsidR="00F84BDF">
        <w:rPr>
          <w:rFonts w:cstheme="minorHAnsi"/>
        </w:rPr>
        <w:t>also find</w:t>
      </w:r>
      <w:r w:rsidRPr="007C01CB">
        <w:rPr>
          <w:rFonts w:cstheme="minorHAnsi"/>
        </w:rPr>
        <w:t xml:space="preserve"> that while staff would normally claim that mental health partnerships were meant to provide better services for users, the bulk of the potential benefits that they cited were mainly to do with responding to national and local politics to make more efficient use of scarce organisational resources. Central government produced coercive isomorphism by both explicit techniques (</w:t>
      </w:r>
      <w:r w:rsidR="00F84BDF" w:rsidRPr="007C01CB">
        <w:rPr>
          <w:rFonts w:cstheme="minorHAnsi"/>
        </w:rPr>
        <w:t>e.g</w:t>
      </w:r>
      <w:r w:rsidR="00F84BDF">
        <w:rPr>
          <w:rFonts w:cstheme="minorHAnsi"/>
        </w:rPr>
        <w:t>.,</w:t>
      </w:r>
      <w:r w:rsidRPr="007C01CB">
        <w:rPr>
          <w:rFonts w:cstheme="minorHAnsi"/>
        </w:rPr>
        <w:t xml:space="preserve"> a legal duty for health and social care agencies to work together) a</w:t>
      </w:r>
      <w:r w:rsidR="001F2FDE">
        <w:rPr>
          <w:rFonts w:cstheme="minorHAnsi"/>
        </w:rPr>
        <w:t>nd more subtle techniques (e.g.</w:t>
      </w:r>
      <w:r w:rsidRPr="007C01CB">
        <w:rPr>
          <w:rFonts w:cstheme="minorHAnsi"/>
        </w:rPr>
        <w:t xml:space="preserve"> making partnership a necessary feature for some sources of funding). </w:t>
      </w:r>
    </w:p>
    <w:p w14:paraId="2FF6AC3D" w14:textId="027BFD0E" w:rsidR="007873A7" w:rsidRPr="007C01CB" w:rsidRDefault="007873A7" w:rsidP="00525BE0">
      <w:pPr>
        <w:spacing w:line="360" w:lineRule="auto"/>
        <w:jc w:val="both"/>
        <w:rPr>
          <w:rFonts w:cstheme="minorHAnsi"/>
        </w:rPr>
      </w:pPr>
      <w:r w:rsidRPr="007C01CB">
        <w:rPr>
          <w:rFonts w:cstheme="minorHAnsi"/>
        </w:rPr>
        <w:t>While the stated goal of primary</w:t>
      </w:r>
      <w:r w:rsidR="001F2FDE">
        <w:rPr>
          <w:rFonts w:cstheme="minorHAnsi"/>
        </w:rPr>
        <w:t xml:space="preserve"> care networks in the UK is to i</w:t>
      </w:r>
      <w:r w:rsidRPr="007C01CB">
        <w:rPr>
          <w:rFonts w:cstheme="minorHAnsi"/>
        </w:rPr>
        <w:t>mprove population health, share staff, and improve personalisation of care</w:t>
      </w:r>
      <w:r>
        <w:rPr>
          <w:rFonts w:cstheme="minorHAnsi"/>
        </w:rPr>
        <w:t xml:space="preserve"> </w:t>
      </w:r>
      <w:r>
        <w:rPr>
          <w:rFonts w:cstheme="minorHAnsi"/>
        </w:rPr>
        <w:fldChar w:fldCharType="begin" w:fldLock="1"/>
      </w:r>
      <w:r w:rsidR="00804189">
        <w:rPr>
          <w:rFonts w:cstheme="minorHAnsi"/>
        </w:rPr>
        <w:instrText>ADDIN CSL_CITATION {"citationItems":[{"id":"ITEM-1","itemData":{"ISSN":"1911615343","author":[{"dropping-particle":"","family":"Fisher","given":"Rebecca","non-dropping-particle":"","parse-names":false,"suffix":""},{"dropping-particle":"","family":"Thorlby","given":"Ruth","non-dropping-particle":"","parse-names":false,"suffix":""},{"dropping-particle":"","family":"Alderwick","given":"Hugh","non-dropping-particle":"","parse-names":false,"suffix":""}],"id":"ITEM-1","issued":{"date-parts":[["2019"]]},"publisher":"Health Foundation","title":"Understanding primary care networks","type":"article-journal"},"uris":["http://www.mendeley.com/documents/?uuid=cea2381c-ef19-4ec1-8cb8-c785ae531088"]}],"mendeley":{"formattedCitation":"&lt;sup&gt;109&lt;/sup&gt;","plainTextFormattedCitation":"109","previouslyFormattedCitation":"&lt;sup&gt;109&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109</w:t>
      </w:r>
      <w:r>
        <w:rPr>
          <w:rFonts w:cstheme="minorHAnsi"/>
        </w:rPr>
        <w:fldChar w:fldCharType="end"/>
      </w:r>
      <w:r w:rsidRPr="007C01CB">
        <w:rPr>
          <w:rFonts w:cstheme="minorHAnsi"/>
        </w:rPr>
        <w:t>, Smith et al (2020) also found that the reasons to enter PCNs appear to be more tightly focused on policy and financial incentives with practices obligated to form primary care networks and accept the financial incentives associated with networks for fear that they would be “left behind”. In their study of STPs, Sanderson et al (2020) argue that while the intention of STPs was to create conditions at a ‘system’ level for purchasers and providers to act as</w:t>
      </w:r>
      <w:r w:rsidR="001F2FDE">
        <w:rPr>
          <w:rFonts w:cstheme="minorHAnsi"/>
        </w:rPr>
        <w:t xml:space="preserve"> </w:t>
      </w:r>
      <w:r w:rsidRPr="007C01CB">
        <w:rPr>
          <w:rFonts w:cstheme="minorHAnsi"/>
        </w:rPr>
        <w:t>a self-governed common pool, local actors were not able to agree local rules citing the conflict with the continued regulatory focus on the financial sustainability of individual organisations</w:t>
      </w:r>
      <w:r>
        <w:rPr>
          <w:rFonts w:cstheme="minorHAnsi"/>
        </w:rPr>
        <w:t xml:space="preserve"> </w:t>
      </w:r>
      <w:r>
        <w:rPr>
          <w:rFonts w:cstheme="minorHAnsi"/>
        </w:rPr>
        <w:fldChar w:fldCharType="begin" w:fldLock="1"/>
      </w:r>
      <w:r w:rsidR="00EA4B53">
        <w:rPr>
          <w:rFonts w:cstheme="minorHAnsi"/>
        </w:rPr>
        <w:instrText>ADDIN CSL_CITATION {"citationItems":[{"id":"ITEM-1","itemData":{"ISSN":"0277-9536","author":[{"dropping-particle":"","family":"Sanderson","given":"Marie","non-dropping-particle":"","parse-names":false,"suffix":""},{"dropping-particle":"","family":"Allen","given":"Pauline","non-dropping-particle":"","parse-names":false,"suffix":""},{"dropping-particle":"","family":"Moran","given":"Valerie","non-dropping-particle":"","parse-names":false,"suffix":""},{"dropping-particle":"","family":"McDermott","given":"Imelda","non-dropping-particle":"","parse-names":false,"suffix":""},{"dropping-particle":"","family":"Osipovic","given":"Dorota","non-dropping-particle":"","parse-names":false,"suffix":""}],"container-title":"Social Science &amp; Medicine","id":"ITEM-1","issued":{"date-parts":[["2020"]]},"page":"112888","publisher":"Elsevier","title":"Agreeing the allocation of scarce resources in the English NHS: Ostrom, common pool resources and the role of the state","type":"article-journal","volume":"250"},"uris":["http://www.mendeley.com/documents/?uuid=2be0d508-3124-4684-bf13-c4fea1306e5c"]}],"mendeley":{"formattedCitation":"&lt;sup&gt;46&lt;/sup&gt;","plainTextFormattedCitation":"46","previouslyFormattedCitation":"&lt;sup&gt;46&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46</w:t>
      </w:r>
      <w:r>
        <w:rPr>
          <w:rFonts w:cstheme="minorHAnsi"/>
        </w:rPr>
        <w:fldChar w:fldCharType="end"/>
      </w:r>
      <w:r w:rsidRPr="007C01CB">
        <w:rPr>
          <w:rFonts w:cstheme="minorHAnsi"/>
        </w:rPr>
        <w:t xml:space="preserve">. </w:t>
      </w:r>
    </w:p>
    <w:p w14:paraId="253A6B64" w14:textId="28CA18FF" w:rsidR="007873A7" w:rsidRPr="007C01CB" w:rsidRDefault="007873A7" w:rsidP="00525BE0">
      <w:pPr>
        <w:spacing w:line="360" w:lineRule="auto"/>
        <w:jc w:val="both"/>
        <w:rPr>
          <w:rFonts w:cstheme="minorHAnsi"/>
        </w:rPr>
      </w:pPr>
      <w:r w:rsidRPr="007C01CB">
        <w:rPr>
          <w:rFonts w:cstheme="minorHAnsi"/>
        </w:rPr>
        <w:t>These various drivers draw attention to the often paradoxical and multifaceted nature of a collaborative endeavour</w:t>
      </w:r>
      <w:r>
        <w:rPr>
          <w:rFonts w:cstheme="minorHAnsi"/>
        </w:rPr>
        <w:t xml:space="preserve"> (figure 6).</w:t>
      </w:r>
      <w:r w:rsidRPr="007C01CB">
        <w:rPr>
          <w:rFonts w:cstheme="minorHAnsi"/>
        </w:rPr>
        <w:t xml:space="preserve"> They also show how individual theories and perspectives are in themselves insufficient for capturing the complexities, norms and traditions involved in relationship formation </w:t>
      </w:r>
      <w:r w:rsidRPr="007C01CB">
        <w:rPr>
          <w:rFonts w:cstheme="minorHAnsi"/>
        </w:rPr>
        <w:fldChar w:fldCharType="begin" w:fldLock="1"/>
      </w:r>
      <w:r w:rsidR="00804189">
        <w:rPr>
          <w:rFonts w:cstheme="minorHAnsi"/>
        </w:rPr>
        <w:instrText>ADDIN CSL_CITATION {"citationItems":[{"id":"ITEM-1","itemData":{"DOI":"10.1080/14719030802423103","ISSN":"14719045","abstract":"The theory-driven approach to analysing and assessing collaborative performance provides an important tool for researchers and policy-makers seeking to understand collaborative performance. It explains performance deductively, in terms of the a priori causality of relationships between variables. Different theoretical domains provide different insights into collaborative performance. The theory-driven approach to collaborative performance contrasts with the metric-driven approach. Here, performance is defined in terms of what can be measured, and causality is then inferred inductively. Five performance domains are identified, covering the democratic, integrative, transformative, policy, and sustainability dimensions of collaboration. These draw on democratic theory, exchange and power-dependency theory, institutional theory, policy network theory, and discourse theory. The analytical consequences of each theory-driven approach are examined through three case studies. The article concludes that each theoretical perspective provides a distinctive insight into collaborative performance, thus more accurately reflecting its multifaceted mature than is possible with a metric-driven approach.","author":[{"dropping-particle":"","family":"Skelcher","given":"Chris","non-dropping-particle":"","parse-names":false,"suffix":""},{"dropping-particle":"","family":"Sullivan","given":"Helen","non-dropping-particle":"","parse-names":false,"suffix":""}],"container-title":"Public Management Review","id":"ITEM-1","issue":"6","issued":{"date-parts":[["2008"]]},"page":"751-771","title":"Theory-driven approaches to analysing collaborative performance","type":"article-journal","volume":"10"},"uris":["http://www.mendeley.com/documents/?uuid=7b5a756a-aec3-4860-9416-040adc9bc1dc"]},{"id":"ITEM-2","itemData":{"ISSN":"0149-2063","author":[{"dropping-particle":"","family":"Barringer","given":"Bruce R","non-dropping-particle":"","parse-names":false,"suffix":""},{"dropping-particle":"","family":"Harrison","given":"Jeffrey S","non-dropping-particle":"","parse-names":false,"suffix":""}],"container-title":"Journal of management","id":"ITEM-2","issue":"3","issued":{"date-parts":[["2000"]]},"page":"367-403","publisher":"Elsevier","title":"Walking a tightrope: Creating value through interorganizational relationships","type":"article-journal","volume":"26"},"uris":["http://www.mendeley.com/documents/?uuid=88defbce-1d48-44f8-8e2d-db5a906853bc"]}],"mendeley":{"formattedCitation":"&lt;sup&gt;63,71&lt;/sup&gt;","plainTextFormattedCitation":"63,71","previouslyFormattedCitation":"&lt;sup&gt;63,71&lt;/sup&gt;"},"properties":{"noteIndex":0},"schema":"https://github.com/citation-style-language/schema/raw/master/csl-citation.json"}</w:instrText>
      </w:r>
      <w:r w:rsidRPr="007C01CB">
        <w:rPr>
          <w:rFonts w:cstheme="minorHAnsi"/>
        </w:rPr>
        <w:fldChar w:fldCharType="separate"/>
      </w:r>
      <w:r w:rsidR="00C4603E" w:rsidRPr="00C4603E">
        <w:rPr>
          <w:rFonts w:cstheme="minorHAnsi"/>
          <w:noProof/>
          <w:vertAlign w:val="superscript"/>
        </w:rPr>
        <w:t>63,71</w:t>
      </w:r>
      <w:r w:rsidRPr="007C01CB">
        <w:rPr>
          <w:rFonts w:cstheme="minorHAnsi"/>
        </w:rPr>
        <w:fldChar w:fldCharType="end"/>
      </w:r>
      <w:r w:rsidRPr="007C01CB">
        <w:rPr>
          <w:rFonts w:cstheme="minorHAnsi"/>
        </w:rPr>
        <w:t xml:space="preserve">. </w:t>
      </w:r>
    </w:p>
    <w:bookmarkStart w:id="41" w:name="_Toc84596639"/>
    <w:bookmarkStart w:id="42" w:name="_Toc84761221"/>
    <w:bookmarkStart w:id="43" w:name="_Toc84791779"/>
    <w:bookmarkStart w:id="44" w:name="_Toc84798417"/>
    <w:bookmarkStart w:id="45" w:name="_Toc84888098"/>
    <w:bookmarkStart w:id="46" w:name="_Toc85060197"/>
    <w:bookmarkStart w:id="47" w:name="_Toc85066419"/>
    <w:p w14:paraId="4D369CE4" w14:textId="77777777" w:rsidR="007873A7" w:rsidRPr="007C01CB" w:rsidRDefault="007873A7" w:rsidP="00525BE0">
      <w:pPr>
        <w:keepNext/>
        <w:keepLines/>
        <w:spacing w:before="40" w:after="0" w:line="360" w:lineRule="auto"/>
        <w:jc w:val="both"/>
        <w:outlineLvl w:val="2"/>
        <w:rPr>
          <w:rFonts w:cstheme="minorHAnsi"/>
        </w:rPr>
      </w:pPr>
      <w:r>
        <w:rPr>
          <w:noProof/>
          <w:lang w:eastAsia="en-GB"/>
        </w:rPr>
        <mc:AlternateContent>
          <mc:Choice Requires="wps">
            <w:drawing>
              <wp:anchor distT="0" distB="0" distL="114300" distR="114300" simplePos="0" relativeHeight="251672576" behindDoc="0" locked="0" layoutInCell="1" allowOverlap="1" wp14:anchorId="6CCCD37A" wp14:editId="08D9EF74">
                <wp:simplePos x="0" y="0"/>
                <wp:positionH relativeFrom="column">
                  <wp:posOffset>-558800</wp:posOffset>
                </wp:positionH>
                <wp:positionV relativeFrom="paragraph">
                  <wp:posOffset>2773680</wp:posOffset>
                </wp:positionV>
                <wp:extent cx="7011670" cy="635"/>
                <wp:effectExtent l="0" t="0" r="0" b="12065"/>
                <wp:wrapNone/>
                <wp:docPr id="19" name="Text Box 19"/>
                <wp:cNvGraphicFramePr/>
                <a:graphic xmlns:a="http://schemas.openxmlformats.org/drawingml/2006/main">
                  <a:graphicData uri="http://schemas.microsoft.com/office/word/2010/wordprocessingShape">
                    <wps:wsp>
                      <wps:cNvSpPr txBox="1"/>
                      <wps:spPr>
                        <a:xfrm>
                          <a:off x="0" y="0"/>
                          <a:ext cx="7011670" cy="635"/>
                        </a:xfrm>
                        <a:prstGeom prst="rect">
                          <a:avLst/>
                        </a:prstGeom>
                        <a:solidFill>
                          <a:prstClr val="white"/>
                        </a:solidFill>
                        <a:ln>
                          <a:noFill/>
                        </a:ln>
                      </wps:spPr>
                      <wps:txbx>
                        <w:txbxContent>
                          <w:p w14:paraId="38C5D10D" w14:textId="181F6C41" w:rsidR="00CA6096" w:rsidRPr="009039DF" w:rsidRDefault="00CA6096" w:rsidP="007873A7">
                            <w:pPr>
                              <w:pStyle w:val="Caption"/>
                              <w:rPr>
                                <w:rFonts w:cstheme="minorHAnsi"/>
                                <w:noProof/>
                                <w:sz w:val="22"/>
                                <w:szCs w:val="22"/>
                              </w:rPr>
                            </w:pPr>
                            <w:bookmarkStart w:id="48" w:name="_Toc106181611"/>
                            <w:r>
                              <w:t xml:space="preserve">Figure </w:t>
                            </w:r>
                            <w:fldSimple w:instr=" SEQ Figure \* ARABIC ">
                              <w:r>
                                <w:rPr>
                                  <w:noProof/>
                                </w:rPr>
                                <w:t>6</w:t>
                              </w:r>
                            </w:fldSimple>
                            <w:r>
                              <w:t>. Depicting the drivers for inter-organisational collaboration</w:t>
                            </w:r>
                            <w:bookmarkEnd w:id="48"/>
                            <w:r>
                              <w:rPr>
                                <w:noProof/>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6CCCD37A" id="_x0000_t202" coordsize="21600,21600" o:spt="202" path="m,l,21600r21600,l21600,xe">
                <v:stroke joinstyle="miter"/>
                <v:path gradientshapeok="t" o:connecttype="rect"/>
              </v:shapetype>
              <v:shape id="Text Box 19" o:spid="_x0000_s1026" type="#_x0000_t202" style="position:absolute;left:0;text-align:left;margin-left:-44pt;margin-top:218.4pt;width:552.1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" stroked="f">
                <v:textbox style="mso-fit-shape-to-text:t" inset="0,0,0,0">
                  <w:txbxContent>
                    <w:p w14:paraId="38C5D10D" w14:textId="181F6C41" w:rsidR="00CA6096" w:rsidRPr="009039DF" w:rsidRDefault="00CA6096" w:rsidP="007873A7">
                      <w:pPr>
                        <w:pStyle w:val="Caption"/>
                        <w:rPr>
                          <w:rFonts w:cstheme="minorHAnsi"/>
                          <w:noProof/>
                          <w:sz w:val="22"/>
                          <w:szCs w:val="22"/>
                        </w:rPr>
                      </w:pPr>
                      <w:bookmarkStart w:id="558" w:name="_Toc106181611"/>
                      <w:r>
                        <w:t xml:space="preserve">Figure </w:t>
                      </w:r>
                      <w:fldSimple w:instr=" SEQ Figure \* ARABIC ">
                        <w:r>
                          <w:rPr>
                            <w:noProof/>
                          </w:rPr>
                          <w:t>6</w:t>
                        </w:r>
                      </w:fldSimple>
                      <w:r>
                        <w:t>. Depicting the drivers for inter-organisational collaboration</w:t>
                      </w:r>
                      <w:bookmarkEnd w:id="558"/>
                      <w:r>
                        <w:rPr>
                          <w:noProof/>
                        </w:rPr>
                        <w:t xml:space="preserve"> </w:t>
                      </w:r>
                    </w:p>
                  </w:txbxContent>
                </v:textbox>
              </v:shape>
            </w:pict>
          </mc:Fallback>
        </mc:AlternateContent>
      </w:r>
      <w:r w:rsidRPr="007C01CB">
        <w:rPr>
          <w:rFonts w:cstheme="minorHAnsi"/>
          <w:noProof/>
          <w:lang w:eastAsia="en-GB"/>
        </w:rPr>
        <mc:AlternateContent>
          <mc:Choice Requires="wps">
            <w:drawing>
              <wp:anchor distT="0" distB="0" distL="114300" distR="114300" simplePos="0" relativeHeight="251667456" behindDoc="0" locked="0" layoutInCell="1" allowOverlap="1" wp14:anchorId="2BC3D9A2" wp14:editId="1380E0F0">
                <wp:simplePos x="0" y="0"/>
                <wp:positionH relativeFrom="column">
                  <wp:posOffset>-558800</wp:posOffset>
                </wp:positionH>
                <wp:positionV relativeFrom="paragraph">
                  <wp:posOffset>303530</wp:posOffset>
                </wp:positionV>
                <wp:extent cx="7011670" cy="2413000"/>
                <wp:effectExtent l="0" t="0" r="17780" b="25400"/>
                <wp:wrapNone/>
                <wp:docPr id="2" name="Oval 4"/>
                <wp:cNvGraphicFramePr/>
                <a:graphic xmlns:a="http://schemas.openxmlformats.org/drawingml/2006/main">
                  <a:graphicData uri="http://schemas.microsoft.com/office/word/2010/wordprocessingShape">
                    <wps:wsp>
                      <wps:cNvSpPr/>
                      <wps:spPr>
                        <a:xfrm>
                          <a:off x="0" y="0"/>
                          <a:ext cx="7011670" cy="2413000"/>
                        </a:xfrm>
                        <a:prstGeom prst="ellipse">
                          <a:avLst/>
                        </a:prstGeom>
                        <a:solidFill>
                          <a:sysClr val="window" lastClr="FFFFFF"/>
                        </a:solidFill>
                        <a:ln w="635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w:pict>
              <v:oval w14:anchorId="0B925958" id="Oval 4" o:spid="_x0000_s1026" style="position:absolute;margin-left:-44pt;margin-top:23.9pt;width:552.1pt;height:190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" fillcolor="window" strokecolor="#5b9bd5" strokeweight=".5pt">
                <v:stroke joinstyle="miter"/>
              </v:oval>
            </w:pict>
          </mc:Fallback>
        </mc:AlternateContent>
      </w:r>
      <w:bookmarkEnd w:id="41"/>
      <w:bookmarkEnd w:id="42"/>
      <w:bookmarkEnd w:id="43"/>
      <w:bookmarkEnd w:id="44"/>
      <w:bookmarkEnd w:id="45"/>
      <w:bookmarkEnd w:id="46"/>
      <w:bookmarkEnd w:id="47"/>
    </w:p>
    <w:p w14:paraId="432DAE32" w14:textId="77777777" w:rsidR="007873A7" w:rsidRPr="007C01CB" w:rsidRDefault="007873A7" w:rsidP="00525BE0">
      <w:pPr>
        <w:keepNext/>
        <w:keepLines/>
        <w:spacing w:before="40" w:after="0" w:line="360" w:lineRule="auto"/>
        <w:jc w:val="both"/>
        <w:outlineLvl w:val="2"/>
        <w:rPr>
          <w:rFonts w:cstheme="minorHAnsi"/>
        </w:rPr>
      </w:pPr>
    </w:p>
    <w:p w14:paraId="4A80860F" w14:textId="77777777" w:rsidR="007873A7" w:rsidRPr="007C01CB" w:rsidRDefault="007873A7" w:rsidP="00525BE0">
      <w:pPr>
        <w:keepNext/>
        <w:keepLines/>
        <w:spacing w:before="40" w:after="0" w:line="360" w:lineRule="auto"/>
        <w:jc w:val="both"/>
        <w:outlineLvl w:val="2"/>
        <w:rPr>
          <w:rFonts w:cstheme="minorHAnsi"/>
        </w:rPr>
      </w:pPr>
      <w:bookmarkStart w:id="49" w:name="_Toc84596640"/>
      <w:bookmarkStart w:id="50" w:name="_Toc84761222"/>
      <w:bookmarkStart w:id="51" w:name="_Toc84791780"/>
      <w:bookmarkStart w:id="52" w:name="_Toc84798418"/>
      <w:bookmarkStart w:id="53" w:name="_Toc84888099"/>
      <w:bookmarkStart w:id="54" w:name="_Toc85060198"/>
      <w:bookmarkStart w:id="55" w:name="_Toc85066420"/>
      <w:r w:rsidRPr="007C01CB">
        <w:rPr>
          <w:rFonts w:cstheme="minorHAnsi"/>
          <w:noProof/>
          <w:lang w:eastAsia="en-GB"/>
        </w:rPr>
        <w:drawing>
          <wp:anchor distT="0" distB="0" distL="114300" distR="114300" simplePos="0" relativeHeight="251668480" behindDoc="0" locked="0" layoutInCell="1" allowOverlap="1" wp14:anchorId="52421CCC" wp14:editId="4D578E22">
            <wp:simplePos x="0" y="0"/>
            <wp:positionH relativeFrom="margin">
              <wp:posOffset>317500</wp:posOffset>
            </wp:positionH>
            <wp:positionV relativeFrom="paragraph">
              <wp:posOffset>31750</wp:posOffset>
            </wp:positionV>
            <wp:extent cx="5382260" cy="1294765"/>
            <wp:effectExtent l="0" t="0" r="8890" b="0"/>
            <wp:wrapNone/>
            <wp:docPr id="7"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Diagram&#10;&#10;Description automatically generated"/>
                    <pic:cNvPicPr>
                      <a:picLocks noChangeAspect="1"/>
                    </pic:cNvPicPr>
                  </pic:nvPicPr>
                  <pic:blipFill>
                    <a:blip r:embed="rId16"/>
                    <a:stretch>
                      <a:fillRect/>
                    </a:stretch>
                  </pic:blipFill>
                  <pic:spPr>
                    <a:xfrm>
                      <a:off x="0" y="0"/>
                      <a:ext cx="5382260" cy="1294765"/>
                    </a:xfrm>
                    <a:prstGeom prst="rect">
                      <a:avLst/>
                    </a:prstGeom>
                  </pic:spPr>
                </pic:pic>
              </a:graphicData>
            </a:graphic>
            <wp14:sizeRelH relativeFrom="margin">
              <wp14:pctWidth>0</wp14:pctWidth>
            </wp14:sizeRelH>
          </wp:anchor>
        </w:drawing>
      </w:r>
      <w:bookmarkEnd w:id="49"/>
      <w:bookmarkEnd w:id="50"/>
      <w:bookmarkEnd w:id="51"/>
      <w:bookmarkEnd w:id="52"/>
      <w:bookmarkEnd w:id="53"/>
      <w:bookmarkEnd w:id="54"/>
      <w:bookmarkEnd w:id="55"/>
    </w:p>
    <w:p w14:paraId="3FA3DBBE" w14:textId="77777777" w:rsidR="007873A7" w:rsidRPr="007C01CB" w:rsidRDefault="007873A7" w:rsidP="00525BE0">
      <w:pPr>
        <w:keepNext/>
        <w:keepLines/>
        <w:spacing w:before="40" w:after="0" w:line="360" w:lineRule="auto"/>
        <w:jc w:val="both"/>
        <w:outlineLvl w:val="2"/>
        <w:rPr>
          <w:rFonts w:cstheme="minorHAnsi"/>
        </w:rPr>
      </w:pPr>
    </w:p>
    <w:p w14:paraId="0C31F041" w14:textId="77777777" w:rsidR="007873A7" w:rsidRPr="007C01CB" w:rsidRDefault="007873A7" w:rsidP="00525BE0">
      <w:pPr>
        <w:keepNext/>
        <w:keepLines/>
        <w:spacing w:before="40" w:after="0" w:line="360" w:lineRule="auto"/>
        <w:jc w:val="both"/>
        <w:outlineLvl w:val="2"/>
        <w:rPr>
          <w:rFonts w:cstheme="minorHAnsi"/>
        </w:rPr>
      </w:pPr>
    </w:p>
    <w:p w14:paraId="72DA9420" w14:textId="77777777" w:rsidR="007873A7" w:rsidRPr="007C01CB" w:rsidRDefault="007873A7" w:rsidP="00525BE0">
      <w:pPr>
        <w:keepNext/>
        <w:keepLines/>
        <w:spacing w:before="40" w:after="0" w:line="360" w:lineRule="auto"/>
        <w:jc w:val="both"/>
        <w:outlineLvl w:val="2"/>
        <w:rPr>
          <w:rFonts w:cstheme="minorHAnsi"/>
        </w:rPr>
      </w:pPr>
    </w:p>
    <w:p w14:paraId="46717767" w14:textId="77777777" w:rsidR="007873A7" w:rsidRPr="007C01CB" w:rsidRDefault="007873A7" w:rsidP="00525BE0">
      <w:pPr>
        <w:keepNext/>
        <w:keepLines/>
        <w:spacing w:before="40" w:after="0" w:line="360" w:lineRule="auto"/>
        <w:jc w:val="both"/>
        <w:outlineLvl w:val="2"/>
        <w:rPr>
          <w:rFonts w:cstheme="minorHAnsi"/>
        </w:rPr>
      </w:pPr>
    </w:p>
    <w:bookmarkStart w:id="56" w:name="_Toc84596641"/>
    <w:bookmarkStart w:id="57" w:name="_Toc84761223"/>
    <w:bookmarkStart w:id="58" w:name="_Toc84791781"/>
    <w:bookmarkStart w:id="59" w:name="_Toc84798419"/>
    <w:bookmarkStart w:id="60" w:name="_Toc84888100"/>
    <w:bookmarkStart w:id="61" w:name="_Toc85060199"/>
    <w:bookmarkStart w:id="62" w:name="_Toc85066421"/>
    <w:p w14:paraId="09FE73ED" w14:textId="77777777" w:rsidR="007873A7" w:rsidRPr="007C01CB" w:rsidRDefault="007873A7" w:rsidP="00525BE0">
      <w:pPr>
        <w:keepNext/>
        <w:keepLines/>
        <w:spacing w:before="40" w:after="0" w:line="360" w:lineRule="auto"/>
        <w:jc w:val="both"/>
        <w:outlineLvl w:val="2"/>
        <w:rPr>
          <w:rFonts w:cstheme="minorHAnsi"/>
        </w:rPr>
      </w:pPr>
      <w:r w:rsidRPr="007C01CB">
        <w:rPr>
          <w:rFonts w:cstheme="minorHAnsi"/>
          <w:noProof/>
          <w:lang w:eastAsia="en-GB"/>
        </w:rPr>
        <mc:AlternateContent>
          <mc:Choice Requires="wps">
            <w:drawing>
              <wp:anchor distT="0" distB="0" distL="114300" distR="114300" simplePos="0" relativeHeight="251669504" behindDoc="0" locked="0" layoutInCell="1" allowOverlap="1" wp14:anchorId="32F487E4" wp14:editId="6A0E11FD">
                <wp:simplePos x="0" y="0"/>
                <wp:positionH relativeFrom="margin">
                  <wp:align>left</wp:align>
                </wp:positionH>
                <wp:positionV relativeFrom="paragraph">
                  <wp:posOffset>126365</wp:posOffset>
                </wp:positionV>
                <wp:extent cx="5835650" cy="476250"/>
                <wp:effectExtent l="19050" t="19050" r="31750" b="38100"/>
                <wp:wrapNone/>
                <wp:docPr id="11" name="Content Placeholder 10"/>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835650" cy="476250"/>
                        </a:xfrm>
                        <a:prstGeom prst="leftRightArrow">
                          <a:avLst/>
                        </a:prstGeom>
                        <a:solidFill>
                          <a:sysClr val="window" lastClr="FFFFFF"/>
                        </a:solidFill>
                        <a:ln w="12700" cap="flat" cmpd="sng" algn="ctr">
                          <a:solidFill>
                            <a:srgbClr val="5B9BD5"/>
                          </a:solidFill>
                          <a:prstDash val="solid"/>
                          <a:miter lim="800000"/>
                        </a:ln>
                        <a:effectLst/>
                      </wps:spPr>
                      <wps:txbx>
                        <w:txbxContent>
                          <w:p w14:paraId="17F1B31F" w14:textId="191EDA2E" w:rsidR="00CA6096" w:rsidRDefault="00CA6096" w:rsidP="007873A7">
                            <w:pPr>
                              <w:pStyle w:val="NormalWeb"/>
                              <w:spacing w:line="256" w:lineRule="auto"/>
                              <w:jc w:val="center"/>
                            </w:pPr>
                            <w:r>
                              <w:rPr>
                                <w:rFonts w:ascii="Calibri" w:eastAsia="Calibri" w:hAnsi="Calibri"/>
                                <w:color w:val="000000"/>
                                <w:sz w:val="16"/>
                                <w:szCs w:val="16"/>
                              </w:rPr>
                              <w:t xml:space="preserve">Towards market competition </w:t>
                            </w:r>
                            <w:r>
                              <w:rPr>
                                <w:rFonts w:ascii="Calibri" w:eastAsia="Calibri" w:hAnsi="Calibri"/>
                                <w:color w:val="000000"/>
                                <w:sz w:val="16"/>
                                <w:szCs w:val="16"/>
                              </w:rPr>
                              <w:tab/>
                              <w:t xml:space="preserve"> </w:t>
                            </w:r>
                            <w:r>
                              <w:rPr>
                                <w:rFonts w:ascii="Calibri" w:eastAsia="Calibri" w:hAnsi="Calibri"/>
                                <w:color w:val="000000"/>
                                <w:sz w:val="16"/>
                                <w:szCs w:val="16"/>
                              </w:rPr>
                              <w:tab/>
                            </w:r>
                            <w:r>
                              <w:rPr>
                                <w:rFonts w:ascii="Calibri" w:eastAsia="Calibri" w:hAnsi="Calibri"/>
                                <w:color w:val="000000"/>
                                <w:sz w:val="16"/>
                                <w:szCs w:val="16"/>
                              </w:rPr>
                              <w:tab/>
                            </w:r>
                            <w:r>
                              <w:rPr>
                                <w:rFonts w:ascii="Calibri" w:eastAsia="Calibri" w:hAnsi="Calibri"/>
                                <w:color w:val="000000"/>
                                <w:sz w:val="16"/>
                                <w:szCs w:val="16"/>
                              </w:rPr>
                              <w:tab/>
                            </w:r>
                            <w:r>
                              <w:rPr>
                                <w:rFonts w:ascii="Calibri" w:eastAsia="Calibri" w:hAnsi="Calibri"/>
                                <w:color w:val="000000"/>
                                <w:sz w:val="16"/>
                                <w:szCs w:val="16"/>
                              </w:rPr>
                              <w:tab/>
                            </w:r>
                            <w:r>
                              <w:rPr>
                                <w:rFonts w:ascii="Calibri" w:eastAsia="Calibri" w:hAnsi="Calibri"/>
                                <w:color w:val="000000"/>
                                <w:sz w:val="16"/>
                                <w:szCs w:val="16"/>
                              </w:rPr>
                              <w:tab/>
                            </w:r>
                            <w:r>
                              <w:rPr>
                                <w:rFonts w:ascii="Calibri" w:eastAsia="Calibri" w:hAnsi="Calibri"/>
                                <w:color w:val="000000"/>
                                <w:sz w:val="16"/>
                                <w:szCs w:val="16"/>
                              </w:rPr>
                              <w:tab/>
                              <w:t>Towards hierarchical control</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32F487E4"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Content Placeholder 10" o:spid="_x0000_s1027" type="#_x0000_t69" style="position:absolute;left:0;text-align:left;margin-left:0;margin-top:9.95pt;width:459.5pt;height:37.5pt;z-index:251669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" adj="881" fillcolor="window" strokecolor="#5b9bd5" strokeweight="1pt">
                <v:path arrowok="t"/>
                <o:lock v:ext="edit" grouping="t"/>
                <v:textbox>
                  <w:txbxContent>
                    <w:p w14:paraId="17F1B31F" w14:textId="191EDA2E" w:rsidR="00CA6096" w:rsidRDefault="00CA6096" w:rsidP="007873A7">
                      <w:pPr>
                        <w:pStyle w:val="NormalWeb"/>
                        <w:spacing w:line="256" w:lineRule="auto"/>
                        <w:jc w:val="center"/>
                      </w:pPr>
                      <w:r>
                        <w:rPr>
                          <w:rFonts w:ascii="Calibri" w:eastAsia="Calibri" w:hAnsi="Calibri"/>
                          <w:color w:val="000000"/>
                          <w:sz w:val="16"/>
                          <w:szCs w:val="16"/>
                        </w:rPr>
                        <w:t xml:space="preserve">Towards market competition </w:t>
                      </w:r>
                      <w:r>
                        <w:rPr>
                          <w:rFonts w:ascii="Calibri" w:eastAsia="Calibri" w:hAnsi="Calibri"/>
                          <w:color w:val="000000"/>
                          <w:sz w:val="16"/>
                          <w:szCs w:val="16"/>
                        </w:rPr>
                        <w:tab/>
                        <w:t xml:space="preserve"> </w:t>
                      </w:r>
                      <w:r>
                        <w:rPr>
                          <w:rFonts w:ascii="Calibri" w:eastAsia="Calibri" w:hAnsi="Calibri"/>
                          <w:color w:val="000000"/>
                          <w:sz w:val="16"/>
                          <w:szCs w:val="16"/>
                        </w:rPr>
                        <w:tab/>
                      </w:r>
                      <w:r>
                        <w:rPr>
                          <w:rFonts w:ascii="Calibri" w:eastAsia="Calibri" w:hAnsi="Calibri"/>
                          <w:color w:val="000000"/>
                          <w:sz w:val="16"/>
                          <w:szCs w:val="16"/>
                        </w:rPr>
                        <w:tab/>
                      </w:r>
                      <w:r>
                        <w:rPr>
                          <w:rFonts w:ascii="Calibri" w:eastAsia="Calibri" w:hAnsi="Calibri"/>
                          <w:color w:val="000000"/>
                          <w:sz w:val="16"/>
                          <w:szCs w:val="16"/>
                        </w:rPr>
                        <w:tab/>
                      </w:r>
                      <w:r>
                        <w:rPr>
                          <w:rFonts w:ascii="Calibri" w:eastAsia="Calibri" w:hAnsi="Calibri"/>
                          <w:color w:val="000000"/>
                          <w:sz w:val="16"/>
                          <w:szCs w:val="16"/>
                        </w:rPr>
                        <w:tab/>
                      </w:r>
                      <w:r>
                        <w:rPr>
                          <w:rFonts w:ascii="Calibri" w:eastAsia="Calibri" w:hAnsi="Calibri"/>
                          <w:color w:val="000000"/>
                          <w:sz w:val="16"/>
                          <w:szCs w:val="16"/>
                        </w:rPr>
                        <w:tab/>
                      </w:r>
                      <w:r>
                        <w:rPr>
                          <w:rFonts w:ascii="Calibri" w:eastAsia="Calibri" w:hAnsi="Calibri"/>
                          <w:color w:val="000000"/>
                          <w:sz w:val="16"/>
                          <w:szCs w:val="16"/>
                        </w:rPr>
                        <w:tab/>
                        <w:t>Towards hierarchical control</w:t>
                      </w:r>
                    </w:p>
                  </w:txbxContent>
                </v:textbox>
                <w10:wrap anchorx="margin"/>
              </v:shape>
            </w:pict>
          </mc:Fallback>
        </mc:AlternateContent>
      </w:r>
      <w:bookmarkEnd w:id="56"/>
      <w:bookmarkEnd w:id="57"/>
      <w:bookmarkEnd w:id="58"/>
      <w:bookmarkEnd w:id="59"/>
      <w:bookmarkEnd w:id="60"/>
      <w:bookmarkEnd w:id="61"/>
      <w:bookmarkEnd w:id="62"/>
    </w:p>
    <w:p w14:paraId="01B205D8" w14:textId="77777777" w:rsidR="007873A7" w:rsidRPr="007C01CB" w:rsidRDefault="007873A7" w:rsidP="00525BE0">
      <w:pPr>
        <w:keepNext/>
        <w:keepLines/>
        <w:spacing w:before="40" w:after="0" w:line="360" w:lineRule="auto"/>
        <w:jc w:val="both"/>
        <w:outlineLvl w:val="2"/>
        <w:rPr>
          <w:rFonts w:cstheme="minorHAnsi"/>
        </w:rPr>
      </w:pPr>
    </w:p>
    <w:p w14:paraId="2596F288" w14:textId="77777777" w:rsidR="007873A7" w:rsidRPr="007C01CB" w:rsidRDefault="007873A7" w:rsidP="00525BE0">
      <w:pPr>
        <w:keepNext/>
        <w:keepLines/>
        <w:spacing w:before="40" w:after="0" w:line="360" w:lineRule="auto"/>
        <w:jc w:val="both"/>
        <w:outlineLvl w:val="2"/>
        <w:rPr>
          <w:rFonts w:cstheme="minorHAnsi"/>
        </w:rPr>
      </w:pPr>
    </w:p>
    <w:p w14:paraId="2AE314B1" w14:textId="77777777" w:rsidR="007873A7" w:rsidRPr="007C01CB" w:rsidRDefault="007873A7" w:rsidP="00525BE0">
      <w:pPr>
        <w:keepNext/>
        <w:keepLines/>
        <w:spacing w:before="40" w:after="0" w:line="360" w:lineRule="auto"/>
        <w:jc w:val="both"/>
        <w:outlineLvl w:val="2"/>
        <w:rPr>
          <w:rFonts w:cstheme="minorHAnsi"/>
        </w:rPr>
      </w:pPr>
    </w:p>
    <w:p w14:paraId="649D8724" w14:textId="77777777" w:rsidR="007873A7" w:rsidRDefault="007873A7" w:rsidP="00525BE0">
      <w:pPr>
        <w:pStyle w:val="Heading2"/>
        <w:spacing w:line="360" w:lineRule="auto"/>
        <w:jc w:val="both"/>
      </w:pPr>
    </w:p>
    <w:p w14:paraId="0A565CCD" w14:textId="158C7FCA" w:rsidR="007873A7" w:rsidRPr="007C01CB" w:rsidRDefault="007873A7" w:rsidP="00525BE0">
      <w:pPr>
        <w:pStyle w:val="Heading2"/>
        <w:spacing w:line="360" w:lineRule="auto"/>
        <w:jc w:val="both"/>
      </w:pPr>
      <w:bookmarkStart w:id="63" w:name="_Toc85066422"/>
      <w:r w:rsidRPr="007C01CB">
        <w:t xml:space="preserve">Initial </w:t>
      </w:r>
      <w:r w:rsidR="00797408">
        <w:t>‘</w:t>
      </w:r>
      <w:r w:rsidRPr="007C01CB">
        <w:t>ingredients’ for success</w:t>
      </w:r>
      <w:bookmarkEnd w:id="63"/>
    </w:p>
    <w:p w14:paraId="2E32ED74" w14:textId="1EFF81D1" w:rsidR="007873A7" w:rsidRPr="007C01CB" w:rsidRDefault="007873A7" w:rsidP="00525BE0">
      <w:pPr>
        <w:spacing w:line="360" w:lineRule="auto"/>
        <w:jc w:val="both"/>
        <w:rPr>
          <w:rFonts w:cstheme="minorHAnsi"/>
        </w:rPr>
      </w:pPr>
      <w:r w:rsidRPr="007C01CB">
        <w:rPr>
          <w:rFonts w:cstheme="minorHAnsi"/>
        </w:rPr>
        <w:t xml:space="preserve">A range of ingredients for success have been outlined to determine the key shaping factors affecting collaboration. In an exploratory empirical study of mergers, buddying, and contracting across NHS providers, Miller and Millar (2017) identified the ‘ingredients’ for successful partnering which included effective senior and clinical leadership, the importance of trust between partners, acquiring meaningful data, and regulatory approaches that combine both quality improvement and assurance approaches. </w:t>
      </w:r>
      <w:r w:rsidRPr="007C01CB">
        <w:t xml:space="preserve">Additionally, Hudson and Hardy (2002) </w:t>
      </w:r>
      <w:r w:rsidR="001F2FDE">
        <w:t>depict how</w:t>
      </w:r>
      <w:r w:rsidRPr="001F2FDE">
        <w:t xml:space="preserve"> </w:t>
      </w:r>
      <w:r w:rsidRPr="001F2FDE">
        <w:rPr>
          <w:iCs/>
        </w:rPr>
        <w:t>the</w:t>
      </w:r>
      <w:r w:rsidRPr="001F2FDE">
        <w:t xml:space="preserve"> determinants</w:t>
      </w:r>
      <w:r w:rsidRPr="007C01CB">
        <w:t xml:space="preserve"> of a</w:t>
      </w:r>
      <w:r w:rsidR="001F2FDE">
        <w:t xml:space="preserve"> successful partnership include</w:t>
      </w:r>
      <w:r w:rsidRPr="007C01CB">
        <w:t xml:space="preserve"> having an existing local history of partnership working, effective monitoring and reviewing of organisational learning, having a shared vision, and development and maintenance of trust through behaviours and attitudes such as ‘fairness’, openness and honesty, sacrifice, and accountability </w:t>
      </w:r>
      <w:r w:rsidRPr="007C01CB">
        <w:fldChar w:fldCharType="begin" w:fldLock="1"/>
      </w:r>
      <w:r w:rsidR="00EA4B53">
        <w:instrText>ADDIN CSL_CITATION {"citationItems":[{"id":"ITEM-1","itemData":{"DOI":"10.2307/j.ctt1t89677.8","author":[{"dropping-particle":"","family":"Hudson","given":"Bob","non-dropping-particle":"","parse-names":false,"suffix":""},{"dropping-particle":"","family":"Hardy","given":"Brian","non-dropping-particle":"","parse-names":false,"suffix":""}],"container-title":"Partnerships, New Labour and the governance of welfare","id":"ITEM-1","issued":{"date-parts":[["2002"]]},"title":"What is a ‘successful’ partnership and how can it be measured?","type":"chapter"},"uris":["http://www.mendeley.com/documents/?uuid=ae4605c3-28bc-4f5c-9874-7fe2917a11d9"]}],"mendeley":{"formattedCitation":"&lt;sup&gt;110&lt;/sup&gt;","plainTextFormattedCitation":"110","previouslyFormattedCitation":"&lt;sup&gt;110&lt;/sup&gt;"},"properties":{"noteIndex":0},"schema":"https://github.com/citation-style-language/schema/raw/master/csl-citation.json"}</w:instrText>
      </w:r>
      <w:r w:rsidRPr="007C01CB">
        <w:fldChar w:fldCharType="separate"/>
      </w:r>
      <w:r w:rsidR="00E25884" w:rsidRPr="00E25884">
        <w:rPr>
          <w:noProof/>
          <w:vertAlign w:val="superscript"/>
        </w:rPr>
        <w:t>110</w:t>
      </w:r>
      <w:r w:rsidRPr="007C01CB">
        <w:fldChar w:fldCharType="end"/>
      </w:r>
      <w:r w:rsidRPr="007C01CB">
        <w:t>.</w:t>
      </w:r>
    </w:p>
    <w:p w14:paraId="72CC51D4" w14:textId="7DDF3A34" w:rsidR="007873A7" w:rsidRPr="007C01CB" w:rsidRDefault="007873A7" w:rsidP="00525BE0">
      <w:pPr>
        <w:spacing w:line="360" w:lineRule="auto"/>
        <w:jc w:val="both"/>
        <w:rPr>
          <w:rFonts w:cstheme="minorHAnsi"/>
        </w:rPr>
      </w:pPr>
      <w:r w:rsidRPr="007C01CB">
        <w:t xml:space="preserve">Likewise, a recent systematic review of reviews sought to determine ‘shaping factors’ of how cross-sector healthcare collaborations work </w:t>
      </w:r>
      <w:r w:rsidRPr="007C01CB">
        <w:fldChar w:fldCharType="begin" w:fldLock="1"/>
      </w:r>
      <w:r w:rsidR="00EA4B53">
        <w:instrText>ADDIN CSL_CITATION {"citationItems":[{"id":"ITEM-1","itemData":{"author":[{"dropping-particle":"","family":"Alderwick","given":"Hugh","non-dropping-particle":"","parse-names":false,"suffix":""},{"dropping-particle":"","family":"Hutchings","given":"Andrew","non-dropping-particle":"","parse-names":false,"suffix":""},{"dropping-particle":"","family":"Briggs","given":"Adam","non-dropping-particle":"","parse-names":false,"suffix":""},{"dropping-particle":"","family":"Mays","given":"Nicholas","non-dropping-particle":"","parse-names":false,"suffix":""}],"id":"ITEM-1","issued":{"date-parts":[["2021"]]},"page":"1-16","publisher":"BMC Public Health","title":"The impacts of collaboration between local health care and non-health care organizations and factors shaping how they work : a systematic review of reviews","type":"article-journal"},"uris":["http://www.mendeley.com/documents/?uuid=5cd7d0c2-1345-4851-a43f-fa864eb1a204"]}],"mendeley":{"formattedCitation":"&lt;sup&gt;12&lt;/sup&gt;","plainTextFormattedCitation":"12","previouslyFormattedCitation":"&lt;sup&gt;12&lt;/sup&gt;"},"properties":{"noteIndex":0},"schema":"https://github.com/citation-style-language/schema/raw/master/csl-citation.json"}</w:instrText>
      </w:r>
      <w:r w:rsidRPr="007C01CB">
        <w:fldChar w:fldCharType="separate"/>
      </w:r>
      <w:r w:rsidR="00E25884" w:rsidRPr="00E25884">
        <w:rPr>
          <w:noProof/>
          <w:vertAlign w:val="superscript"/>
        </w:rPr>
        <w:t>12</w:t>
      </w:r>
      <w:r w:rsidRPr="007C01CB">
        <w:fldChar w:fldCharType="end"/>
      </w:r>
      <w:r w:rsidRPr="007C01CB">
        <w:t xml:space="preserve"> </w:t>
      </w:r>
      <w:r w:rsidR="001F2FDE">
        <w:t xml:space="preserve">which </w:t>
      </w:r>
      <w:r w:rsidRPr="007C01CB">
        <w:t xml:space="preserve">identified resources and capabilities (such as organisational capacity), motivation and purpose (including shared vision, unrealistic aims, competing aims, national policies, and commitment), relationships and cultures (including trust, historic relationships, and communication), governance and leadership (decision making and accountability, leadership support), and external factors (geography, social/economic context) as key ‘shaping factors’. </w:t>
      </w:r>
    </w:p>
    <w:p w14:paraId="236C384A" w14:textId="5B196BA1" w:rsidR="007873A7" w:rsidRDefault="007873A7" w:rsidP="00525BE0">
      <w:pPr>
        <w:spacing w:line="360" w:lineRule="auto"/>
        <w:jc w:val="both"/>
        <w:rPr>
          <w:rFonts w:cstheme="minorHAnsi"/>
        </w:rPr>
      </w:pPr>
      <w:r w:rsidRPr="007C01CB">
        <w:rPr>
          <w:rFonts w:eastAsiaTheme="majorEastAsia" w:cstheme="minorHAnsi"/>
        </w:rPr>
        <w:t xml:space="preserve">Additionally, Aunger et al (2020) developed a typology of shaping factors for successful collaboration that incorporated a typology by the </w:t>
      </w:r>
      <w:r>
        <w:rPr>
          <w:rFonts w:cstheme="minorHAnsi"/>
        </w:rPr>
        <w:fldChar w:fldCharType="begin" w:fldLock="1"/>
      </w:r>
      <w:r w:rsidR="00EA4B53">
        <w:rPr>
          <w:rFonts w:cstheme="minorHAnsi"/>
        </w:rPr>
        <w:instrText>ADDIN CSL_CITATION {"citationItems":[{"id":"ITEM-1","itemData":{"author":[{"dropping-particle":"","family":"Advancing Quality Alliance","given":"","non-dropping-particle":"","parse-names":false,"suffix":""}],"id":"ITEM-1","issued":{"date-parts":[["2014"]]},"page":"1","title":"System Integration Framework Assessment","type":"article"},"uris":["http://www.mendeley.com/documents/?uuid=bb4082f0-d2db-42fe-a293-539945d3ea44"]}],"mendeley":{"formattedCitation":"&lt;sup&gt;111&lt;/sup&gt;","manualFormatting":"Advancing Quality Alliance (2014)","plainTextFormattedCitation":"111","previouslyFormattedCitation":"&lt;sup&gt;111&lt;/sup&gt;"},"properties":{"noteIndex":0},"schema":"https://github.com/citation-style-language/schema/raw/master/csl-citation.json"}</w:instrText>
      </w:r>
      <w:r>
        <w:rPr>
          <w:rFonts w:cstheme="minorHAnsi"/>
        </w:rPr>
        <w:fldChar w:fldCharType="separate"/>
      </w:r>
      <w:r w:rsidRPr="007C4FC1">
        <w:rPr>
          <w:rFonts w:cstheme="minorHAnsi"/>
          <w:noProof/>
        </w:rPr>
        <w:t>Advancing Quality Alliance</w:t>
      </w:r>
      <w:r>
        <w:rPr>
          <w:rFonts w:cstheme="minorHAnsi"/>
          <w:noProof/>
        </w:rPr>
        <w:t xml:space="preserve"> (</w:t>
      </w:r>
      <w:r w:rsidRPr="007C4FC1">
        <w:rPr>
          <w:rFonts w:cstheme="minorHAnsi"/>
          <w:noProof/>
        </w:rPr>
        <w:t>2014)</w:t>
      </w:r>
      <w:r>
        <w:rPr>
          <w:rFonts w:cstheme="minorHAnsi"/>
        </w:rPr>
        <w:fldChar w:fldCharType="end"/>
      </w:r>
      <w:r>
        <w:rPr>
          <w:rFonts w:cstheme="minorHAnsi"/>
        </w:rPr>
        <w:t xml:space="preserve"> (figure 7)</w:t>
      </w:r>
      <w:r w:rsidRPr="007C01CB">
        <w:rPr>
          <w:rFonts w:cstheme="minorHAnsi"/>
        </w:rPr>
        <w:t xml:space="preserve">. This was supplemented with other emerging evidence from the review </w:t>
      </w:r>
      <w:r>
        <w:rPr>
          <w:rFonts w:cstheme="minorHAnsi"/>
        </w:rPr>
        <w:fldChar w:fldCharType="begin" w:fldLock="1"/>
      </w:r>
      <w:r w:rsidR="00804189">
        <w:rPr>
          <w:rFonts w:cstheme="minorHAnsi"/>
        </w:rPr>
        <w:instrText>ADDIN CSL_CITATION {"citationItems":[{"id":"ITEM-1","itemData":{"DOI":"10.5465/ame.1993.9411302324","ISSN":"1558-9080","abstract":"Despite the initial optimism, many organizational marriages prove to be financially disappointing. Given the consistently high rate of merger and acquisition failure, the selection of a suitable organizational bedfellow is a major financial decision. Selection decisions are generally driven by financial and strategic considerations, yet many organizational alliances fail to meet expectations because the cultures of the partners are incompatible. Based on recent research, the role of culture compatibility in determining venture outcomes is examined. Focus is placed on the complex interaction between the existing type of premarital culture of the partners and the terms and interpretation of the type of marriage contract the parties believe they had entered.","author":[{"dropping-particle":"","family":"Cartwright","given":"S.","non-dropping-particle":"","parse-names":false,"suffix":""},{"dropping-particle":"","family":"Cooper","given":"C. L.","non-dropping-particle":"","parse-names":false,"suffix":""}],"container-title":"Academy of Management Perspectives","id":"ITEM-1","issue":"2","issued":{"date-parts":[["1993"]]},"page":"57-70","title":"The role of culture compatibility in successful organizational marriage.","type":"article-journal","volume":"7"},"uris":["http://www.mendeley.com/documents/?uuid=a9c97464-ae07-40c7-bbfd-da90b5ebce1c"]},{"id":"ITEM-2","itemData":{"DOI":"10.1080/1471903032000146964","ISSN":"14719045","abstract":"This article provides an overview of the theory of collaborative advantage. This is a practice-oriented theory concerned with enhancing practical understanding of the management isssues involved in joint working across organizations. Two contrasting concepts are central to it: collaborative advantage which is concerned with the potential for synergy from working collaboratively; and, collaborative inertia which relates to the often disappointing output in reality. The theory is structured as a set of overlapping themes, which are predominantly issues that practitioners see as causing pain and reward in collaborative situations. Five example themes are discussed: common aims; power; trust; membership structures; and, leadership. It is argued that the theory captures the complexity that underlies collaborative situations and conveys it in a way that seems real to those involved. It aims to empower those involved through legitimising experienced frustration and providing conceptual handles to help address the practical issues involved. © 2003 Taylor &amp; Francis.","author":[{"dropping-particle":"","family":"Huxham","given":"Chris","non-dropping-particle":"","parse-names":false,"suffix":""}],"container-title":"Public Management Review","id":"ITEM-2","issue":"3","issued":{"date-parts":[["2003"]]},"page":"401-423","title":"Theorizing collaboration practice","type":"article-journal","volume":"5"},"uris":["http://www.mendeley.com/documents/?uuid=6f1d7224-e228-45ef-8795-2b9f48aadd33"]},{"id":"ITEM-3","itemData":{"author":[{"dropping-particle":"","family":"IAP","given":"","non-dropping-particle":"","parse-names":false,"suffix":""}],"id":"ITEM-3","issued":{"date-parts":[["2007"]]},"publisher":"IAP2, Halifax","title":"IAP2 spectrum of public participation","type":"article"},"uris":["http://www.mendeley.com/documents/?uuid=c9b46a8f-71f5-444a-87fc-bb23f4577385"]},{"id":"ITEM-4","itemData":{"ISSN":"1471-9037","author":[{"dropping-particle":"","family":"Dickinson","given":"Helen","non-dropping-particle":"","parse-names":false,"suffix":""},{"dropping-particle":"","family":"Glasby","given":"Jon","non-dropping-particle":"","parse-names":false,"suffix":""}],"container-title":"Public Management Review","id":"ITEM-4","issue":"6","issued":{"date-parts":[["2010"]]},"page":"811-828","publisher":"Taylor &amp; Francis","title":"‘Why Partnership Working Doesn't Work’ Pitfalls, problems and possibilities in English health and social care","type":"article-journal","volume":"12"},"uris":["http://www.mendeley.com/documents/?uuid=6c0a5c3d-f9fa-42ec-80e8-50fdcb45a5cf"]},{"id":"ITEM-5","itemData":{"DOI":"10.1038/361768a0","ISBN":"978-1-912653-15-7","ISSN":"00157228","PMID":"8441478","author":[{"dropping-particle":"","family":"Northern Ireland Audit Office","given":"","non-dropping-particle":"","parse-names":false,"suffix":""}],"id":"ITEM-5","issued":{"date-parts":[["2019"]]},"number-of-pages":"36","publisher":"CDS","title":"Making Partnerships Work","type":"report"},"uris":["http://www.mendeley.com/documents/?uuid=0e29587a-f2e2-415c-b234-2eae30fca444"]}],"mendeley":{"formattedCitation":"&lt;sup&gt;17,65,112–114&lt;/sup&gt;","plainTextFormattedCitation":"17,65,112–114","previouslyFormattedCitation":"&lt;sup&gt;17,65,112–114&lt;/sup&gt;"},"properties":{"noteIndex":0},"schema":"https://github.com/citation-style-language/schema/raw/master/csl-citation.json"}</w:instrText>
      </w:r>
      <w:r>
        <w:rPr>
          <w:rFonts w:cstheme="minorHAnsi"/>
        </w:rPr>
        <w:fldChar w:fldCharType="separate"/>
      </w:r>
      <w:r w:rsidR="00C4603E" w:rsidRPr="00C4603E">
        <w:rPr>
          <w:rFonts w:cstheme="minorHAnsi"/>
          <w:noProof/>
          <w:vertAlign w:val="superscript"/>
        </w:rPr>
        <w:t>17,65,112–114</w:t>
      </w:r>
      <w:r>
        <w:rPr>
          <w:rFonts w:cstheme="minorHAnsi"/>
        </w:rPr>
        <w:fldChar w:fldCharType="end"/>
      </w:r>
      <w:r w:rsidRPr="007C01CB">
        <w:rPr>
          <w:rFonts w:cstheme="minorHAnsi"/>
        </w:rPr>
        <w:t xml:space="preserve">. </w:t>
      </w:r>
    </w:p>
    <w:p w14:paraId="7939626F" w14:textId="77777777" w:rsidR="001F2FDE" w:rsidRPr="00B03F3C" w:rsidRDefault="001F2FDE" w:rsidP="00525BE0">
      <w:pPr>
        <w:spacing w:line="360" w:lineRule="auto"/>
        <w:jc w:val="both"/>
        <w:rPr>
          <w:rFonts w:eastAsiaTheme="majorEastAsia" w:cstheme="minorHAnsi"/>
        </w:rPr>
      </w:pPr>
    </w:p>
    <w:p w14:paraId="09B8358B" w14:textId="77777777" w:rsidR="007873A7" w:rsidRDefault="007873A7" w:rsidP="00525BE0">
      <w:pPr>
        <w:keepNext/>
        <w:autoSpaceDE w:val="0"/>
        <w:autoSpaceDN w:val="0"/>
        <w:adjustRightInd w:val="0"/>
        <w:spacing w:after="0" w:line="360" w:lineRule="auto"/>
        <w:jc w:val="both"/>
      </w:pPr>
      <w:r w:rsidRPr="007C01CB">
        <w:rPr>
          <w:noProof/>
          <w:lang w:eastAsia="en-GB"/>
        </w:rPr>
        <w:drawing>
          <wp:inline distT="0" distB="0" distL="0" distR="0" wp14:anchorId="38D500C9" wp14:editId="5E8BEBBF">
            <wp:extent cx="5731510" cy="44881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4488180"/>
                    </a:xfrm>
                    <a:prstGeom prst="rect">
                      <a:avLst/>
                    </a:prstGeom>
                  </pic:spPr>
                </pic:pic>
              </a:graphicData>
            </a:graphic>
          </wp:inline>
        </w:drawing>
      </w:r>
    </w:p>
    <w:p w14:paraId="7AEAD3FC" w14:textId="0888AF31" w:rsidR="007873A7" w:rsidRPr="009B3BC2" w:rsidRDefault="007873A7" w:rsidP="00525BE0">
      <w:pPr>
        <w:pStyle w:val="Caption"/>
        <w:jc w:val="both"/>
        <w:rPr>
          <w:rFonts w:cstheme="minorHAnsi"/>
          <w:color w:val="000000"/>
        </w:rPr>
      </w:pPr>
      <w:bookmarkStart w:id="64" w:name="_Toc106181612"/>
      <w:r>
        <w:t xml:space="preserve">Figure </w:t>
      </w:r>
      <w:fldSimple w:instr=" SEQ Figure \* ARABIC ">
        <w:r>
          <w:rPr>
            <w:noProof/>
          </w:rPr>
          <w:t>7</w:t>
        </w:r>
      </w:fldSimple>
      <w:r>
        <w:t>. Depiction of domains key to integrative efforts by the Advancing Quality Alliance (2014).</w:t>
      </w:r>
      <w:bookmarkEnd w:id="64"/>
    </w:p>
    <w:p w14:paraId="3EFB3A1F" w14:textId="77777777" w:rsidR="001F2FDE" w:rsidRDefault="001F2FDE" w:rsidP="00525BE0">
      <w:pPr>
        <w:pStyle w:val="Caption"/>
        <w:keepNext/>
        <w:jc w:val="both"/>
      </w:pPr>
    </w:p>
    <w:p w14:paraId="1DD3571F" w14:textId="64198F6F" w:rsidR="007873A7" w:rsidRDefault="007873A7" w:rsidP="00525BE0">
      <w:pPr>
        <w:pStyle w:val="Caption"/>
        <w:keepNext/>
        <w:jc w:val="both"/>
      </w:pPr>
      <w:bookmarkStart w:id="65" w:name="_Toc106181507"/>
      <w:r>
        <w:t xml:space="preserve">Table </w:t>
      </w:r>
      <w:r w:rsidR="008802A5">
        <w:fldChar w:fldCharType="begin"/>
      </w:r>
      <w:r w:rsidR="008802A5">
        <w:instrText xml:space="preserve"> SEQ Table \* ARABIC </w:instrText>
      </w:r>
      <w:r w:rsidR="008802A5">
        <w:fldChar w:fldCharType="separate"/>
      </w:r>
      <w:r w:rsidR="003B1A8C">
        <w:rPr>
          <w:noProof/>
        </w:rPr>
        <w:t>3</w:t>
      </w:r>
      <w:r w:rsidR="008802A5">
        <w:rPr>
          <w:noProof/>
        </w:rPr>
        <w:fldChar w:fldCharType="end"/>
      </w:r>
      <w:r>
        <w:t xml:space="preserve">. </w:t>
      </w:r>
      <w:r w:rsidRPr="002F2E29">
        <w:t>An IRT of partnering domains with emerging evidence of how these work in practice.</w:t>
      </w:r>
      <w:bookmarkEnd w:id="65"/>
    </w:p>
    <w:tbl>
      <w:tblPr>
        <w:tblStyle w:val="TableGrid"/>
        <w:tblW w:w="0" w:type="auto"/>
        <w:tblLook w:val="04A0" w:firstRow="1" w:lastRow="0" w:firstColumn="1" w:lastColumn="0" w:noHBand="0" w:noVBand="1"/>
      </w:tblPr>
      <w:tblGrid>
        <w:gridCol w:w="2277"/>
        <w:gridCol w:w="2977"/>
        <w:gridCol w:w="3762"/>
      </w:tblGrid>
      <w:tr w:rsidR="007873A7" w:rsidRPr="007C01CB" w14:paraId="7C919AF8" w14:textId="77777777" w:rsidTr="001F2FDE">
        <w:trPr>
          <w:tblHeader/>
        </w:trPr>
        <w:tc>
          <w:tcPr>
            <w:tcW w:w="2277" w:type="dxa"/>
          </w:tcPr>
          <w:p w14:paraId="4FC1FB61" w14:textId="77777777" w:rsidR="007873A7" w:rsidRPr="007C01CB" w:rsidRDefault="007873A7" w:rsidP="00525BE0">
            <w:pPr>
              <w:spacing w:line="360" w:lineRule="auto"/>
              <w:jc w:val="both"/>
              <w:rPr>
                <w:rFonts w:asciiTheme="majorHAnsi" w:hAnsiTheme="majorHAnsi" w:cstheme="majorHAnsi"/>
                <w:szCs w:val="18"/>
              </w:rPr>
            </w:pPr>
            <w:r w:rsidRPr="007C01CB">
              <w:rPr>
                <w:rFonts w:asciiTheme="majorHAnsi" w:hAnsiTheme="majorHAnsi" w:cstheme="majorHAnsi"/>
                <w:szCs w:val="18"/>
              </w:rPr>
              <w:t>Domain</w:t>
            </w:r>
          </w:p>
        </w:tc>
        <w:tc>
          <w:tcPr>
            <w:tcW w:w="2977" w:type="dxa"/>
          </w:tcPr>
          <w:p w14:paraId="5FD59E24" w14:textId="77777777" w:rsidR="007873A7" w:rsidRPr="007C01CB" w:rsidRDefault="007873A7" w:rsidP="00525BE0">
            <w:pPr>
              <w:spacing w:line="360" w:lineRule="auto"/>
              <w:jc w:val="both"/>
              <w:rPr>
                <w:rFonts w:asciiTheme="majorHAnsi" w:hAnsiTheme="majorHAnsi" w:cstheme="majorHAnsi"/>
                <w:szCs w:val="18"/>
              </w:rPr>
            </w:pPr>
            <w:r w:rsidRPr="007C01CB">
              <w:rPr>
                <w:rFonts w:asciiTheme="majorHAnsi" w:hAnsiTheme="majorHAnsi" w:cstheme="majorHAnsi"/>
                <w:szCs w:val="18"/>
              </w:rPr>
              <w:t>Definition</w:t>
            </w:r>
          </w:p>
        </w:tc>
        <w:tc>
          <w:tcPr>
            <w:tcW w:w="3762" w:type="dxa"/>
          </w:tcPr>
          <w:p w14:paraId="2120A61E" w14:textId="77777777" w:rsidR="007873A7" w:rsidRPr="007C01CB" w:rsidRDefault="007873A7" w:rsidP="00525BE0">
            <w:pPr>
              <w:spacing w:line="360" w:lineRule="auto"/>
              <w:jc w:val="both"/>
              <w:rPr>
                <w:rFonts w:asciiTheme="majorHAnsi" w:hAnsiTheme="majorHAnsi" w:cstheme="majorHAnsi"/>
                <w:szCs w:val="18"/>
              </w:rPr>
            </w:pPr>
            <w:r w:rsidRPr="007C01CB">
              <w:rPr>
                <w:rFonts w:asciiTheme="majorHAnsi" w:hAnsiTheme="majorHAnsi" w:cstheme="majorHAnsi"/>
                <w:szCs w:val="18"/>
              </w:rPr>
              <w:t>Emerging evidence regarding factors affecting partnering success</w:t>
            </w:r>
          </w:p>
        </w:tc>
      </w:tr>
      <w:tr w:rsidR="007873A7" w:rsidRPr="007C01CB" w14:paraId="77EA3006" w14:textId="77777777" w:rsidTr="001F2FDE">
        <w:tc>
          <w:tcPr>
            <w:tcW w:w="2277" w:type="dxa"/>
          </w:tcPr>
          <w:p w14:paraId="78F326A2"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Culture</w:t>
            </w:r>
          </w:p>
        </w:tc>
        <w:tc>
          <w:tcPr>
            <w:tcW w:w="2977" w:type="dxa"/>
          </w:tcPr>
          <w:p w14:paraId="231E0F83"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The values and common behaviours of the workforce</w:t>
            </w:r>
          </w:p>
        </w:tc>
        <w:tc>
          <w:tcPr>
            <w:tcW w:w="3762" w:type="dxa"/>
          </w:tcPr>
          <w:p w14:paraId="5345D567" w14:textId="77777777" w:rsidR="007873A7" w:rsidRPr="007C01CB" w:rsidRDefault="007873A7" w:rsidP="00525BE0">
            <w:pPr>
              <w:pStyle w:val="ListParagraph"/>
              <w:numPr>
                <w:ilvl w:val="0"/>
                <w:numId w:val="7"/>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Organisations have cultures which provide staff with a sense of autonomy</w:t>
            </w:r>
          </w:p>
          <w:p w14:paraId="3918AED4" w14:textId="77777777" w:rsidR="007873A7" w:rsidRPr="007C01CB" w:rsidRDefault="007873A7" w:rsidP="00525BE0">
            <w:pPr>
              <w:pStyle w:val="ListParagraph"/>
              <w:numPr>
                <w:ilvl w:val="0"/>
                <w:numId w:val="7"/>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Mutual agreement to work together</w:t>
            </w:r>
          </w:p>
          <w:p w14:paraId="02F7CFC3" w14:textId="77777777" w:rsidR="007873A7" w:rsidRPr="007C01CB" w:rsidRDefault="007873A7" w:rsidP="00525BE0">
            <w:pPr>
              <w:pStyle w:val="ListParagraph"/>
              <w:numPr>
                <w:ilvl w:val="0"/>
                <w:numId w:val="7"/>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A proper cultural integration plan is put into place in cases where high integration is required</w:t>
            </w:r>
          </w:p>
        </w:tc>
      </w:tr>
      <w:tr w:rsidR="007873A7" w:rsidRPr="007C01CB" w14:paraId="3012AD9C" w14:textId="77777777" w:rsidTr="001F2FDE">
        <w:tc>
          <w:tcPr>
            <w:tcW w:w="2277" w:type="dxa"/>
          </w:tcPr>
          <w:p w14:paraId="6E413B42"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Leadership</w:t>
            </w:r>
          </w:p>
        </w:tc>
        <w:tc>
          <w:tcPr>
            <w:tcW w:w="2977" w:type="dxa"/>
          </w:tcPr>
          <w:p w14:paraId="578B4517"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The senior management at the organisation(s)</w:t>
            </w:r>
          </w:p>
        </w:tc>
        <w:tc>
          <w:tcPr>
            <w:tcW w:w="3762" w:type="dxa"/>
          </w:tcPr>
          <w:p w14:paraId="14E675C6" w14:textId="77777777" w:rsidR="007873A7" w:rsidRPr="007C01CB" w:rsidRDefault="007873A7" w:rsidP="00525BE0">
            <w:pPr>
              <w:pStyle w:val="ListParagraph"/>
              <w:numPr>
                <w:ilvl w:val="0"/>
                <w:numId w:val="3"/>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Leadership style which involves all levels of workforce in partnership arrangements</w:t>
            </w:r>
          </w:p>
          <w:p w14:paraId="6840EE6A" w14:textId="77777777" w:rsidR="007873A7" w:rsidRPr="007C01CB" w:rsidRDefault="007873A7" w:rsidP="00525BE0">
            <w:pPr>
              <w:pStyle w:val="ListParagraph"/>
              <w:numPr>
                <w:ilvl w:val="0"/>
                <w:numId w:val="3"/>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Building networks and shared vision</w:t>
            </w:r>
          </w:p>
          <w:p w14:paraId="1E074F46" w14:textId="1A72E228" w:rsidR="007873A7" w:rsidRPr="007C01CB" w:rsidRDefault="007873A7" w:rsidP="00525BE0">
            <w:pPr>
              <w:pStyle w:val="ListParagraph"/>
              <w:numPr>
                <w:ilvl w:val="0"/>
                <w:numId w:val="3"/>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Leaders with charismatic and inspirational leadership styles</w:t>
            </w:r>
          </w:p>
          <w:p w14:paraId="7E13ECBE" w14:textId="3BA7766A" w:rsidR="00C96E2C" w:rsidRPr="00C96E2C" w:rsidRDefault="007873A7" w:rsidP="00C96E2C">
            <w:pPr>
              <w:pStyle w:val="ListParagraph"/>
              <w:numPr>
                <w:ilvl w:val="0"/>
                <w:numId w:val="3"/>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Approaching the partnership with a strong belief in partnership</w:t>
            </w:r>
          </w:p>
          <w:p w14:paraId="4D39738C" w14:textId="11F78DAC" w:rsidR="007873A7" w:rsidRPr="007C01CB" w:rsidRDefault="007873A7" w:rsidP="00C96E2C">
            <w:pPr>
              <w:pStyle w:val="ListParagraph"/>
              <w:numPr>
                <w:ilvl w:val="0"/>
                <w:numId w:val="3"/>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 xml:space="preserve">Performance of due diligence, i.e. robust cultural integration plans, team building across sites, role modelling, realistic expectations and plans, and utilising employee input. </w:t>
            </w:r>
          </w:p>
        </w:tc>
      </w:tr>
      <w:tr w:rsidR="007873A7" w:rsidRPr="007C01CB" w14:paraId="5ACA7B88" w14:textId="77777777" w:rsidTr="001F2FDE">
        <w:tc>
          <w:tcPr>
            <w:tcW w:w="2277" w:type="dxa"/>
          </w:tcPr>
          <w:p w14:paraId="579AF4CA"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Governance</w:t>
            </w:r>
          </w:p>
        </w:tc>
        <w:tc>
          <w:tcPr>
            <w:tcW w:w="2977" w:type="dxa"/>
          </w:tcPr>
          <w:p w14:paraId="6EADCF48"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The systems and processes concerned with ensuring the direction, effectiveness, supervision and accountability of the organisation(s)</w:t>
            </w:r>
          </w:p>
        </w:tc>
        <w:tc>
          <w:tcPr>
            <w:tcW w:w="3762" w:type="dxa"/>
          </w:tcPr>
          <w:p w14:paraId="1CF5FE8F" w14:textId="77777777" w:rsidR="007873A7" w:rsidRPr="007C01CB" w:rsidRDefault="007873A7" w:rsidP="00525BE0">
            <w:pPr>
              <w:pStyle w:val="ListParagraph"/>
              <w:numPr>
                <w:ilvl w:val="0"/>
                <w:numId w:val="4"/>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Ability to align internal and external resources, activities, and demands</w:t>
            </w:r>
          </w:p>
          <w:p w14:paraId="2433821A" w14:textId="77777777" w:rsidR="007873A7" w:rsidRPr="007C01CB" w:rsidRDefault="007873A7" w:rsidP="00525BE0">
            <w:pPr>
              <w:pStyle w:val="ListParagraph"/>
              <w:numPr>
                <w:ilvl w:val="0"/>
                <w:numId w:val="4"/>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The ability to share power between partners</w:t>
            </w:r>
          </w:p>
          <w:p w14:paraId="6712E43A" w14:textId="77777777" w:rsidR="007873A7" w:rsidRPr="007C01CB" w:rsidRDefault="007873A7" w:rsidP="00525BE0">
            <w:pPr>
              <w:pStyle w:val="ListParagraph"/>
              <w:numPr>
                <w:ilvl w:val="0"/>
                <w:numId w:val="4"/>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Proper establishment of shared accountability between partners</w:t>
            </w:r>
          </w:p>
        </w:tc>
      </w:tr>
      <w:tr w:rsidR="007873A7" w:rsidRPr="007C01CB" w14:paraId="77442BC8" w14:textId="77777777" w:rsidTr="001F2FDE">
        <w:tc>
          <w:tcPr>
            <w:tcW w:w="2277" w:type="dxa"/>
          </w:tcPr>
          <w:p w14:paraId="24F1F0EA"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IT systems</w:t>
            </w:r>
          </w:p>
        </w:tc>
        <w:tc>
          <w:tcPr>
            <w:tcW w:w="2977" w:type="dxa"/>
          </w:tcPr>
          <w:p w14:paraId="70B4190C"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The information technology infrastructure in place to support the organisation(s)</w:t>
            </w:r>
          </w:p>
        </w:tc>
        <w:tc>
          <w:tcPr>
            <w:tcW w:w="3762" w:type="dxa"/>
          </w:tcPr>
          <w:p w14:paraId="4831CB9C" w14:textId="77777777" w:rsidR="007873A7" w:rsidRPr="007C01CB" w:rsidRDefault="007873A7" w:rsidP="00525BE0">
            <w:pPr>
              <w:pStyle w:val="ListParagraph"/>
              <w:numPr>
                <w:ilvl w:val="0"/>
                <w:numId w:val="4"/>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Enablement of information sharing across partners</w:t>
            </w:r>
          </w:p>
          <w:p w14:paraId="395CE907" w14:textId="77777777" w:rsidR="007873A7" w:rsidRPr="007C01CB" w:rsidRDefault="007873A7" w:rsidP="00525BE0">
            <w:pPr>
              <w:pStyle w:val="ListParagraph"/>
              <w:numPr>
                <w:ilvl w:val="0"/>
                <w:numId w:val="4"/>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The degree to which resources are dedicated to this aspect of integration</w:t>
            </w:r>
          </w:p>
          <w:p w14:paraId="3C6484B7" w14:textId="77777777" w:rsidR="007873A7" w:rsidRPr="007C01CB" w:rsidRDefault="007873A7" w:rsidP="00525BE0">
            <w:pPr>
              <w:pStyle w:val="ListParagraph"/>
              <w:numPr>
                <w:ilvl w:val="0"/>
                <w:numId w:val="4"/>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Understanding of data requirements across partners</w:t>
            </w:r>
          </w:p>
        </w:tc>
      </w:tr>
      <w:tr w:rsidR="007873A7" w:rsidRPr="007C01CB" w14:paraId="2FCAF461" w14:textId="77777777" w:rsidTr="001F2FDE">
        <w:tc>
          <w:tcPr>
            <w:tcW w:w="2277" w:type="dxa"/>
          </w:tcPr>
          <w:p w14:paraId="0D50868E"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Workforce</w:t>
            </w:r>
          </w:p>
        </w:tc>
        <w:tc>
          <w:tcPr>
            <w:tcW w:w="2977" w:type="dxa"/>
          </w:tcPr>
          <w:p w14:paraId="6546A277"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The collective staff which work at each organisation</w:t>
            </w:r>
          </w:p>
        </w:tc>
        <w:tc>
          <w:tcPr>
            <w:tcW w:w="3762" w:type="dxa"/>
          </w:tcPr>
          <w:p w14:paraId="61D3A7DD" w14:textId="77777777" w:rsidR="007873A7" w:rsidRPr="007C01CB" w:rsidRDefault="007873A7" w:rsidP="00525BE0">
            <w:pPr>
              <w:pStyle w:val="ListParagraph"/>
              <w:numPr>
                <w:ilvl w:val="0"/>
                <w:numId w:val="5"/>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How well workforce practices and procedures are aligned</w:t>
            </w:r>
          </w:p>
          <w:p w14:paraId="0FDBB410" w14:textId="77777777" w:rsidR="007873A7" w:rsidRPr="007C01CB" w:rsidRDefault="007873A7" w:rsidP="00525BE0">
            <w:pPr>
              <w:pStyle w:val="ListParagraph"/>
              <w:numPr>
                <w:ilvl w:val="0"/>
                <w:numId w:val="5"/>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Coordination to reduce variation in quality of care</w:t>
            </w:r>
          </w:p>
          <w:p w14:paraId="7A977711" w14:textId="77777777" w:rsidR="007873A7" w:rsidRPr="007C01CB" w:rsidRDefault="007873A7" w:rsidP="00525BE0">
            <w:pPr>
              <w:pStyle w:val="ListParagraph"/>
              <w:numPr>
                <w:ilvl w:val="0"/>
                <w:numId w:val="5"/>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Having performed appropriate due diligence in the lead up to any workforce changes</w:t>
            </w:r>
          </w:p>
          <w:p w14:paraId="1FBFBC4A" w14:textId="77777777" w:rsidR="007873A7" w:rsidRPr="007C01CB" w:rsidRDefault="007873A7" w:rsidP="00525BE0">
            <w:pPr>
              <w:pStyle w:val="ListParagraph"/>
              <w:numPr>
                <w:ilvl w:val="0"/>
                <w:numId w:val="5"/>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Engagement of staff at all levels of the organisation in the partnership process</w:t>
            </w:r>
          </w:p>
          <w:p w14:paraId="19A73921" w14:textId="77777777" w:rsidR="007873A7" w:rsidRPr="007C01CB" w:rsidRDefault="007873A7" w:rsidP="00525BE0">
            <w:pPr>
              <w:pStyle w:val="ListParagraph"/>
              <w:numPr>
                <w:ilvl w:val="0"/>
                <w:numId w:val="5"/>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Understanding of workforce capability and capacity</w:t>
            </w:r>
          </w:p>
          <w:p w14:paraId="3F475D16" w14:textId="77777777" w:rsidR="007873A7" w:rsidRPr="007C01CB" w:rsidRDefault="007873A7" w:rsidP="00525BE0">
            <w:pPr>
              <w:pStyle w:val="ListParagraph"/>
              <w:numPr>
                <w:ilvl w:val="0"/>
                <w:numId w:val="5"/>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Group accountability and shared values</w:t>
            </w:r>
          </w:p>
        </w:tc>
      </w:tr>
      <w:tr w:rsidR="007873A7" w:rsidRPr="007C01CB" w14:paraId="1D59F67B" w14:textId="77777777" w:rsidTr="001F2FDE">
        <w:tc>
          <w:tcPr>
            <w:tcW w:w="2277" w:type="dxa"/>
          </w:tcPr>
          <w:p w14:paraId="180DE97C"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Service user engagement</w:t>
            </w:r>
          </w:p>
        </w:tc>
        <w:tc>
          <w:tcPr>
            <w:tcW w:w="2977" w:type="dxa"/>
          </w:tcPr>
          <w:p w14:paraId="68C2EF05"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Involving stakeholders in the partnership process</w:t>
            </w:r>
          </w:p>
        </w:tc>
        <w:tc>
          <w:tcPr>
            <w:tcW w:w="3762" w:type="dxa"/>
          </w:tcPr>
          <w:p w14:paraId="19587CC5" w14:textId="77777777" w:rsidR="007873A7" w:rsidRPr="007C01CB" w:rsidRDefault="007873A7" w:rsidP="00525BE0">
            <w:pPr>
              <w:pStyle w:val="ListParagraph"/>
              <w:numPr>
                <w:ilvl w:val="0"/>
                <w:numId w:val="6"/>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Engagement and involvement of a range of perspectives with those affected by changes to services</w:t>
            </w:r>
          </w:p>
          <w:p w14:paraId="72B73EE5" w14:textId="77777777" w:rsidR="007873A7" w:rsidRPr="007C01CB" w:rsidRDefault="007873A7" w:rsidP="00525BE0">
            <w:pPr>
              <w:pStyle w:val="ListParagraph"/>
              <w:numPr>
                <w:ilvl w:val="0"/>
                <w:numId w:val="6"/>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Feedback mechanisms throughout partnering process</w:t>
            </w:r>
          </w:p>
          <w:p w14:paraId="7AF4D345" w14:textId="70674EF0" w:rsidR="007873A7" w:rsidRPr="007C01CB" w:rsidRDefault="007873A7" w:rsidP="00C96E2C">
            <w:pPr>
              <w:pStyle w:val="ListParagraph"/>
              <w:numPr>
                <w:ilvl w:val="0"/>
                <w:numId w:val="6"/>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 xml:space="preserve">Patients and </w:t>
            </w:r>
            <w:r w:rsidR="00C96E2C">
              <w:rPr>
                <w:rFonts w:asciiTheme="majorHAnsi" w:hAnsiTheme="majorHAnsi" w:cstheme="majorHAnsi"/>
                <w:sz w:val="20"/>
                <w:szCs w:val="18"/>
              </w:rPr>
              <w:t xml:space="preserve">users </w:t>
            </w:r>
            <w:r w:rsidRPr="007C01CB">
              <w:rPr>
                <w:rFonts w:asciiTheme="majorHAnsi" w:hAnsiTheme="majorHAnsi" w:cstheme="majorHAnsi"/>
                <w:sz w:val="20"/>
                <w:szCs w:val="18"/>
              </w:rPr>
              <w:t>have ability and power to influence the partnership process in a manner that improves outcomes for them</w:t>
            </w:r>
          </w:p>
        </w:tc>
      </w:tr>
      <w:tr w:rsidR="007873A7" w:rsidRPr="007C01CB" w14:paraId="1562AFFC" w14:textId="77777777" w:rsidTr="001F2FDE">
        <w:tc>
          <w:tcPr>
            <w:tcW w:w="2277" w:type="dxa"/>
          </w:tcPr>
          <w:p w14:paraId="1F517C44"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Service and care model design</w:t>
            </w:r>
          </w:p>
        </w:tc>
        <w:tc>
          <w:tcPr>
            <w:tcW w:w="2977" w:type="dxa"/>
          </w:tcPr>
          <w:p w14:paraId="1418FD4B"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The way in which healthcare is delivered</w:t>
            </w:r>
          </w:p>
        </w:tc>
        <w:tc>
          <w:tcPr>
            <w:tcW w:w="3762" w:type="dxa"/>
          </w:tcPr>
          <w:p w14:paraId="1DB9EFC1" w14:textId="77777777" w:rsidR="007873A7" w:rsidRPr="007C01CB" w:rsidRDefault="007873A7" w:rsidP="00525BE0">
            <w:pPr>
              <w:pStyle w:val="ListParagraph"/>
              <w:numPr>
                <w:ilvl w:val="0"/>
                <w:numId w:val="6"/>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Mutual agreement between partners upon the new care model arising from partnership</w:t>
            </w:r>
          </w:p>
          <w:p w14:paraId="012F79DC" w14:textId="77777777" w:rsidR="007873A7" w:rsidRPr="007C01CB" w:rsidRDefault="007873A7" w:rsidP="00525BE0">
            <w:pPr>
              <w:pStyle w:val="ListParagraph"/>
              <w:numPr>
                <w:ilvl w:val="0"/>
                <w:numId w:val="6"/>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Agreement between partners on desired outcomes of partnership</w:t>
            </w:r>
          </w:p>
        </w:tc>
      </w:tr>
      <w:tr w:rsidR="007873A7" w:rsidRPr="007C01CB" w14:paraId="1021CF37" w14:textId="77777777" w:rsidTr="001F2FDE">
        <w:tc>
          <w:tcPr>
            <w:tcW w:w="2277" w:type="dxa"/>
          </w:tcPr>
          <w:p w14:paraId="06061FD5"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Financial and contractual mechanisms</w:t>
            </w:r>
          </w:p>
        </w:tc>
        <w:tc>
          <w:tcPr>
            <w:tcW w:w="2977" w:type="dxa"/>
          </w:tcPr>
          <w:p w14:paraId="33FFDFB8" w14:textId="77777777" w:rsidR="007873A7" w:rsidRPr="007C01CB" w:rsidRDefault="007873A7" w:rsidP="00525BE0">
            <w:pPr>
              <w:spacing w:line="360" w:lineRule="auto"/>
              <w:jc w:val="both"/>
              <w:rPr>
                <w:rFonts w:asciiTheme="majorHAnsi" w:hAnsiTheme="majorHAnsi" w:cstheme="majorHAnsi"/>
                <w:sz w:val="20"/>
                <w:szCs w:val="18"/>
              </w:rPr>
            </w:pPr>
            <w:r w:rsidRPr="007C01CB">
              <w:rPr>
                <w:rFonts w:asciiTheme="majorHAnsi" w:hAnsiTheme="majorHAnsi" w:cstheme="majorHAnsi"/>
                <w:sz w:val="20"/>
                <w:szCs w:val="18"/>
              </w:rPr>
              <w:t>How organisation(s) are supported by finances and a legal framework</w:t>
            </w:r>
          </w:p>
        </w:tc>
        <w:tc>
          <w:tcPr>
            <w:tcW w:w="3762" w:type="dxa"/>
          </w:tcPr>
          <w:p w14:paraId="7A3673EA" w14:textId="54D2F612" w:rsidR="007873A7" w:rsidRPr="007C01CB" w:rsidRDefault="007873A7" w:rsidP="00525BE0">
            <w:pPr>
              <w:pStyle w:val="ListParagraph"/>
              <w:numPr>
                <w:ilvl w:val="0"/>
                <w:numId w:val="8"/>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 xml:space="preserve">Performance of appropriate due diligence and cost/benefit analyses to determine ideal partnership type for organisations involved (e.g. in strategic outline cases </w:t>
            </w:r>
          </w:p>
          <w:p w14:paraId="1609C6F1" w14:textId="77777777" w:rsidR="007873A7" w:rsidRPr="007C01CB" w:rsidRDefault="007873A7" w:rsidP="00525BE0">
            <w:pPr>
              <w:pStyle w:val="ListParagraph"/>
              <w:numPr>
                <w:ilvl w:val="0"/>
                <w:numId w:val="8"/>
              </w:numPr>
              <w:spacing w:after="0" w:line="360" w:lineRule="auto"/>
              <w:jc w:val="both"/>
              <w:rPr>
                <w:rFonts w:asciiTheme="majorHAnsi" w:hAnsiTheme="majorHAnsi" w:cstheme="majorHAnsi"/>
                <w:sz w:val="20"/>
                <w:szCs w:val="18"/>
              </w:rPr>
            </w:pPr>
            <w:r w:rsidRPr="007C01CB">
              <w:rPr>
                <w:rFonts w:asciiTheme="majorHAnsi" w:hAnsiTheme="majorHAnsi" w:cstheme="majorHAnsi"/>
                <w:sz w:val="20"/>
                <w:szCs w:val="18"/>
              </w:rPr>
              <w:t>Agreement upon shared outcomes and joint performance measures</w:t>
            </w:r>
          </w:p>
        </w:tc>
      </w:tr>
    </w:tbl>
    <w:p w14:paraId="7C172547" w14:textId="77777777" w:rsidR="007873A7" w:rsidRPr="007C01CB" w:rsidRDefault="007873A7" w:rsidP="00525BE0">
      <w:pPr>
        <w:spacing w:line="360" w:lineRule="auto"/>
        <w:jc w:val="both"/>
        <w:rPr>
          <w:rFonts w:eastAsiaTheme="majorEastAsia" w:cstheme="minorHAnsi"/>
        </w:rPr>
      </w:pPr>
    </w:p>
    <w:p w14:paraId="32DEE792" w14:textId="162C5736" w:rsidR="00C96E2C" w:rsidRPr="007C01CB" w:rsidRDefault="007873A7" w:rsidP="00525BE0">
      <w:pPr>
        <w:spacing w:line="360" w:lineRule="auto"/>
        <w:jc w:val="both"/>
        <w:rPr>
          <w:rFonts w:cstheme="minorHAnsi"/>
          <w:color w:val="000000"/>
        </w:rPr>
      </w:pPr>
      <w:r w:rsidRPr="007C01CB">
        <w:rPr>
          <w:rFonts w:cstheme="minorHAnsi"/>
          <w:color w:val="000000"/>
        </w:rPr>
        <w:t>Aunger et al</w:t>
      </w:r>
      <w:r w:rsidR="003A4AC4">
        <w:rPr>
          <w:rFonts w:cstheme="minorHAnsi"/>
          <w:color w:val="000000"/>
        </w:rPr>
        <w:t>.</w:t>
      </w:r>
      <w:r w:rsidRPr="007C01CB">
        <w:rPr>
          <w:rFonts w:cstheme="minorHAnsi"/>
          <w:color w:val="000000"/>
        </w:rPr>
        <w:t xml:space="preserve"> (2020) argue that the examination of organisational perspectives and theories surrounding the integration of these elements leads to the understanding that different partnering types are likely to interact with some elements more than others</w:t>
      </w:r>
      <w:r>
        <w:rPr>
          <w:rFonts w:cstheme="minorHAnsi"/>
          <w:color w:val="000000"/>
        </w:rPr>
        <w:t xml:space="preserve"> (table </w:t>
      </w:r>
      <w:r w:rsidR="003B1A8C">
        <w:rPr>
          <w:rFonts w:cstheme="minorHAnsi"/>
          <w:color w:val="000000"/>
        </w:rPr>
        <w:t>3</w:t>
      </w:r>
      <w:r>
        <w:rPr>
          <w:rFonts w:cstheme="minorHAnsi"/>
          <w:color w:val="000000"/>
        </w:rPr>
        <w:t>)</w:t>
      </w:r>
      <w:r w:rsidRPr="007C01CB">
        <w:rPr>
          <w:rFonts w:cstheme="minorHAnsi"/>
          <w:color w:val="000000"/>
        </w:rPr>
        <w:t>. For example, a partnership synergy theory suggests that certain characteristics are intrinsic to partnerships, namely leadership, administration and management, governance and efficiency</w:t>
      </w:r>
      <w:r w:rsidR="00C96E2C">
        <w:rPr>
          <w:rFonts w:cstheme="minorHAnsi"/>
          <w:color w:val="000000"/>
        </w:rPr>
        <w:t xml:space="preserve"> </w:t>
      </w:r>
      <w:r>
        <w:rPr>
          <w:rFonts w:cstheme="minorHAnsi"/>
          <w:color w:val="000000"/>
        </w:rPr>
        <w:fldChar w:fldCharType="begin" w:fldLock="1"/>
      </w:r>
      <w:r w:rsidR="00EA4B53">
        <w:rPr>
          <w:rFonts w:cstheme="minorHAnsi"/>
          <w:color w:val="000000"/>
        </w:rPr>
        <w:instrText>ADDIN CSL_CITATION {"citationItems":[{"id":"ITEM-1","itemData":{"DOI":"10.1186/s12939-018-0814-0","ISSN":"14759276","abstract":"Background: Current policy priorities to strengthen the nursing sector in India have focused on increasing the number of nurses in the health system. However, the nursing sector is afflicted by other, significant problems including the low status of nurses in the hierarchy of health care professionals, low salaries, and out-dated systems of professional governance, all affecting nurses' leadership potential and ability to perform. Stronger nurse leadership has the potential to support the achievement of health system goals, especially for strengthening of primary health care, which has been recognised and addressed in several other country contexts. This research study explores the process of policy agenda-setting for nurse leadership in India, and aims to identify the structural and systemic constraints in setting the agenda for policy reforms on the issue. Methods: Our methods included policy document review and expert interviews. We identified policy reforms proposed by different government appointed committees on issues concerning nurses' leadership and its progress. Experts' accounts were used to understand lack of progress in several nursing reform proposals and analysed using deductive thematic analysis for 'legitimacy', 'feasibility' and 'support', in line with Hall's agenda setting model. Results: The absence of quantifiable evidence on the nurse leadership crisis and treatment of nursing reforms as a 'second class' issue were found to negatively influence perceptions of the legitimacy of nurse leadership reform. Feasibility is affected by the lack of representation of nurses in key positions and the absence of a nurse-specific institution, which is seen as essential for creating visibility of the issues facing the profession, their processing and planning for policy solutions. Finally, participants noted the lack of strong support from nurses themselves for these policy reforms, which they attributed to social disempowerment, and lack of professional autonomy. Conclusions: The study emphasises that the nursing empowerment needs institutional reforms to facilitate nurse's distributed leadership across the health system and to enable their collective advocacy that questions the status quo and the structures that uphold it.","author":[{"dropping-particle":"","family":"Lasker","given":"Roz D","non-dropping-particle":"","parse-names":false,"suffix":""},{"dropping-particle":"","family":"Weiss","given":"Elisa S","non-dropping-particle":"","parse-names":false,"suffix":""},{"dropping-particle":"","family":"Miller","given":"Rebecca","non-dropping-particle":"","parse-names":false,"suffix":""}],"container-title":"The Milbank Quartlerly","id":"ITEM-1","issue":"2","issued":{"date-parts":[["2001"]]},"page":"179-205","title":"Partnership Synergy: A Practical Framework for Studying and Strengthening the Collaborative Advantage","type":"article-journal","volume":"79"},"uris":["http://www.mendeley.com/documents/?uuid=ae45cdd7-c520-4101-973e-97a60a59ff2f"]}],"mendeley":{"formattedCitation":"&lt;sup&gt;115&lt;/sup&gt;","plainTextFormattedCitation":"115","previouslyFormattedCitation":"&lt;sup&gt;115&lt;/sup&gt;"},"properties":{"noteIndex":0},"schema":"https://github.com/citation-style-language/schema/raw/master/csl-citation.json"}</w:instrText>
      </w:r>
      <w:r>
        <w:rPr>
          <w:rFonts w:cstheme="minorHAnsi"/>
          <w:color w:val="000000"/>
        </w:rPr>
        <w:fldChar w:fldCharType="separate"/>
      </w:r>
      <w:r w:rsidR="00E25884" w:rsidRPr="00E25884">
        <w:rPr>
          <w:rFonts w:cstheme="minorHAnsi"/>
          <w:noProof/>
          <w:color w:val="000000"/>
          <w:vertAlign w:val="superscript"/>
        </w:rPr>
        <w:t>115</w:t>
      </w:r>
      <w:r>
        <w:rPr>
          <w:rFonts w:cstheme="minorHAnsi"/>
          <w:color w:val="000000"/>
        </w:rPr>
        <w:fldChar w:fldCharType="end"/>
      </w:r>
      <w:r>
        <w:rPr>
          <w:rFonts w:cstheme="minorHAnsi"/>
          <w:color w:val="000000"/>
        </w:rPr>
        <w:t>.</w:t>
      </w:r>
      <w:r w:rsidRPr="007C01CB">
        <w:rPr>
          <w:rFonts w:cstheme="minorHAnsi"/>
          <w:color w:val="000000"/>
        </w:rPr>
        <w:t xml:space="preserve"> As such, one could argue that partnering interventions largely exert their forces of change through changes to service and care model design, leadership, governance and financial and contractual mechanisms, and that subsequent changes to IT systems, culture and workforce occur as knock-on effects. </w:t>
      </w:r>
    </w:p>
    <w:p w14:paraId="133C1A9D" w14:textId="77777777" w:rsidR="007873A7" w:rsidRPr="007C01CB" w:rsidRDefault="007873A7" w:rsidP="00525BE0">
      <w:pPr>
        <w:pStyle w:val="Heading2"/>
        <w:spacing w:line="360" w:lineRule="auto"/>
        <w:jc w:val="both"/>
      </w:pPr>
      <w:bookmarkStart w:id="66" w:name="_Toc85066423"/>
      <w:r w:rsidRPr="007C01CB">
        <w:t>Stages of the collaboration life cycle</w:t>
      </w:r>
      <w:bookmarkEnd w:id="66"/>
    </w:p>
    <w:p w14:paraId="03D5ABFE" w14:textId="6469EAF0" w:rsidR="007873A7" w:rsidRPr="007C01CB" w:rsidRDefault="007873A7" w:rsidP="00525BE0">
      <w:pPr>
        <w:autoSpaceDE w:val="0"/>
        <w:autoSpaceDN w:val="0"/>
        <w:adjustRightInd w:val="0"/>
        <w:spacing w:line="360" w:lineRule="auto"/>
        <w:jc w:val="both"/>
        <w:rPr>
          <w:rFonts w:cstheme="minorHAnsi"/>
        </w:rPr>
      </w:pPr>
      <w:r w:rsidRPr="007C01CB">
        <w:rPr>
          <w:rFonts w:eastAsiaTheme="majorEastAsia" w:cstheme="minorHAnsi"/>
          <w:bCs/>
          <w:iCs/>
        </w:rPr>
        <w:t>A variety of contributions ha</w:t>
      </w:r>
      <w:r w:rsidR="00F6440A">
        <w:rPr>
          <w:rFonts w:eastAsiaTheme="majorEastAsia" w:cstheme="minorHAnsi"/>
          <w:bCs/>
          <w:iCs/>
        </w:rPr>
        <w:t>ve sought to capture how organis</w:t>
      </w:r>
      <w:r w:rsidRPr="007C01CB">
        <w:rPr>
          <w:rFonts w:eastAsiaTheme="majorEastAsia" w:cstheme="minorHAnsi"/>
          <w:bCs/>
          <w:iCs/>
        </w:rPr>
        <w:t>ations may go through multiple collaborative arrangements throughout their lifetime. We conducted a</w:t>
      </w:r>
      <w:r w:rsidRPr="007C01CB">
        <w:rPr>
          <w:rFonts w:cstheme="minorHAnsi"/>
        </w:rPr>
        <w:t xml:space="preserve"> systematic review and ‘best fit’ framework synthesis </w:t>
      </w:r>
      <w:r w:rsidRPr="007C01CB">
        <w:rPr>
          <w:rFonts w:cstheme="minorHAnsi"/>
        </w:rPr>
        <w:fldChar w:fldCharType="begin" w:fldLock="1"/>
      </w:r>
      <w:r w:rsidR="00EA4B53">
        <w:rPr>
          <w:rFonts w:cstheme="minorHAnsi"/>
        </w:rPr>
        <w:instrText>ADDIN CSL_CITATION {"citationItems":[{"id":"ITEM-1","itemData":{"DOI":"10.1136/bmjqs-2014-003642","ISSN":"20445423","PMID":"26306609","abstract":"Increasing recognition of the role and value of theory in improvement work in healthcare offers the prospect of capitalising upon, and consolidating, actionable lessons from synthesis of improvement projects and initiatives. We propose that informed use of theory can (i) provide a mechanism by which to collect and organise data from a body of improvement work, (ii) offer a framework for analysis and identification of lessons learnt and (iii) facilitate an evaluation of the feasibility, effectiveness and acceptability of improvement programmes. Improvement practitioners can benefit from using an underpinning external structure as a lens by which to examine the specific achievements of their own projects alongside comparable initiatives led by others. We demonstrate the utility of a method known as 'best fit framework synthesis' (BFFS) in offering a ubiquitous and versatile means by which to collect, analyse and evaluate improvement work in healthcare. First reported in 2011, BFFS represents a pragmatic, flexible approach to integrating theory with findings from practice. A deductive phase, where a review team seeks to accommodate a substantial part of the data, is followed by an inductive phase, in which the team explores data not accommodated by the framework. We explore the potential for BFFS within improvement work by drawing upon the evidence synthesis methodology literature and practical examples of improvement work reported in BMJ Quality and Safety (2011-2015). We suggest four variants of BFFS that may have particular value in synthesising a body of improvement work. We conclude that BFFS, alongside other approaches that seek to optimise the contribution of theory to improvement work, represents one important enabling mechanism by which to establish the rigour and scientific credentials of the emerging discipline of 'improvement science'.","author":[{"dropping-particle":"","family":"Booth","given":"Andrew","non-dropping-particle":"","parse-names":false,"suffix":""},{"dropping-particle":"","family":"Carroll","given":"Christopher","non-dropping-particle":"","parse-names":false,"suffix":""}],"container-title":"BMJ quality &amp; safety","id":"ITEM-1","issue":"11","issued":{"date-parts":[["2015"]]},"page":"700-708","title":"How to build up the actionable knowledge base: the role of 'best fit' framework synthesis for studies of improvement in healthcare","type":"article-journal","volume":"24"},"uris":["http://www.mendeley.com/documents/?uuid=fcc6bdcf-104b-481c-9c67-8d3d1a304863","http://www.mendeley.com/documents/?uuid=a48fb61e-0ee8-4ee9-8019-31fcae4ef50f"]}],"mendeley":{"formattedCitation":"&lt;sup&gt;116&lt;/sup&gt;","plainTextFormattedCitation":"116","previouslyFormattedCitation":"&lt;sup&gt;116&lt;/sup&gt;"},"properties":{"noteIndex":0},"schema":"https://github.com/citation-style-language/schema/raw/master/csl-citation.json"}</w:instrText>
      </w:r>
      <w:r w:rsidRPr="007C01CB">
        <w:rPr>
          <w:rFonts w:cstheme="minorHAnsi"/>
        </w:rPr>
        <w:fldChar w:fldCharType="separate"/>
      </w:r>
      <w:r w:rsidR="00E25884" w:rsidRPr="00E25884">
        <w:rPr>
          <w:rFonts w:cstheme="minorHAnsi"/>
          <w:noProof/>
          <w:vertAlign w:val="superscript"/>
        </w:rPr>
        <w:t>116</w:t>
      </w:r>
      <w:r w:rsidRPr="007C01CB">
        <w:rPr>
          <w:rFonts w:cstheme="minorHAnsi"/>
        </w:rPr>
        <w:fldChar w:fldCharType="end"/>
      </w:r>
      <w:r w:rsidRPr="007C01CB">
        <w:rPr>
          <w:rFonts w:cstheme="minorHAnsi"/>
        </w:rPr>
        <w:t xml:space="preserve"> to identify key literature regarding the life cycle of collaborations in a healthcare setting. This resulted in the formation of several key stages: Contemplating, Connecting, Planning, Implementation, and Maintenance or Dissolution</w:t>
      </w:r>
      <w:r>
        <w:rPr>
          <w:rFonts w:cstheme="minorHAnsi"/>
        </w:rPr>
        <w:t xml:space="preserve"> (figure 8)</w:t>
      </w:r>
      <w:r w:rsidRPr="007C01CB">
        <w:rPr>
          <w:rFonts w:cstheme="minorHAnsi"/>
        </w:rPr>
        <w:t xml:space="preserve">. The full methodology can be seen in </w:t>
      </w:r>
      <w:r w:rsidRPr="00B85E73">
        <w:rPr>
          <w:rFonts w:cstheme="minorHAnsi"/>
          <w:color w:val="000000" w:themeColor="text1"/>
        </w:rPr>
        <w:t>appendix 2.</w:t>
      </w:r>
    </w:p>
    <w:p w14:paraId="3733D02B" w14:textId="2A7D81E4" w:rsidR="007873A7" w:rsidRPr="007C01CB" w:rsidRDefault="007873A7" w:rsidP="00525BE0">
      <w:pPr>
        <w:autoSpaceDE w:val="0"/>
        <w:autoSpaceDN w:val="0"/>
        <w:adjustRightInd w:val="0"/>
        <w:spacing w:line="360" w:lineRule="auto"/>
        <w:jc w:val="both"/>
        <w:rPr>
          <w:rFonts w:cstheme="minorHAnsi"/>
        </w:rPr>
      </w:pPr>
      <w:r w:rsidRPr="007C01CB">
        <w:rPr>
          <w:rFonts w:cstheme="minorHAnsi"/>
        </w:rPr>
        <w:t>The Contemplation aspe</w:t>
      </w:r>
      <w:r w:rsidR="00F6440A">
        <w:rPr>
          <w:rFonts w:cstheme="minorHAnsi"/>
        </w:rPr>
        <w:t>ct of collaborating incorporates</w:t>
      </w:r>
      <w:r w:rsidRPr="007C01CB">
        <w:rPr>
          <w:rFonts w:cstheme="minorHAnsi"/>
        </w:rPr>
        <w:t xml:space="preserve"> behaviours analogous to ‘thinking about’ collaborating before it actually begins </w:t>
      </w:r>
      <w:r w:rsidR="005C59E7">
        <w:rPr>
          <w:rFonts w:cstheme="minorHAnsi"/>
        </w:rPr>
        <w:t xml:space="preserve"> </w:t>
      </w:r>
      <w:r w:rsidR="005C59E7">
        <w:rPr>
          <w:rFonts w:cstheme="minorHAnsi"/>
        </w:rPr>
        <w:fldChar w:fldCharType="begin" w:fldLock="1"/>
      </w:r>
      <w:r w:rsidR="00EA4B53">
        <w:rPr>
          <w:rFonts w:cstheme="minorHAnsi"/>
        </w:rPr>
        <w:instrText>ADDIN CSL_CITATION {"citationItems":[{"id":"ITEM-1","itemData":{"ISSN":"0199266255","author":[{"dropping-particle":"","family":"Child","given":"John","non-dropping-particle":"","parse-names":false,"suffix":""},{"dropping-particle":"","family":"Faulkner","given":"David","non-dropping-particle":"","parse-names":false,"suffix":""},{"dropping-particle":"","family":"Tallman","given":"Stephen","non-dropping-particle":"","parse-names":false,"suffix":""}],"id":"ITEM-1","issued":{"date-parts":[["2005"]]},"publisher":"Oxford University Press","title":"Cooperative Strategy: Managing Alliances, Networks, and Joint Ventures","type":"article-journal"},"uris":["http://www.mendeley.com/documents/?uuid=5244b72c-ff84-4a33-910d-aa7d1f074fa8"]},{"id":"ITEM-2","itemData":{"author":[{"dropping-particle":"","family":"Gray","given":"Barbara","non-dropping-particle":"","parse-names":false,"suffix":""}],"id":"ITEM-2","issued":{"date-parts":[["1989"]]},"publisher":"Jossey-Bass San Francisco","title":"Collaborating: Finding common ground for multiparty problems","type":"article-journal"},"uris":["http://www.mendeley.com/documents/?uuid=a59bf2ec-2313-40b2-90b6-b9f05c790a7b"]}],"mendeley":{"formattedCitation":"&lt;sup&gt;117,118&lt;/sup&gt;","plainTextFormattedCitation":"117,118","previouslyFormattedCitation":"&lt;sup&gt;117,118&lt;/sup&gt;"},"properties":{"noteIndex":0},"schema":"https://github.com/citation-style-language/schema/raw/master/csl-citation.json"}</w:instrText>
      </w:r>
      <w:r w:rsidR="005C59E7">
        <w:rPr>
          <w:rFonts w:cstheme="minorHAnsi"/>
        </w:rPr>
        <w:fldChar w:fldCharType="separate"/>
      </w:r>
      <w:r w:rsidR="00E25884" w:rsidRPr="00E25884">
        <w:rPr>
          <w:rFonts w:cstheme="minorHAnsi"/>
          <w:noProof/>
          <w:vertAlign w:val="superscript"/>
        </w:rPr>
        <w:t>117,118</w:t>
      </w:r>
      <w:r w:rsidR="005C59E7">
        <w:rPr>
          <w:rFonts w:cstheme="minorHAnsi"/>
        </w:rPr>
        <w:fldChar w:fldCharType="end"/>
      </w:r>
      <w:r w:rsidRPr="007C01CB">
        <w:rPr>
          <w:rFonts w:cstheme="minorHAnsi"/>
        </w:rPr>
        <w:t>. For example, the paper by Hudson et al (1999) puts forward behaviours such as “recognizing the need to collaborate”, and “identification of a legitimate basis for collaboration”</w:t>
      </w:r>
      <w:r w:rsidR="005C59E7">
        <w:rPr>
          <w:rFonts w:cstheme="minorHAnsi"/>
        </w:rPr>
        <w:t xml:space="preserve"> </w:t>
      </w:r>
      <w:r w:rsidR="005C59E7">
        <w:rPr>
          <w:rFonts w:cstheme="minorHAnsi"/>
        </w:rPr>
        <w:fldChar w:fldCharType="begin" w:fldLock="1"/>
      </w:r>
      <w:r w:rsidR="00EA4B53">
        <w:rPr>
          <w:rFonts w:cstheme="minorHAnsi"/>
        </w:rPr>
        <w:instrText>ADDIN CSL_CITATION {"citationItems":[{"id":"ITEM-1","itemData":{"DOI":"10.1080/14719039900000005","ISBN":"1471903990","ISSN":"1461-667X","abstract":"Althougn long seen as desirable, interagency collaboration has remained conceptually elusive and difficult to achieve. Whilst recognising that there are other positions, this article takes the normative position that collaboratlon is generally a 'good thing'. It brings together strands of theoretical, concaptual and empirical literature from diverse disciplines in order to better understand inter-agency collaboration as a concept and as a process. This is developed into a sequentially structured framework capable of being customised to a range of organisational and policy contexts.","author":[{"dropping-particle":"","family":"Hudson","given":"Bob","non-dropping-particle":"","parse-names":false,"suffix":""},{"dropping-particle":"","family":"Hardy","given":"Brian","non-dropping-particle":"","parse-names":false,"suffix":""},{"dropping-particle":"","family":"Henwood","given":"Melanie","non-dropping-particle":"","parse-names":false,"suffix":""},{"dropping-particle":"","family":"Wistow","given":"Gerald","non-dropping-particle":"","parse-names":false,"suffix":""}],"container-title":"Public Management: An International Journal of Research and Theory","id":"ITEM-1","issue":"2","issued":{"date-parts":[["1999"]]},"page":"235-260","title":"In Pursuit of Inter-Agency Collaboration In The Public Sector","type":"article-journal","volume":"1"},"uris":["http://www.mendeley.com/documents/?uuid=c55cbc32-c293-40a6-aa3b-16bcff2c1b72"]}],"mendeley":{"formattedCitation":"&lt;sup&gt;119&lt;/sup&gt;","plainTextFormattedCitation":"119","previouslyFormattedCitation":"&lt;sup&gt;119&lt;/sup&gt;"},"properties":{"noteIndex":0},"schema":"https://github.com/citation-style-language/schema/raw/master/csl-citation.json"}</w:instrText>
      </w:r>
      <w:r w:rsidR="005C59E7">
        <w:rPr>
          <w:rFonts w:cstheme="minorHAnsi"/>
        </w:rPr>
        <w:fldChar w:fldCharType="separate"/>
      </w:r>
      <w:r w:rsidR="00E25884" w:rsidRPr="00E25884">
        <w:rPr>
          <w:rFonts w:cstheme="minorHAnsi"/>
          <w:noProof/>
          <w:vertAlign w:val="superscript"/>
        </w:rPr>
        <w:t>119</w:t>
      </w:r>
      <w:r w:rsidR="005C59E7">
        <w:rPr>
          <w:rFonts w:cstheme="minorHAnsi"/>
        </w:rPr>
        <w:fldChar w:fldCharType="end"/>
      </w:r>
      <w:r w:rsidRPr="007C01CB">
        <w:rPr>
          <w:rFonts w:cstheme="minorHAnsi"/>
        </w:rPr>
        <w:t>. These and others have been integrated into the model as “defining the problem”, “identifying resources”, “identifying stakeholders”, “considering solutions to problems, i.e. collaborative forms”</w:t>
      </w:r>
      <w:r w:rsidR="008952B6">
        <w:rPr>
          <w:rFonts w:cstheme="minorHAnsi"/>
        </w:rPr>
        <w:t xml:space="preserve"> </w:t>
      </w:r>
      <w:r w:rsidR="008952B6">
        <w:rPr>
          <w:rFonts w:cstheme="minorHAnsi"/>
        </w:rPr>
        <w:fldChar w:fldCharType="begin" w:fldLock="1"/>
      </w:r>
      <w:r w:rsidR="00EA4B53">
        <w:rPr>
          <w:rFonts w:cstheme="minorHAnsi"/>
        </w:rPr>
        <w:instrText>ADDIN CSL_CITATION {"citationItems":[{"id":"ITEM-1","itemData":{"DOI":"10.1080/14719039900000005","ISBN":"1471903990","ISSN":"1461-667X","abstract":"Althougn long seen as desirable, interagency collaboration has remained conceptually elusive and difficult to achieve. Whilst recognising that there are other positions, this article takes the normative position that collaboratlon is generally a 'good thing'. It brings together strands of theoretical, concaptual and empirical literature from diverse disciplines in order to better understand inter-agency collaboration as a concept and as a process. This is developed into a sequentially structured framework capable of being customised to a range of organisational and policy contexts.","author":[{"dropping-particle":"","family":"Hudson","given":"Bob","non-dropping-particle":"","parse-names":false,"suffix":""},{"dropping-particle":"","family":"Hardy","given":"Brian","non-dropping-particle":"","parse-names":false,"suffix":""},{"dropping-particle":"","family":"Henwood","given":"Melanie","non-dropping-particle":"","parse-names":false,"suffix":""},{"dropping-particle":"","family":"Wistow","given":"Gerald","non-dropping-particle":"","parse-names":false,"suffix":""}],"container-title":"Public Management: An International Journal of Research and Theory","id":"ITEM-1","issue":"2","issued":{"date-parts":[["1999"]]},"page":"235-260","title":"In Pursuit of Inter-Agency Collaboration In The Public Sector","type":"article-journal","volume":"1"},"uris":["http://www.mendeley.com/documents/?uuid=c55cbc32-c293-40a6-aa3b-16bcff2c1b72"]}],"mendeley":{"formattedCitation":"&lt;sup&gt;119&lt;/sup&gt;","plainTextFormattedCitation":"119","previouslyFormattedCitation":"&lt;sup&gt;119&lt;/sup&gt;"},"properties":{"noteIndex":0},"schema":"https://github.com/citation-style-language/schema/raw/master/csl-citation.json"}</w:instrText>
      </w:r>
      <w:r w:rsidR="008952B6">
        <w:rPr>
          <w:rFonts w:cstheme="minorHAnsi"/>
        </w:rPr>
        <w:fldChar w:fldCharType="separate"/>
      </w:r>
      <w:r w:rsidR="00E25884" w:rsidRPr="00E25884">
        <w:rPr>
          <w:rFonts w:cstheme="minorHAnsi"/>
          <w:noProof/>
          <w:vertAlign w:val="superscript"/>
        </w:rPr>
        <w:t>119</w:t>
      </w:r>
      <w:r w:rsidR="008952B6">
        <w:rPr>
          <w:rFonts w:cstheme="minorHAnsi"/>
        </w:rPr>
        <w:fldChar w:fldCharType="end"/>
      </w:r>
      <w:r w:rsidRPr="007C01CB">
        <w:rPr>
          <w:rFonts w:cstheme="minorHAnsi"/>
        </w:rPr>
        <w:t>.</w:t>
      </w:r>
    </w:p>
    <w:p w14:paraId="59C5D17E" w14:textId="0FD66D59" w:rsidR="007873A7" w:rsidRPr="007C01CB" w:rsidRDefault="00C96E2C" w:rsidP="00525BE0">
      <w:pPr>
        <w:autoSpaceDE w:val="0"/>
        <w:autoSpaceDN w:val="0"/>
        <w:adjustRightInd w:val="0"/>
        <w:spacing w:line="360" w:lineRule="auto"/>
        <w:jc w:val="both"/>
        <w:rPr>
          <w:rFonts w:eastAsiaTheme="majorEastAsia" w:cstheme="minorHAnsi"/>
          <w:bCs/>
          <w:iCs/>
          <w:color w:val="2F5496" w:themeColor="accent1" w:themeShade="BF"/>
        </w:rPr>
      </w:pPr>
      <w:r>
        <w:rPr>
          <w:rFonts w:cstheme="minorHAnsi"/>
        </w:rPr>
        <w:t xml:space="preserve">The Connecting </w:t>
      </w:r>
      <w:r w:rsidR="003C360E">
        <w:rPr>
          <w:rFonts w:cstheme="minorHAnsi"/>
        </w:rPr>
        <w:t>phase</w:t>
      </w:r>
      <w:r>
        <w:rPr>
          <w:rFonts w:cstheme="minorHAnsi"/>
        </w:rPr>
        <w:t xml:space="preserve"> revolves</w:t>
      </w:r>
      <w:r w:rsidR="007873A7" w:rsidRPr="007C01CB">
        <w:rPr>
          <w:rFonts w:cstheme="minorHAnsi"/>
        </w:rPr>
        <w:t xml:space="preserve"> aro</w:t>
      </w:r>
      <w:r w:rsidR="00F6440A">
        <w:rPr>
          <w:rFonts w:cstheme="minorHAnsi"/>
        </w:rPr>
        <w:t>und behaviours which establish</w:t>
      </w:r>
      <w:r w:rsidR="007873A7" w:rsidRPr="007C01CB">
        <w:rPr>
          <w:rFonts w:cstheme="minorHAnsi"/>
        </w:rPr>
        <w:t xml:space="preserve"> the initial processes of relationship building between actors. For example, </w:t>
      </w:r>
      <w:r w:rsidR="007873A7" w:rsidRPr="007C01CB">
        <w:rPr>
          <w:rFonts w:cstheme="minorHAnsi"/>
        </w:rPr>
        <w:fldChar w:fldCharType="begin" w:fldLock="1"/>
      </w:r>
      <w:r w:rsidR="00804189">
        <w:rPr>
          <w:rFonts w:cstheme="minorHAnsi"/>
        </w:rPr>
        <w:instrText>ADDIN CSL_CITATION {"citationItems":[{"id":"ITEM-1","itemData":{"DOI":"10.1111/1467-9299.00103","ISSN":"00333298","abstract":"Multi-organizational partnerships are now an important means of governing and managing public programmes. They typically involve business, community and not-for-profit agencies alongside government bodies. Partnerships are frequently contrasted with competitive markets and bureaucratic hierarchies. A more complex reality is revealed once partnerships as an organizational form are distinguished from networks as a mode of social co-ordination or governance. Data from studies of UK urban regeneration partnerships are used to develop a four-stage partnership life cycle: pre-partnership collaboration; partnership creation; partnership programme delivery; and partnership termination. A different mode of governance -network, market or hierarchy - predominates at each stage. Separating organizational form from mode of governance enables a richer understanding of multiorganizational activity and provides the basis from which theory and practice can be developed. The key challenge for partnerships lies in managing the interaction of different modes of governance, which at some points will generate competition and at other points collaboration.","author":[{"dropping-particle":"","family":"Lowndes","given":"Vivien","non-dropping-particle":"","parse-names":false,"suffix":""},{"dropping-particle":"","family":"Skelcher","given":"Chris","non-dropping-particle":"","parse-names":false,"suffix":""}],"container-title":"Public Administration","id":"ITEM-1","issue":"2","issued":{"date-parts":[["1998"]]},"page":"313-333","title":"The dynamics of multi-organizational partnerships: An analysis of changing modes of governance","type":"article-journal","volume":"76"},"uris":["http://www.mendeley.com/documents/?uuid=ba1d3531-b355-4cf2-b0ad-fd7d3d63bc25","http://www.mendeley.com/documents/?uuid=bdce332c-0dac-41de-b17a-6880a686bbde"]}],"mendeley":{"formattedCitation":"&lt;sup&gt;89&lt;/sup&gt;","manualFormatting":"Lowndes and Skelcher (1998)","plainTextFormattedCitation":"89","previouslyFormattedCitation":"&lt;sup&gt;89&lt;/sup&gt;"},"properties":{"noteIndex":0},"schema":"https://github.com/citation-style-language/schema/raw/master/csl-citation.json"}</w:instrText>
      </w:r>
      <w:r w:rsidR="007873A7" w:rsidRPr="007C01CB">
        <w:rPr>
          <w:rFonts w:cstheme="minorHAnsi"/>
        </w:rPr>
        <w:fldChar w:fldCharType="separate"/>
      </w:r>
      <w:r w:rsidR="007873A7" w:rsidRPr="007C01CB">
        <w:rPr>
          <w:rFonts w:cstheme="minorHAnsi"/>
          <w:noProof/>
        </w:rPr>
        <w:t>Lowndes and Skelcher (1998)</w:t>
      </w:r>
      <w:r w:rsidR="007873A7" w:rsidRPr="007C01CB">
        <w:rPr>
          <w:rFonts w:cstheme="minorHAnsi"/>
        </w:rPr>
        <w:fldChar w:fldCharType="end"/>
      </w:r>
      <w:r w:rsidR="007873A7" w:rsidRPr="007C01CB">
        <w:rPr>
          <w:rFonts w:cstheme="minorHAnsi"/>
        </w:rPr>
        <w:t xml:space="preserve"> put forward “informality, trust and co-operation, willingness to work together”</w:t>
      </w:r>
      <w:r w:rsidR="00F6440A">
        <w:rPr>
          <w:rFonts w:cstheme="minorHAnsi"/>
        </w:rPr>
        <w:t xml:space="preserve"> as key features of connecting</w:t>
      </w:r>
      <w:r w:rsidR="007873A7" w:rsidRPr="007C01CB">
        <w:rPr>
          <w:rFonts w:cstheme="minorHAnsi"/>
        </w:rPr>
        <w:t>. Likewise, ourpartnership.org.uk (2007) establish that, in this stage, “partners get to know each other and plan future activities” and undergo “realistic self-appraisal and appraisal of partners”</w:t>
      </w:r>
      <w:r w:rsidR="005C59E7">
        <w:rPr>
          <w:rFonts w:cstheme="minorHAnsi"/>
        </w:rPr>
        <w:t xml:space="preserve"> </w:t>
      </w:r>
      <w:r w:rsidR="005C59E7">
        <w:rPr>
          <w:rFonts w:cstheme="minorHAnsi"/>
        </w:rPr>
        <w:fldChar w:fldCharType="begin" w:fldLock="1"/>
      </w:r>
      <w:r w:rsidR="00804189">
        <w:rPr>
          <w:rFonts w:cstheme="minorHAnsi"/>
        </w:rPr>
        <w:instrText>ADDIN CSL_CITATION {"citationItems":[{"id":"ITEM-1","itemData":{"DOI":"10.1111/1467-9299.00103","ISSN":"00333298","abstract":"Multi-organizational partnerships are now an important means of governing and managing public programmes. They typically involve business, community and not-for-profit agencies alongside government bodies. Partnerships are frequently contrasted with competitive markets and bureaucratic hierarchies. A more complex reality is revealed once partnerships as an organizational form are distinguished from networks as a mode of social co-ordination or governance. Data from studies of UK urban regeneration partnerships are used to develop a four-stage partnership life cycle: pre-partnership collaboration; partnership creation; partnership programme delivery; and partnership termination. A different mode of governance -network, market or hierarchy - predominates at each stage. Separating organizational form from mode of governance enables a richer understanding of multiorganizational activity and provides the basis from which theory and practice can be developed. The key challenge for partnerships lies in managing the interaction of different modes of governance, which at some points will generate competition and at other points collaboration.","author":[{"dropping-particle":"","family":"Lowndes","given":"Vivien","non-dropping-particle":"","parse-names":false,"suffix":""},{"dropping-particle":"","family":"Skelcher","given":"Chris","non-dropping-particle":"","parse-names":false,"suffix":""}],"container-title":"Public Administration","id":"ITEM-1","issue":"2","issued":{"date-parts":[["1998"]]},"page":"313-333","title":"The dynamics of multi-organizational partnerships: An analysis of changing modes of governance","type":"article-journal","volume":"76"},"uris":["http://www.mendeley.com/documents/?uuid=ba1d3531-b355-4cf2-b0ad-fd7d3d63bc25"]},{"id":"ITEM-2","itemData":{"ISSN":"1558-9080","author":[{"dropping-particle":"","family":"Kanter","given":"Rosabeth Moss","non-dropping-particle":"","parse-names":false,"suffix":""}],"container-title":"Academy of Management Perspectives","id":"ITEM-2","issue":"3","issued":{"date-parts":[["1989"]]},"page":"183-193","publisher":"Academy of Management Briarcliff Manor, NY 10510","title":"Becoming PALs: Pooling, allying, and linking across companies","type":"article-journal","volume":"3"},"uris":["http://www.mendeley.com/documents/?uuid=84da4b09-aad4-4943-b620-503fa7bef8df"]},{"id":"ITEM-3","itemData":{"author":[{"dropping-particle":"","family":"ourpartnership.org.uk","given":"","non-dropping-particle":"","parse-names":false,"suffix":""}],"container-title":"Guidance","id":"ITEM-3","issued":{"date-parts":[["2007"]]},"title":"Ourpartnership.org.uk","type":"webpage"},"uris":["http://www.mendeley.com/documents/?uuid=5e458f6e-4667-4935-af45-cf5cf434d688"]}],"mendeley":{"formattedCitation":"&lt;sup&gt;89,120,121&lt;/sup&gt;","plainTextFormattedCitation":"89,120,121","previouslyFormattedCitation":"&lt;sup&gt;89,120,121&lt;/sup&gt;"},"properties":{"noteIndex":0},"schema":"https://github.com/citation-style-language/schema/raw/master/csl-citation.json"}</w:instrText>
      </w:r>
      <w:r w:rsidR="005C59E7">
        <w:rPr>
          <w:rFonts w:cstheme="minorHAnsi"/>
        </w:rPr>
        <w:fldChar w:fldCharType="separate"/>
      </w:r>
      <w:r w:rsidR="00C4603E" w:rsidRPr="00C4603E">
        <w:rPr>
          <w:rFonts w:cstheme="minorHAnsi"/>
          <w:noProof/>
          <w:vertAlign w:val="superscript"/>
        </w:rPr>
        <w:t>89,120,121</w:t>
      </w:r>
      <w:r w:rsidR="005C59E7">
        <w:rPr>
          <w:rFonts w:cstheme="minorHAnsi"/>
        </w:rPr>
        <w:fldChar w:fldCharType="end"/>
      </w:r>
    </w:p>
    <w:p w14:paraId="1502C0BE" w14:textId="38FC990A" w:rsidR="007873A7" w:rsidRPr="007C01CB" w:rsidRDefault="00C96E2C" w:rsidP="00525BE0">
      <w:pPr>
        <w:autoSpaceDE w:val="0"/>
        <w:autoSpaceDN w:val="0"/>
        <w:adjustRightInd w:val="0"/>
        <w:spacing w:line="360" w:lineRule="auto"/>
        <w:jc w:val="both"/>
        <w:rPr>
          <w:rFonts w:cstheme="minorHAnsi"/>
        </w:rPr>
      </w:pPr>
      <w:r>
        <w:rPr>
          <w:rFonts w:cstheme="minorHAnsi"/>
        </w:rPr>
        <w:t>The Planning phase includes</w:t>
      </w:r>
      <w:r w:rsidR="007873A7" w:rsidRPr="007C01CB">
        <w:rPr>
          <w:rFonts w:cstheme="minorHAnsi"/>
        </w:rPr>
        <w:t xml:space="preserve"> behaviours such as “setting targets, establishing management teams” </w:t>
      </w:r>
      <w:r w:rsidR="007873A7" w:rsidRPr="007C01CB">
        <w:rPr>
          <w:rFonts w:cstheme="minorHAnsi"/>
        </w:rPr>
        <w:fldChar w:fldCharType="begin" w:fldLock="1"/>
      </w:r>
      <w:r w:rsidR="00EA4B53">
        <w:rPr>
          <w:rFonts w:cstheme="minorHAnsi"/>
        </w:rPr>
        <w:instrText>ADDIN CSL_CITATION {"citationItems":[{"id":"ITEM-1","itemData":{"ISBN":"1899987398","author":[{"dropping-particle":"","family":"Wilson","given":"Andrew","non-dropping-particle":"","parse-names":false,"suffix":""},{"dropping-particle":"","family":"Charlton","given":"Kate","non-dropping-particle":"","parse-names":false,"suffix":""}],"id":"ITEM-1","issued":{"date-parts":[["1997"]]},"publisher":"Joseph Rowntree Foundation York","title":"Making partnerships work: A practical guide for the public, private, voluntary and community sectors","type":"book"},"uris":["http://www.mendeley.com/documents/?uuid=114b538c-f33b-487c-a7f1-818da3b40235","http://www.mendeley.com/documents/?uuid=376d91bb-cb5e-41f1-b293-781fbfd2da1f"]}],"mendeley":{"formattedCitation":"&lt;sup&gt;122&lt;/sup&gt;","plainTextFormattedCitation":"122","previouslyFormattedCitation":"&lt;sup&gt;122&lt;/sup&gt;"},"properties":{"noteIndex":0},"schema":"https://github.com/citation-style-language/schema/raw/master/csl-citation.json"}</w:instrText>
      </w:r>
      <w:r w:rsidR="007873A7" w:rsidRPr="007C01CB">
        <w:rPr>
          <w:rFonts w:cstheme="minorHAnsi"/>
        </w:rPr>
        <w:fldChar w:fldCharType="separate"/>
      </w:r>
      <w:r w:rsidR="00E25884" w:rsidRPr="00E25884">
        <w:rPr>
          <w:rFonts w:cstheme="minorHAnsi"/>
          <w:noProof/>
          <w:vertAlign w:val="superscript"/>
        </w:rPr>
        <w:t>122</w:t>
      </w:r>
      <w:r w:rsidR="007873A7" w:rsidRPr="007C01CB">
        <w:rPr>
          <w:rFonts w:cstheme="minorHAnsi"/>
        </w:rPr>
        <w:fldChar w:fldCharType="end"/>
      </w:r>
      <w:r w:rsidR="007873A7" w:rsidRPr="007C01CB">
        <w:rPr>
          <w:rFonts w:cstheme="minorHAnsi"/>
        </w:rPr>
        <w:t xml:space="preserve">, “fostering partnership working values and engagement” </w:t>
      </w:r>
      <w:r w:rsidR="007873A7" w:rsidRPr="007C01CB">
        <w:rPr>
          <w:rFonts w:cstheme="minorHAnsi"/>
        </w:rPr>
        <w:fldChar w:fldCharType="begin" w:fldLock="1"/>
      </w:r>
      <w:r w:rsidR="00EA4B53">
        <w:rPr>
          <w:rFonts w:cstheme="minorHAnsi"/>
        </w:rPr>
        <w:instrText>ADDIN CSL_CITATION {"citationItems":[{"id":"ITEM-1","itemData":{"DOI":"10.1093/heapro/15.2.99","ISSN":"0957-4824","abstract":"SUMMARY The term capacity building has been used in respect of a wide range of strategies and processes which have the ultimate aim of improved health practices which are sustainable. After defining capacity building, this paper explores the processes and strategies associated with four distinct approaches to capacity building, considers the role of funding bodies and begins to question how these factors impact on the evaluation of capacity building.","author":[{"dropping-particle":"","family":"Crisp","given":"Beth R","non-dropping-particle":"","parse-names":false,"suffix":""},{"dropping-particle":"","family":"Swerissen","given":"Hal","non-dropping-particle":"","parse-names":false,"suffix":""},{"dropping-particle":"","family":"Duckett","given":"Stephen J.","non-dropping-particle":"","parse-names":false,"suffix":""}],"container-title":"Health Promotion International","id":"ITEM-1","issue":"2","issued":{"date-parts":[["2000"]]},"page":"99-107","title":"Four approaches to capacity building in health: consequences for measurement and accountability","type":"article-journal","volume":"15"},"uris":["http://www.mendeley.com/documents/?uuid=18eed5a6-ab11-4fe0-a404-662d483cd11e","http://www.mendeley.com/documents/?uuid=425b73f6-fb29-43af-8184-0e8a8230505c"]}],"mendeley":{"formattedCitation":"&lt;sup&gt;123&lt;/sup&gt;","plainTextFormattedCitation":"123","previouslyFormattedCitation":"&lt;sup&gt;123&lt;/sup&gt;"},"properties":{"noteIndex":0},"schema":"https://github.com/citation-style-language/schema/raw/master/csl-citation.json"}</w:instrText>
      </w:r>
      <w:r w:rsidR="007873A7" w:rsidRPr="007C01CB">
        <w:rPr>
          <w:rFonts w:cstheme="minorHAnsi"/>
        </w:rPr>
        <w:fldChar w:fldCharType="separate"/>
      </w:r>
      <w:r w:rsidR="00E25884" w:rsidRPr="00E25884">
        <w:rPr>
          <w:rFonts w:cstheme="minorHAnsi"/>
          <w:noProof/>
          <w:vertAlign w:val="superscript"/>
        </w:rPr>
        <w:t>123</w:t>
      </w:r>
      <w:r w:rsidR="007873A7" w:rsidRPr="007C01CB">
        <w:rPr>
          <w:rFonts w:cstheme="minorHAnsi"/>
        </w:rPr>
        <w:fldChar w:fldCharType="end"/>
      </w:r>
      <w:r w:rsidR="007873A7" w:rsidRPr="007C01CB">
        <w:rPr>
          <w:rFonts w:cstheme="minorHAnsi"/>
        </w:rPr>
        <w:t xml:space="preserve">, and “developing basic agreement” </w:t>
      </w:r>
      <w:r w:rsidR="007873A7" w:rsidRPr="007C01CB">
        <w:rPr>
          <w:rFonts w:cstheme="minorHAnsi"/>
        </w:rPr>
        <w:fldChar w:fldCharType="begin" w:fldLock="1"/>
      </w:r>
      <w:r w:rsidR="00EA4B53">
        <w:rPr>
          <w:rFonts w:cstheme="minorHAnsi"/>
        </w:rPr>
        <w:instrText>ADDIN CSL_CITATION {"citationItems":[{"id":"ITEM-1","itemData":{"ISSN":"1558-9080","author":[{"dropping-particle":"","family":"Kanter","given":"Rosabeth Moss","non-dropping-particle":"","parse-names":false,"suffix":""}],"container-title":"Academy of Management Perspectives","id":"ITEM-1","issue":"3","issued":{"date-parts":[["1989"]]},"page":"183-193","publisher":"Academy of Management Briarcliff Manor, NY 10510","title":"Becoming PALs: Pooling, allying, and linking across companies","type":"article-journal","volume":"3"},"uris":["http://www.mendeley.com/documents/?uuid=84da4b09-aad4-4943-b620-503fa7bef8df","http://www.mendeley.com/documents/?uuid=afa90097-2329-4ef9-9459-05b6ff65a149"]}],"mendeley":{"formattedCitation":"&lt;sup&gt;120&lt;/sup&gt;","plainTextFormattedCitation":"120","previouslyFormattedCitation":"&lt;sup&gt;120&lt;/sup&gt;"},"properties":{"noteIndex":0},"schema":"https://github.com/citation-style-language/schema/raw/master/csl-citation.json"}</w:instrText>
      </w:r>
      <w:r w:rsidR="007873A7" w:rsidRPr="007C01CB">
        <w:rPr>
          <w:rFonts w:cstheme="minorHAnsi"/>
        </w:rPr>
        <w:fldChar w:fldCharType="separate"/>
      </w:r>
      <w:r w:rsidR="00E25884" w:rsidRPr="00E25884">
        <w:rPr>
          <w:rFonts w:cstheme="minorHAnsi"/>
          <w:noProof/>
          <w:vertAlign w:val="superscript"/>
        </w:rPr>
        <w:t>120</w:t>
      </w:r>
      <w:r w:rsidR="007873A7" w:rsidRPr="007C01CB">
        <w:rPr>
          <w:rFonts w:cstheme="minorHAnsi"/>
        </w:rPr>
        <w:fldChar w:fldCharType="end"/>
      </w:r>
      <w:r w:rsidR="007873A7" w:rsidRPr="007C01CB">
        <w:rPr>
          <w:rFonts w:cstheme="minorHAnsi"/>
        </w:rPr>
        <w:t xml:space="preserve">. </w:t>
      </w:r>
    </w:p>
    <w:p w14:paraId="25A8F711" w14:textId="4284D783" w:rsidR="007873A7" w:rsidRPr="007C01CB" w:rsidRDefault="003C360E" w:rsidP="00525BE0">
      <w:pPr>
        <w:autoSpaceDE w:val="0"/>
        <w:autoSpaceDN w:val="0"/>
        <w:adjustRightInd w:val="0"/>
        <w:spacing w:line="360" w:lineRule="auto"/>
        <w:jc w:val="both"/>
        <w:rPr>
          <w:rFonts w:cstheme="minorHAnsi"/>
        </w:rPr>
      </w:pPr>
      <w:r>
        <w:rPr>
          <w:rFonts w:cstheme="minorHAnsi"/>
        </w:rPr>
        <w:t xml:space="preserve">The </w:t>
      </w:r>
      <w:r w:rsidR="00C96E2C">
        <w:rPr>
          <w:rFonts w:cstheme="minorHAnsi"/>
        </w:rPr>
        <w:t xml:space="preserve">Implementation </w:t>
      </w:r>
      <w:r>
        <w:rPr>
          <w:rFonts w:cstheme="minorHAnsi"/>
        </w:rPr>
        <w:t xml:space="preserve">phase </w:t>
      </w:r>
      <w:r w:rsidR="00C96E2C">
        <w:rPr>
          <w:rFonts w:cstheme="minorHAnsi"/>
        </w:rPr>
        <w:t>includes</w:t>
      </w:r>
      <w:r w:rsidR="007873A7" w:rsidRPr="007C01CB">
        <w:rPr>
          <w:rFonts w:cstheme="minorHAnsi"/>
        </w:rPr>
        <w:t xml:space="preserve"> behaviours such as “managing inevitable conflict between partners” </w:t>
      </w:r>
      <w:r w:rsidR="007873A7">
        <w:rPr>
          <w:rFonts w:cstheme="minorHAnsi"/>
        </w:rPr>
        <w:fldChar w:fldCharType="begin" w:fldLock="1"/>
      </w:r>
      <w:r w:rsidR="00EA4B53">
        <w:rPr>
          <w:rFonts w:cstheme="minorHAnsi"/>
        </w:rPr>
        <w:instrText>ADDIN CSL_CITATION {"citationItems":[{"id":"ITEM-1","itemData":{"author":[{"dropping-particle":"","family":"ourpartnership.org.uk","given":"","non-dropping-particle":"","parse-names":false,"suffix":""}],"container-title":"Guidance","id":"ITEM-1","issued":{"date-parts":[["2007"]]},"title":"Ourpartnership.org.uk","type":"webpage"},"uris":["http://www.mendeley.com/documents/?uuid=5e458f6e-4667-4935-af45-cf5cf434d688"]}],"mendeley":{"formattedCitation":"&lt;sup&gt;121&lt;/sup&gt;","plainTextFormattedCitation":"121","previouslyFormattedCitation":"&lt;sup&gt;121&lt;/sup&gt;"},"properties":{"noteIndex":0},"schema":"https://github.com/citation-style-language/schema/raw/master/csl-citation.json"}</w:instrText>
      </w:r>
      <w:r w:rsidR="007873A7">
        <w:rPr>
          <w:rFonts w:cstheme="minorHAnsi"/>
        </w:rPr>
        <w:fldChar w:fldCharType="separate"/>
      </w:r>
      <w:r w:rsidR="00E25884" w:rsidRPr="00E25884">
        <w:rPr>
          <w:rFonts w:cstheme="minorHAnsi"/>
          <w:noProof/>
          <w:vertAlign w:val="superscript"/>
        </w:rPr>
        <w:t>121</w:t>
      </w:r>
      <w:r w:rsidR="007873A7">
        <w:rPr>
          <w:rFonts w:cstheme="minorHAnsi"/>
        </w:rPr>
        <w:fldChar w:fldCharType="end"/>
      </w:r>
      <w:r w:rsidR="007873A7" w:rsidRPr="007C01CB">
        <w:rPr>
          <w:rFonts w:cstheme="minorHAnsi"/>
        </w:rPr>
        <w:t xml:space="preserve">, “experience of difficulties in new relationship” </w:t>
      </w:r>
      <w:r w:rsidR="007873A7">
        <w:rPr>
          <w:rFonts w:cstheme="minorHAnsi"/>
        </w:rPr>
        <w:fldChar w:fldCharType="begin" w:fldLock="1"/>
      </w:r>
      <w:r w:rsidR="00EA4B53">
        <w:rPr>
          <w:rFonts w:cstheme="minorHAnsi"/>
        </w:rPr>
        <w:instrText>ADDIN CSL_CITATION {"citationItems":[{"id":"ITEM-1","itemData":{"ISSN":"1558-9080","author":[{"dropping-particle":"","family":"Kanter","given":"Rosabeth Moss","non-dropping-particle":"","parse-names":false,"suffix":""}],"container-title":"Academy of Management Perspectives","id":"ITEM-1","issue":"3","issued":{"date-parts":[["1989"]]},"page":"183-193","publisher":"Academy of Management Briarcliff Manor, NY 10510","title":"Becoming PALs: Pooling, allying, and linking across companies","type":"article-journal","volume":"3"},"uris":["http://www.mendeley.com/documents/?uuid=84da4b09-aad4-4943-b620-503fa7bef8df"]}],"mendeley":{"formattedCitation":"&lt;sup&gt;120&lt;/sup&gt;","plainTextFormattedCitation":"120","previouslyFormattedCitation":"&lt;sup&gt;120&lt;/sup&gt;"},"properties":{"noteIndex":0},"schema":"https://github.com/citation-style-language/schema/raw/master/csl-citation.json"}</w:instrText>
      </w:r>
      <w:r w:rsidR="007873A7">
        <w:rPr>
          <w:rFonts w:cstheme="minorHAnsi"/>
        </w:rPr>
        <w:fldChar w:fldCharType="separate"/>
      </w:r>
      <w:r w:rsidR="00E25884" w:rsidRPr="00E25884">
        <w:rPr>
          <w:rFonts w:cstheme="minorHAnsi"/>
          <w:noProof/>
          <w:vertAlign w:val="superscript"/>
        </w:rPr>
        <w:t>120</w:t>
      </w:r>
      <w:r w:rsidR="007873A7">
        <w:rPr>
          <w:rFonts w:cstheme="minorHAnsi"/>
        </w:rPr>
        <w:fldChar w:fldCharType="end"/>
      </w:r>
      <w:r w:rsidR="007873A7" w:rsidRPr="007C01CB">
        <w:rPr>
          <w:rFonts w:cstheme="minorHAnsi"/>
        </w:rPr>
        <w:t xml:space="preserve"> and “evaluating and refining action plan” </w:t>
      </w:r>
      <w:r w:rsidR="007873A7">
        <w:rPr>
          <w:rFonts w:cstheme="minorHAnsi"/>
        </w:rPr>
        <w:fldChar w:fldCharType="begin" w:fldLock="1"/>
      </w:r>
      <w:r w:rsidR="00EA4B53">
        <w:rPr>
          <w:rFonts w:cstheme="minorHAnsi"/>
        </w:rPr>
        <w:instrText>ADDIN CSL_CITATION {"citationItems":[{"id":"ITEM-1","itemData":{"ISBN":"1899987398","author":[{"dropping-particle":"","family":"Wilson","given":"Andrew","non-dropping-particle":"","parse-names":false,"suffix":""},{"dropping-particle":"","family":"Charlton","given":"Kate","non-dropping-particle":"","parse-names":false,"suffix":""}],"id":"ITEM-1","issued":{"date-parts":[["1997"]]},"publisher":"Joseph Rowntree Foundation York","title":"Making partnerships work: A practical guide for the public, private, voluntary and community sectors","type":"book"},"uris":["http://www.mendeley.com/documents/?uuid=114b538c-f33b-487c-a7f1-818da3b40235"]}],"mendeley":{"formattedCitation":"&lt;sup&gt;122&lt;/sup&gt;","plainTextFormattedCitation":"122","previouslyFormattedCitation":"&lt;sup&gt;122&lt;/sup&gt;"},"properties":{"noteIndex":0},"schema":"https://github.com/citation-style-language/schema/raw/master/csl-citation.json"}</w:instrText>
      </w:r>
      <w:r w:rsidR="007873A7">
        <w:rPr>
          <w:rFonts w:cstheme="minorHAnsi"/>
        </w:rPr>
        <w:fldChar w:fldCharType="separate"/>
      </w:r>
      <w:r w:rsidR="00E25884" w:rsidRPr="00E25884">
        <w:rPr>
          <w:rFonts w:cstheme="minorHAnsi"/>
          <w:noProof/>
          <w:vertAlign w:val="superscript"/>
        </w:rPr>
        <w:t>122</w:t>
      </w:r>
      <w:r w:rsidR="007873A7">
        <w:rPr>
          <w:rFonts w:cstheme="minorHAnsi"/>
        </w:rPr>
        <w:fldChar w:fldCharType="end"/>
      </w:r>
      <w:r w:rsidR="00F6440A">
        <w:rPr>
          <w:rFonts w:cstheme="minorHAnsi"/>
        </w:rPr>
        <w:t>, and is characteris</w:t>
      </w:r>
      <w:r w:rsidR="007873A7" w:rsidRPr="007C01CB">
        <w:rPr>
          <w:rFonts w:cstheme="minorHAnsi"/>
        </w:rPr>
        <w:t xml:space="preserve">ed by the beginning and middle phases of putting the collaboration into action, undergoing problem solving as conflicts arise. </w:t>
      </w:r>
    </w:p>
    <w:p w14:paraId="5E1B09EF" w14:textId="3BECDDE0" w:rsidR="007873A7" w:rsidRPr="007C01CB" w:rsidRDefault="003C360E" w:rsidP="00525BE0">
      <w:pPr>
        <w:autoSpaceDE w:val="0"/>
        <w:autoSpaceDN w:val="0"/>
        <w:adjustRightInd w:val="0"/>
        <w:spacing w:line="360" w:lineRule="auto"/>
        <w:jc w:val="both"/>
        <w:rPr>
          <w:rFonts w:cstheme="minorHAnsi"/>
        </w:rPr>
      </w:pPr>
      <w:r>
        <w:rPr>
          <w:rFonts w:cstheme="minorHAnsi"/>
        </w:rPr>
        <w:t xml:space="preserve">The </w:t>
      </w:r>
      <w:r w:rsidR="007873A7" w:rsidRPr="007C01CB">
        <w:rPr>
          <w:rFonts w:cstheme="minorHAnsi"/>
        </w:rPr>
        <w:t xml:space="preserve">Maintenance </w:t>
      </w:r>
      <w:r>
        <w:rPr>
          <w:rFonts w:cstheme="minorHAnsi"/>
        </w:rPr>
        <w:t xml:space="preserve">phase </w:t>
      </w:r>
      <w:r w:rsidR="007873A7" w:rsidRPr="007C01CB">
        <w:rPr>
          <w:rFonts w:cstheme="minorHAnsi"/>
        </w:rPr>
        <w:t xml:space="preserve">refers to “building mechanisms to overcome barriers” </w:t>
      </w:r>
      <w:r w:rsidR="005C59E7">
        <w:rPr>
          <w:rFonts w:cstheme="minorHAnsi"/>
        </w:rPr>
        <w:fldChar w:fldCharType="begin" w:fldLock="1"/>
      </w:r>
      <w:r w:rsidR="00EA4B53">
        <w:rPr>
          <w:rFonts w:cstheme="minorHAnsi"/>
        </w:rPr>
        <w:instrText>ADDIN CSL_CITATION {"citationItems":[{"id":"ITEM-1","itemData":{"ISSN":"1558-9080","author":[{"dropping-particle":"","family":"Kanter","given":"Rosabeth Moss","non-dropping-particle":"","parse-names":false,"suffix":""}],"container-title":"Academy of Management Perspectives","id":"ITEM-1","issue":"3","issued":{"date-parts":[["1989"]]},"page":"183-193","publisher":"Academy of Management Briarcliff Manor, NY 10510","title":"Becoming PALs: Pooling, allying, and linking across companies","type":"article-journal","volume":"3"},"uris":["http://www.mendeley.com/documents/?uuid=84da4b09-aad4-4943-b620-503fa7bef8df"]}],"mendeley":{"formattedCitation":"&lt;sup&gt;120&lt;/sup&gt;","plainTextFormattedCitation":"120","previouslyFormattedCitation":"&lt;sup&gt;120&lt;/sup&gt;"},"properties":{"noteIndex":0},"schema":"https://github.com/citation-style-language/schema/raw/master/csl-citation.json"}</w:instrText>
      </w:r>
      <w:r w:rsidR="005C59E7">
        <w:rPr>
          <w:rFonts w:cstheme="minorHAnsi"/>
        </w:rPr>
        <w:fldChar w:fldCharType="separate"/>
      </w:r>
      <w:r w:rsidR="00E25884" w:rsidRPr="00E25884">
        <w:rPr>
          <w:rFonts w:cstheme="minorHAnsi"/>
          <w:noProof/>
          <w:vertAlign w:val="superscript"/>
        </w:rPr>
        <w:t>120</w:t>
      </w:r>
      <w:r w:rsidR="005C59E7">
        <w:rPr>
          <w:rFonts w:cstheme="minorHAnsi"/>
        </w:rPr>
        <w:fldChar w:fldCharType="end"/>
      </w:r>
      <w:r w:rsidR="007873A7" w:rsidRPr="007C01CB">
        <w:rPr>
          <w:rFonts w:cstheme="minorHAnsi"/>
        </w:rPr>
        <w:t xml:space="preserve">, and “sustaining trust between members” </w:t>
      </w:r>
      <w:r w:rsidR="007873A7" w:rsidRPr="007C01CB">
        <w:rPr>
          <w:rFonts w:cstheme="minorHAnsi"/>
        </w:rPr>
        <w:fldChar w:fldCharType="begin" w:fldLock="1"/>
      </w:r>
      <w:r w:rsidR="00EA4B53">
        <w:rPr>
          <w:rFonts w:cstheme="minorHAnsi"/>
        </w:rPr>
        <w:instrText>ADDIN CSL_CITATION {"citationItems":[{"id":"ITEM-1","itemData":{"author":[{"dropping-particle":"","family":"Tuckman","given":"Bruce W.","non-dropping-particle":"","parse-names":false,"suffix":""},{"dropping-particle":"","family":"Jensen","given":"Mary Ann C.","non-dropping-particle":"","parse-names":false,"suffix":""}],"container-title":"Group &amp; Organisation Studies","id":"ITEM-1","issue":"4","issued":{"date-parts":[["1977"]]},"page":"419-427","title":"Stages of Small-Group Development","type":"article-journal","volume":"2"},"uris":["http://www.mendeley.com/documents/?uuid=775d9e16-7abc-4a60-bc67-581d153173d2","http://www.mendeley.com/documents/?uuid=c452ed07-bdd1-4af4-adf1-a3657bce8387"]},{"id":"ITEM-2","itemData":{"DOI":"10.1002/hpm.826","ISSN":"07496753","PMID":"16604850","abstract":"With the increasing differentiation of organisations involved in the pursuit of public health, there is also a growing need for inter-organisational integration. Starting from the concepts of differentiation and integration, this article is attempting a theoretical reconstruction based on published research on inter-organisational integration in public health and related welfare services. Different forms of integration are defined and related to each other in a conceptual framework, which is in itself an integration of different theoretical perspectives. According to this framework, integration in the field of public health requires inter-organisational collaboration across different sectors of the society. Such intersectoral collaboration can be organised mainly in the form of multidisciplinary team across the boundaries of different organisations and sectors. Such an organisation is fragile and volatile, however, which means that it needs a lot of management support in order to survive. Copyright © 2006 John Wiley &amp; Sons, Ltd.","author":[{"dropping-particle":"","family":"Axelsson","given":"Runo","non-dropping-particle":"","parse-names":false,"suffix":""},{"dropping-particle":"","family":"Axelsson","given":"Susanna Bihari","non-dropping-particle":"","parse-names":false,"suffix":""}],"container-title":"International Journal of Health Planning and Management","id":"ITEM-2","issue":"1","issued":{"date-parts":[["2006"]]},"page":"75-88","title":"Integration and collaboration in public health - A conceptual framework","type":"article-journal","volume":"21"},"uris":["http://www.mendeley.com/documents/?uuid=773a2dfd-384e-4a30-9a3a-ad0a2164a016"]}],"mendeley":{"formattedCitation":"&lt;sup&gt;124,125&lt;/sup&gt;","plainTextFormattedCitation":"124,125","previouslyFormattedCitation":"&lt;sup&gt;124,125&lt;/sup&gt;"},"properties":{"noteIndex":0},"schema":"https://github.com/citation-style-language/schema/raw/master/csl-citation.json"}</w:instrText>
      </w:r>
      <w:r w:rsidR="007873A7" w:rsidRPr="007C01CB">
        <w:rPr>
          <w:rFonts w:cstheme="minorHAnsi"/>
        </w:rPr>
        <w:fldChar w:fldCharType="separate"/>
      </w:r>
      <w:r w:rsidR="00E25884" w:rsidRPr="00E25884">
        <w:rPr>
          <w:rFonts w:cstheme="minorHAnsi"/>
          <w:noProof/>
          <w:vertAlign w:val="superscript"/>
        </w:rPr>
        <w:t>124,125</w:t>
      </w:r>
      <w:r w:rsidR="007873A7" w:rsidRPr="007C01CB">
        <w:rPr>
          <w:rFonts w:cstheme="minorHAnsi"/>
        </w:rPr>
        <w:fldChar w:fldCharType="end"/>
      </w:r>
      <w:r w:rsidR="007873A7" w:rsidRPr="007C01CB">
        <w:rPr>
          <w:rFonts w:cstheme="minorHAnsi"/>
        </w:rPr>
        <w:t xml:space="preserve">; in which the ultimate outcomes of partnerships are most likely to be achieved, as the focus moves from the functioning of the partnership to the achievement of goals. </w:t>
      </w:r>
    </w:p>
    <w:p w14:paraId="5B1EC211" w14:textId="2E40F2EF" w:rsidR="00F6440A" w:rsidRDefault="007873A7" w:rsidP="00525BE0">
      <w:pPr>
        <w:autoSpaceDE w:val="0"/>
        <w:autoSpaceDN w:val="0"/>
        <w:adjustRightInd w:val="0"/>
        <w:spacing w:line="360" w:lineRule="auto"/>
        <w:jc w:val="both"/>
        <w:rPr>
          <w:rFonts w:cstheme="minorHAnsi"/>
        </w:rPr>
      </w:pPr>
      <w:r w:rsidRPr="007C01CB">
        <w:rPr>
          <w:rFonts w:cstheme="minorHAnsi"/>
        </w:rPr>
        <w:t xml:space="preserve">Dissolution-type behaviours such as “letting partnership die, or keeping certain aspects but not others” </w:t>
      </w:r>
      <w:r w:rsidRPr="007C01CB">
        <w:rPr>
          <w:rFonts w:cstheme="minorHAnsi"/>
        </w:rPr>
        <w:fldChar w:fldCharType="begin" w:fldLock="1"/>
      </w:r>
      <w:r w:rsidR="00804189">
        <w:rPr>
          <w:rFonts w:cstheme="minorHAnsi"/>
        </w:rPr>
        <w:instrText>ADDIN CSL_CITATION {"citationItems":[{"id":"ITEM-1","itemData":{"DOI":"10.1111/1467-9299.00103","ISSN":"00333298","abstract":"Multi-organizational partnerships are now an important means of governing and managing public programmes. They typically involve business, community and not-for-profit agencies alongside government bodies. Partnerships are frequently contrasted with competitive markets and bureaucratic hierarchies. A more complex reality is revealed once partnerships as an organizational form are distinguished from networks as a mode of social co-ordination or governance. Data from studies of UK urban regeneration partnerships are used to develop a four-stage partnership life cycle: pre-partnership collaboration; partnership creation; partnership programme delivery; and partnership termination. A different mode of governance -network, market or hierarchy - predominates at each stage. Separating organizational form from mode of governance enables a richer understanding of multiorganizational activity and provides the basis from which theory and practice can be developed. The key challenge for partnerships lies in managing the interaction of different modes of governance, which at some points will generate competition and at other points collaboration.","author":[{"dropping-particle":"","family":"Lowndes","given":"Vivien","non-dropping-particle":"","parse-names":false,"suffix":""},{"dropping-particle":"","family":"Skelcher","given":"Chris","non-dropping-particle":"","parse-names":false,"suffix":""}],"container-title":"Public Administration","id":"ITEM-1","issue":"2","issued":{"date-parts":[["1998"]]},"page":"313-333","title":"The dynamics of multi-organizational partnerships: An analysis of changing modes of governance","type":"article-journal","volume":"76"},"uris":["http://www.mendeley.com/documents/?uuid=ba1d3531-b355-4cf2-b0ad-fd7d3d63bc25","http://www.mendeley.com/documents/?uuid=bdce332c-0dac-41de-b17a-6880a686bbde"]}],"mendeley":{"formattedCitation":"&lt;sup&gt;89&lt;/sup&gt;","plainTextFormattedCitation":"89","previouslyFormattedCitation":"&lt;sup&gt;89&lt;/sup&gt;"},"properties":{"noteIndex":0},"schema":"https://github.com/citation-style-language/schema/raw/master/csl-citation.json"}</w:instrText>
      </w:r>
      <w:r w:rsidRPr="007C01CB">
        <w:rPr>
          <w:rFonts w:cstheme="minorHAnsi"/>
        </w:rPr>
        <w:fldChar w:fldCharType="separate"/>
      </w:r>
      <w:r w:rsidR="00C4603E" w:rsidRPr="00C4603E">
        <w:rPr>
          <w:rFonts w:cstheme="minorHAnsi"/>
          <w:noProof/>
          <w:vertAlign w:val="superscript"/>
        </w:rPr>
        <w:t>89</w:t>
      </w:r>
      <w:r w:rsidRPr="007C01CB">
        <w:rPr>
          <w:rFonts w:cstheme="minorHAnsi"/>
        </w:rPr>
        <w:fldChar w:fldCharType="end"/>
      </w:r>
      <w:r w:rsidRPr="007C01CB">
        <w:rPr>
          <w:rFonts w:cstheme="minorHAnsi"/>
        </w:rPr>
        <w:t xml:space="preserve"> and “ending one or more partners’ involvements” </w:t>
      </w:r>
      <w:r w:rsidRPr="007C01CB">
        <w:rPr>
          <w:rFonts w:cstheme="minorHAnsi"/>
        </w:rPr>
        <w:fldChar w:fldCharType="begin" w:fldLock="1"/>
      </w:r>
      <w:r w:rsidR="00EA4B53">
        <w:rPr>
          <w:rFonts w:cstheme="minorHAnsi"/>
        </w:rPr>
        <w:instrText>ADDIN CSL_CITATION {"citationItems":[{"id":"ITEM-1","itemData":{"author":[{"dropping-particle":"","family":"ourpartnership.org.uk","given":"","non-dropping-particle":"","parse-names":false,"suffix":""}],"container-title":"Guidance","id":"ITEM-1","issued":{"date-parts":[["2007"]]},"title":"Ourpartnership.org.uk","type":"webpage"},"uris":["http://www.mendeley.com/documents/?uuid=5e458f6e-4667-4935-af45-cf5cf434d688","http://www.mendeley.com/documents/?uuid=38526d8c-1031-40eb-b50e-f9bae837c5fd"]}],"mendeley":{"formattedCitation":"&lt;sup&gt;121&lt;/sup&gt;","plainTextFormattedCitation":"121","previouslyFormattedCitation":"&lt;sup&gt;121&lt;/sup&gt;"},"properties":{"noteIndex":0},"schema":"https://github.com/citation-style-language/schema/raw/master/csl-citation.json"}</w:instrText>
      </w:r>
      <w:r w:rsidRPr="007C01CB">
        <w:rPr>
          <w:rFonts w:cstheme="minorHAnsi"/>
        </w:rPr>
        <w:fldChar w:fldCharType="separate"/>
      </w:r>
      <w:r w:rsidR="00E25884" w:rsidRPr="00E25884">
        <w:rPr>
          <w:rFonts w:cstheme="minorHAnsi"/>
          <w:noProof/>
          <w:vertAlign w:val="superscript"/>
        </w:rPr>
        <w:t>121</w:t>
      </w:r>
      <w:r w:rsidRPr="007C01CB">
        <w:rPr>
          <w:rFonts w:cstheme="minorHAnsi"/>
        </w:rPr>
        <w:fldChar w:fldCharType="end"/>
      </w:r>
      <w:r w:rsidRPr="007C01CB">
        <w:rPr>
          <w:rFonts w:cstheme="minorHAnsi"/>
        </w:rPr>
        <w:t xml:space="preserve"> </w:t>
      </w:r>
      <w:r w:rsidR="003C360E">
        <w:rPr>
          <w:rFonts w:cstheme="minorHAnsi"/>
        </w:rPr>
        <w:t xml:space="preserve">can also feature at this phase </w:t>
      </w:r>
      <w:r w:rsidRPr="007C01CB">
        <w:rPr>
          <w:rFonts w:cstheme="minorHAnsi"/>
        </w:rPr>
        <w:t xml:space="preserve">as due to </w:t>
      </w:r>
      <w:r w:rsidR="00F6440A">
        <w:rPr>
          <w:rFonts w:cstheme="minorHAnsi"/>
        </w:rPr>
        <w:t xml:space="preserve">either </w:t>
      </w:r>
      <w:r w:rsidRPr="007C01CB">
        <w:rPr>
          <w:rFonts w:cstheme="minorHAnsi"/>
        </w:rPr>
        <w:t>irreconcilable conflicts, or due to the aims of the collaboration</w:t>
      </w:r>
      <w:r w:rsidR="00F6440A">
        <w:rPr>
          <w:rFonts w:cstheme="minorHAnsi"/>
        </w:rPr>
        <w:t xml:space="preserve"> being achieved</w:t>
      </w:r>
      <w:r w:rsidRPr="007C01CB">
        <w:rPr>
          <w:rFonts w:cstheme="minorHAnsi"/>
        </w:rPr>
        <w:t xml:space="preserve">. </w:t>
      </w:r>
    </w:p>
    <w:p w14:paraId="112E1663" w14:textId="74FF3D93" w:rsidR="00F6440A" w:rsidRPr="007C01CB" w:rsidRDefault="00F6440A" w:rsidP="00525BE0">
      <w:pPr>
        <w:autoSpaceDE w:val="0"/>
        <w:autoSpaceDN w:val="0"/>
        <w:adjustRightInd w:val="0"/>
        <w:spacing w:line="360" w:lineRule="auto"/>
        <w:jc w:val="both"/>
        <w:rPr>
          <w:rFonts w:cstheme="minorHAnsi"/>
        </w:rPr>
        <w:sectPr w:rsidR="00F6440A" w:rsidRPr="007C01CB" w:rsidSect="007873A7">
          <w:pgSz w:w="11906" w:h="16838"/>
          <w:pgMar w:top="1440" w:right="1440" w:bottom="1440" w:left="1440" w:header="708" w:footer="708" w:gutter="0"/>
          <w:cols w:space="708"/>
          <w:docGrid w:linePitch="360"/>
        </w:sectPr>
      </w:pPr>
      <w:r w:rsidRPr="00F6440A">
        <w:rPr>
          <w:rFonts w:cstheme="minorHAnsi"/>
        </w:rPr>
        <w:t>Figure 8 dep</w:t>
      </w:r>
      <w:r>
        <w:rPr>
          <w:rFonts w:cstheme="minorHAnsi"/>
        </w:rPr>
        <w:t xml:space="preserve">icts the full life cycle model which </w:t>
      </w:r>
      <w:r w:rsidRPr="00F6440A">
        <w:rPr>
          <w:rFonts w:cstheme="minorHAnsi"/>
        </w:rPr>
        <w:t xml:space="preserve">includes the </w:t>
      </w:r>
      <w:r w:rsidR="00AA04ED" w:rsidRPr="00F6440A">
        <w:rPr>
          <w:rFonts w:cstheme="minorHAnsi"/>
        </w:rPr>
        <w:t>behaviours</w:t>
      </w:r>
      <w:r w:rsidRPr="00F6440A">
        <w:rPr>
          <w:rFonts w:cstheme="minorHAnsi"/>
        </w:rPr>
        <w:t xml:space="preserve"> and processes identified that are intrinsic to various stages of </w:t>
      </w:r>
      <w:r>
        <w:rPr>
          <w:rFonts w:cstheme="minorHAnsi"/>
        </w:rPr>
        <w:t>a</w:t>
      </w:r>
      <w:r w:rsidRPr="00F6440A">
        <w:rPr>
          <w:rFonts w:cstheme="minorHAnsi"/>
        </w:rPr>
        <w:t xml:space="preserve"> collaborative lifecycle. </w:t>
      </w:r>
    </w:p>
    <w:p w14:paraId="49C606B1" w14:textId="77777777" w:rsidR="007873A7" w:rsidRPr="007C01CB" w:rsidRDefault="007873A7" w:rsidP="00525BE0">
      <w:pPr>
        <w:keepNext/>
        <w:spacing w:line="360" w:lineRule="auto"/>
        <w:jc w:val="both"/>
        <w:rPr>
          <w:rFonts w:cstheme="minorHAnsi"/>
        </w:rPr>
      </w:pPr>
      <w:r w:rsidRPr="007C01CB">
        <w:rPr>
          <w:rFonts w:cstheme="minorHAnsi"/>
          <w:noProof/>
          <w:lang w:eastAsia="en-GB"/>
        </w:rPr>
        <w:drawing>
          <wp:inline distT="0" distB="0" distL="0" distR="0" wp14:anchorId="38DFD83A" wp14:editId="30798E76">
            <wp:extent cx="8524875" cy="4799257"/>
            <wp:effectExtent l="0" t="0" r="0" b="190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572506" cy="4826072"/>
                    </a:xfrm>
                    <a:prstGeom prst="rect">
                      <a:avLst/>
                    </a:prstGeom>
                    <a:noFill/>
                    <a:ln>
                      <a:noFill/>
                    </a:ln>
                  </pic:spPr>
                </pic:pic>
              </a:graphicData>
            </a:graphic>
          </wp:inline>
        </w:drawing>
      </w:r>
    </w:p>
    <w:p w14:paraId="4CFB823A" w14:textId="7EB59967" w:rsidR="007873A7" w:rsidRPr="006D770F" w:rsidRDefault="007873A7" w:rsidP="00525BE0">
      <w:pPr>
        <w:spacing w:line="360" w:lineRule="auto"/>
        <w:jc w:val="both"/>
        <w:rPr>
          <w:rFonts w:cstheme="minorHAnsi"/>
          <w:color w:val="44546A" w:themeColor="text2"/>
        </w:rPr>
        <w:sectPr w:rsidR="007873A7" w:rsidRPr="006D770F" w:rsidSect="007873A7">
          <w:pgSz w:w="16838" w:h="11906" w:orient="landscape"/>
          <w:pgMar w:top="1440" w:right="1440" w:bottom="1440" w:left="1440" w:header="708" w:footer="708" w:gutter="0"/>
          <w:cols w:space="708"/>
          <w:docGrid w:linePitch="360"/>
        </w:sectPr>
      </w:pPr>
      <w:bookmarkStart w:id="67" w:name="_Toc106181613"/>
      <w:r w:rsidRPr="006D770F">
        <w:rPr>
          <w:rFonts w:cstheme="minorHAnsi"/>
          <w:color w:val="44546A" w:themeColor="text2"/>
        </w:rPr>
        <w:t xml:space="preserve">Figure </w:t>
      </w:r>
      <w:r w:rsidRPr="006D770F">
        <w:rPr>
          <w:rFonts w:cstheme="minorHAnsi"/>
          <w:color w:val="44546A" w:themeColor="text2"/>
        </w:rPr>
        <w:fldChar w:fldCharType="begin"/>
      </w:r>
      <w:r w:rsidRPr="006D770F">
        <w:rPr>
          <w:rFonts w:cstheme="minorHAnsi"/>
          <w:color w:val="44546A" w:themeColor="text2"/>
        </w:rPr>
        <w:instrText xml:space="preserve"> SEQ Figure \* ARABIC </w:instrText>
      </w:r>
      <w:r w:rsidRPr="006D770F">
        <w:rPr>
          <w:rFonts w:cstheme="minorHAnsi"/>
          <w:color w:val="44546A" w:themeColor="text2"/>
        </w:rPr>
        <w:fldChar w:fldCharType="separate"/>
      </w:r>
      <w:r w:rsidRPr="006D770F">
        <w:rPr>
          <w:rFonts w:cstheme="minorHAnsi"/>
          <w:noProof/>
          <w:color w:val="44546A" w:themeColor="text2"/>
        </w:rPr>
        <w:t>8</w:t>
      </w:r>
      <w:r w:rsidRPr="006D770F">
        <w:rPr>
          <w:rFonts w:cstheme="minorHAnsi"/>
          <w:color w:val="44546A" w:themeColor="text2"/>
        </w:rPr>
        <w:fldChar w:fldCharType="end"/>
      </w:r>
      <w:r w:rsidRPr="006D770F">
        <w:rPr>
          <w:rFonts w:cstheme="minorHAnsi"/>
          <w:color w:val="44546A" w:themeColor="text2"/>
        </w:rPr>
        <w:t xml:space="preserve">. </w:t>
      </w:r>
      <w:r w:rsidR="003C360E" w:rsidRPr="006D770F">
        <w:rPr>
          <w:rFonts w:cstheme="minorHAnsi"/>
          <w:color w:val="44546A" w:themeColor="text2"/>
        </w:rPr>
        <w:t xml:space="preserve"> A life cycle model of Inter-Organisational Collaboration</w:t>
      </w:r>
      <w:bookmarkEnd w:id="67"/>
    </w:p>
    <w:p w14:paraId="4267F686" w14:textId="77777777" w:rsidR="007873A7" w:rsidRPr="007C01CB" w:rsidRDefault="007873A7" w:rsidP="00525BE0">
      <w:pPr>
        <w:pStyle w:val="Heading2"/>
        <w:spacing w:after="120" w:line="360" w:lineRule="auto"/>
        <w:jc w:val="both"/>
      </w:pPr>
      <w:bookmarkStart w:id="68" w:name="_Toc85066424"/>
      <w:r w:rsidRPr="007C01CB">
        <w:t>Conclusion</w:t>
      </w:r>
      <w:bookmarkEnd w:id="68"/>
    </w:p>
    <w:p w14:paraId="29695211" w14:textId="39F642E7" w:rsidR="007873A7" w:rsidRPr="007C01CB" w:rsidRDefault="007873A7" w:rsidP="00525BE0">
      <w:pPr>
        <w:spacing w:line="360" w:lineRule="auto"/>
        <w:jc w:val="both"/>
      </w:pPr>
      <w:r w:rsidRPr="007C01CB">
        <w:t>The aim of this chapter has been to provide insights into the principles, characteristics, and outcomes associated with health</w:t>
      </w:r>
      <w:r w:rsidR="00672B6D">
        <w:t xml:space="preserve"> </w:t>
      </w:r>
      <w:r w:rsidRPr="007C01CB">
        <w:t xml:space="preserve">care IOCs. Given </w:t>
      </w:r>
      <w:r w:rsidR="00672B6D">
        <w:t>the complex and multifaceted nature of IOCs,</w:t>
      </w:r>
      <w:r w:rsidRPr="007C01CB">
        <w:t xml:space="preserve"> the next stage is to develop </w:t>
      </w:r>
      <w:r w:rsidR="00C332F6">
        <w:t xml:space="preserve">these </w:t>
      </w:r>
      <w:r w:rsidR="00672B6D">
        <w:t>findings</w:t>
      </w:r>
      <w:r w:rsidRPr="007C01CB">
        <w:t xml:space="preserve"> </w:t>
      </w:r>
      <w:r w:rsidR="00C332F6">
        <w:t xml:space="preserve">with a methodological approach able to grasp these underlying </w:t>
      </w:r>
      <w:r w:rsidR="00D555ED">
        <w:t xml:space="preserve">contexts, </w:t>
      </w:r>
      <w:r w:rsidR="00C332F6">
        <w:t>dynamics</w:t>
      </w:r>
      <w:r w:rsidR="00D555ED">
        <w:t>, and outcomes over time</w:t>
      </w:r>
      <w:r w:rsidRPr="007C01CB">
        <w:t xml:space="preserve">. In the next chapter we </w:t>
      </w:r>
      <w:r w:rsidR="00C332F6">
        <w:t>outline</w:t>
      </w:r>
      <w:r w:rsidRPr="007C01CB">
        <w:t xml:space="preserve"> </w:t>
      </w:r>
      <w:r w:rsidR="00C332F6">
        <w:t xml:space="preserve">how a Realist synthesis approach is employed to better understand how IOCs </w:t>
      </w:r>
      <w:r w:rsidRPr="007C01CB">
        <w:t xml:space="preserve">work, why, and </w:t>
      </w:r>
      <w:r w:rsidR="00C332F6">
        <w:t xml:space="preserve">for </w:t>
      </w:r>
      <w:r w:rsidRPr="007C01CB">
        <w:t xml:space="preserve">whom </w:t>
      </w:r>
      <w:r w:rsidR="00C332F6">
        <w:t>do they benefit.</w:t>
      </w:r>
    </w:p>
    <w:p w14:paraId="487E126B" w14:textId="77777777" w:rsidR="007873A7" w:rsidRDefault="007873A7" w:rsidP="00525BE0">
      <w:pPr>
        <w:jc w:val="both"/>
      </w:pPr>
    </w:p>
    <w:p w14:paraId="4ECBCEE0" w14:textId="77777777" w:rsidR="0015399A" w:rsidRDefault="0015399A" w:rsidP="00525BE0">
      <w:pPr>
        <w:spacing w:line="360" w:lineRule="auto"/>
        <w:jc w:val="both"/>
        <w:rPr>
          <w:rFonts w:cstheme="minorHAnsi"/>
        </w:rPr>
        <w:sectPr w:rsidR="0015399A">
          <w:pgSz w:w="11906" w:h="16838"/>
          <w:pgMar w:top="1440" w:right="1440" w:bottom="1440" w:left="1440" w:header="708" w:footer="708" w:gutter="0"/>
          <w:cols w:space="708"/>
          <w:docGrid w:linePitch="360"/>
        </w:sectPr>
      </w:pPr>
    </w:p>
    <w:p w14:paraId="2B2C9CC2" w14:textId="77777777" w:rsidR="007873A7" w:rsidRPr="00C404B9" w:rsidRDefault="007873A7" w:rsidP="00525BE0">
      <w:pPr>
        <w:pStyle w:val="Heading1"/>
        <w:jc w:val="both"/>
      </w:pPr>
      <w:bookmarkStart w:id="69" w:name="_Toc85066425"/>
      <w:r>
        <w:t>Chapter 3 Methodology</w:t>
      </w:r>
      <w:bookmarkEnd w:id="69"/>
    </w:p>
    <w:p w14:paraId="698686A1" w14:textId="69ED18DF" w:rsidR="007873A7" w:rsidRDefault="007873A7" w:rsidP="00525BE0">
      <w:pPr>
        <w:pStyle w:val="Heading2"/>
        <w:jc w:val="both"/>
        <w:rPr>
          <w:rFonts w:eastAsiaTheme="minorHAnsi"/>
        </w:rPr>
      </w:pPr>
    </w:p>
    <w:p w14:paraId="47E0216A" w14:textId="0AD0AA1A" w:rsidR="002A28C5" w:rsidRDefault="002A28C5" w:rsidP="006D770F">
      <w:pPr>
        <w:spacing w:line="360" w:lineRule="auto"/>
        <w:jc w:val="both"/>
      </w:pPr>
      <w:r>
        <w:t>This chapter will present</w:t>
      </w:r>
      <w:r w:rsidR="004F22C1">
        <w:t xml:space="preserve"> the design and methods for the Realist review and evaluation aspects of the project.</w:t>
      </w:r>
      <w:r w:rsidR="004F22C1" w:rsidRPr="004F22C1">
        <w:t xml:space="preserve"> </w:t>
      </w:r>
      <w:bookmarkStart w:id="70" w:name="_Hlk104927949"/>
      <w:r w:rsidR="004F22C1">
        <w:t>Excerpts of</w:t>
      </w:r>
      <w:r w:rsidR="004F22C1" w:rsidRPr="004F22C1">
        <w:t xml:space="preserve"> th</w:t>
      </w:r>
      <w:r w:rsidR="004F22C1">
        <w:t>e</w:t>
      </w:r>
      <w:r w:rsidR="004F22C1" w:rsidRPr="004F22C1">
        <w:t xml:space="preserve"> chapter ha</w:t>
      </w:r>
      <w:r w:rsidR="004F22C1">
        <w:t>ve</w:t>
      </w:r>
      <w:r w:rsidR="004F22C1" w:rsidRPr="004F22C1">
        <w:t xml:space="preserve"> been reproduced from </w:t>
      </w:r>
      <w:r w:rsidR="004F22C1">
        <w:t>Aunger et al (137,138)</w:t>
      </w:r>
      <w:r w:rsidR="004F22C1" w:rsidRPr="004F22C1">
        <w:t xml:space="preserve"> published under the Creative Commons Attribution License (CC BY 4.0), which permits unrestricted use, distribution and reproduction in any medium, provided the original work is properly cited (https://creativecommons.org/licenses/by/4.0/).</w:t>
      </w:r>
      <w:bookmarkEnd w:id="70"/>
    </w:p>
    <w:p w14:paraId="0EB0777E" w14:textId="77777777" w:rsidR="004F22C1" w:rsidRPr="00222275" w:rsidRDefault="004F22C1" w:rsidP="006D770F"/>
    <w:p w14:paraId="68E7CB9E" w14:textId="77777777" w:rsidR="007873A7" w:rsidRPr="00556319" w:rsidRDefault="007873A7" w:rsidP="00525BE0">
      <w:pPr>
        <w:pStyle w:val="Heading2"/>
        <w:jc w:val="both"/>
        <w:rPr>
          <w:rFonts w:eastAsiaTheme="minorHAnsi"/>
        </w:rPr>
      </w:pPr>
      <w:bookmarkStart w:id="71" w:name="_Toc85066426"/>
      <w:r w:rsidRPr="00556319">
        <w:rPr>
          <w:rFonts w:eastAsiaTheme="minorHAnsi"/>
        </w:rPr>
        <w:t>Taking a realist perspective</w:t>
      </w:r>
      <w:bookmarkEnd w:id="71"/>
    </w:p>
    <w:p w14:paraId="1F7B5347" w14:textId="0024C115" w:rsidR="007873A7" w:rsidRPr="00556319" w:rsidRDefault="007873A7" w:rsidP="00525BE0">
      <w:pPr>
        <w:spacing w:line="360" w:lineRule="auto"/>
        <w:jc w:val="both"/>
        <w:rPr>
          <w:rFonts w:cstheme="minorHAnsi"/>
        </w:rPr>
      </w:pPr>
      <w:r w:rsidRPr="00556319">
        <w:rPr>
          <w:rFonts w:cstheme="minorHAnsi"/>
        </w:rPr>
        <w:t xml:space="preserve">A variety of theoretical contributions have </w:t>
      </w:r>
      <w:r>
        <w:rPr>
          <w:rFonts w:cstheme="minorHAnsi"/>
        </w:rPr>
        <w:t xml:space="preserve">sought to </w:t>
      </w:r>
      <w:r w:rsidRPr="00556319">
        <w:rPr>
          <w:rFonts w:cstheme="minorHAnsi"/>
        </w:rPr>
        <w:t>improve understanding of inter-organisational collaborations in health</w:t>
      </w:r>
      <w:r>
        <w:rPr>
          <w:rFonts w:cstheme="minorHAnsi"/>
        </w:rPr>
        <w:t xml:space="preserve"> </w:t>
      </w:r>
      <w:r w:rsidRPr="00556319">
        <w:rPr>
          <w:rFonts w:cstheme="minorHAnsi"/>
        </w:rPr>
        <w:t xml:space="preserve">care </w:t>
      </w:r>
      <w:r>
        <w:rPr>
          <w:rFonts w:cstheme="minorHAnsi"/>
        </w:rPr>
        <w:fldChar w:fldCharType="begin" w:fldLock="1"/>
      </w:r>
      <w:r w:rsidR="00EA4B53">
        <w:rPr>
          <w:rFonts w:cstheme="minorHAnsi"/>
        </w:rPr>
        <w:instrText>ADDIN CSL_CITATION {"citationItems":[{"id":"ITEM-1","itemData":{"DOI":"10.1108/14777260610701795","ISBN":"1477726061070","ISSN":"14777266","abstract":"Purpose - This paper evaluates the non-healthcare organisational literature on conceptualisations of trust. The aim of the paper is to review this diverse literature, and to reflect on the potential insights it might offer healthcare researchers, policy makers and managers. Design/methodology/approach - A number of the key concepts that contribute to contrasting definitions of trust in the organisational literature are identified. Findings - The paper highlights the heterogeneity of trust as an organisational concept. Aspects of trust that relate more specifically to non-healthcare settings are shown to have some potential relevance for healthcare. Five aspects of trust, considered to have particular significance to the changing face of the NHS, appear to offer scope for further exploration in healthcare settings. Practical implications - The NHS continues to face changes to its organisational structures, both planned and unplanned. Healthcare providers will need to be alert to intra- and inter-organisational relationships, of which trust issues will form an inevitable part. Whilst it might be argued that the lessons offered by conceptualisations of trust within wider organisational settings have limitations, the paper demonstrates sufficient areas of overlap to encourage cross-fertilisation of ideas. Originality/value - The paper draws together previous research on a topic of increasing relevance to healthcare researchers, which has exercised management researchers for at least three decades. The paper acts as a guide to future research and practice. © Emerald Group Publishing Limited.","author":[{"dropping-particle":"","family":"Connell","given":"N A D","non-dropping-particle":"","parse-names":false,"suffix":""},{"dropping-particle":"","family":"Mannion","given":"R","non-dropping-particle":"","parse-names":false,"suffix":""}],"container-title":"Journal of Health, Organisation and Management","id":"ITEM-1","issue":"5","issued":{"date-parts":[["2006"]]},"page":"417-433","title":"Conceptualisations of trust in the organisational literature: Some indicators from a complementary perspective","type":"article-journal","volume":"20"},"uris":["http://www.mendeley.com/documents/?uuid=883eb2e6-0338-4baa-b1cc-75da2f847c49"]},{"id":"ITEM-2","itemData":{"DOI":"10.1111/padm.12048","ISSN":"14679299","abstract":"Much of what has been written about collaboration treats it instrumentally as a means-ends tool of improvement. However, despite considerable collaborative activity there is little evidence that clearly links collaboration to improvements in service-user outcomes or reduced inequalities. In this article we draw on literature from critical public policy and governance studies to recast collaboration as an expression of cultural performance associated with a rather different set of values and measures. We argue that understanding collaboration in the round means that we need to pay attention to all dimensions of performance including cultural performance. We argue that this in turn helps to explain the persistent appeal of collaboration amongst policy makers and practitioners. © 2013 John Wiley &amp; Sons Ltd.","author":[{"dropping-particle":"","family":"Dickinson","given":"Helen","non-dropping-particle":"","parse-names":false,"suffix":""},{"dropping-particle":"","family":"Sullivan","given":"Helen","non-dropping-particle":"","parse-names":false,"suffix":""}],"container-title":"Public Administration","id":"ITEM-2","issue":"1","issued":{"date-parts":[["2014"]]},"page":"161-177","title":"Towards a general theory of collaborative performance: The importance of efficacy and agency","type":"article-journal","volume":"92"},"uris":["http://www.mendeley.com/documents/?uuid=4634c9cd-08ce-43d3-8271-9a9e3d4a1850"]},{"id":"ITEM-3","itemData":{"DOI":"10.2307/j.ctt1t89677.8","author":[{"dropping-particle":"","family":"Hudson","given":"Bob","non-dropping-particle":"","parse-names":false,"suffix":""},{"dropping-particle":"","family":"Hardy","given":"Brian","non-dropping-particle":"","parse-names":false,"suffix":""}],"container-title":"Partnerships, New Labour and the governance of welfare","id":"ITEM-3","issued":{"date-parts":[["2002"]]},"title":"What is a ‘successful’ partnership and how can it be measured?","type":"chapter"},"uris":["http://www.mendeley.com/documents/?uuid=ae4605c3-28bc-4f5c-9874-7fe2917a11d9"]},{"id":"ITEM-4","itemData":{"DOI":"10.1186/s13012-016-0380-z","ISSN":"17485908","PMID":"26860631","abstract":"Background: Increasingly, it is being suggested that translational gaps might be eradicated or narrowed by bringing research users and producers closer together, a theory that is largely untested. This paper reports a national study to fill a gap in the evidence about the conditions, processes and outcomes related to collaboration and implementation. Methods: A longitudinal realist evaluation using multiple qualitative methods case studies was conducted with three Collaborations for Leadership in Applied Health Research in Care (England). Data were collected over four rounds of theory development, refinement and testing. Over 200 participants were involved in semi-structured interviews, non-participant observations of events and meetings, and stakeholder engagement. A combined inductive and deductive data analysis process was focused on proposition refinement and testing iteratively over data collection rounds. Results: The quality of existing relationships between higher education and local health service, and views about whether implementation was a collaborative act, created a path dependency. Where implementation was perceived to be removed from service and there was a lack of organisational connections, this resulted in a focus on knowledge production and transfer, rather than co-production. The collaborations' architectures were counterproductive because they did not facilitate connectivity and had emphasised professional and epistemic boundaries. More distributed leadership was associated with greater potential for engagement. The creation of boundary spanning roles was the most visible investment in implementation, and credible individuals in these roles resulted in cross-boundary work, in facilitation and in direct impacts. The academic-practice divide played out strongly as a context for motivation to engage, in that 'what's in it for me' resulted in variable levels of engagement along a co-operation-collaboration continuum. Learning within and across collaborations was patchy depending on attention to evaluation. Conclusions: These collaborations did not emerge from a vacuum, and they needed time to learn and develop. Their life cycle started with their position on collaboration, knowledge and implementation. More impactful attempts at collective action in implementation might be determined by the deliberate alignment of a number of features, including foundational relationships, vision, values, structures and processes and views about the na…","author":[{"dropping-particle":"","family":"Rycroft-Malone","given":"Jo","non-dropping-particle":"","parse-names":false,"suffix":""},{"dropping-particle":"","family":"Burton","given":"Christopher R.","non-dropping-particle":"","parse-names":false,"suffix":""},{"dropping-particle":"","family":"Wilkinson","given":"Joyce","non-dropping-particle":"","parse-names":false,"suffix":""},{"dropping-particle":"","family":"Harvey","given":"Gill","non-dropping-particle":"","parse-names":false,"suffix":""},{"dropping-particle":"","family":"McCormack","given":"Brendan","non-dropping-particle":"","parse-names":false,"suffix":""},{"dropping-particle":"","family":"Baker","given":"Richard","non-dropping-particle":"","parse-names":false,"suffix":""},{"dropping-particle":"","family":"Dopson","given":"Sue","non-dropping-particle":"","parse-names":false,"suffix":""},{"dropping-particle":"","family":"Graham","given":"Ian D.","non-dropping-particle":"","parse-names":false,"suffix":""},{"dropping-particle":"","family":"Staniszewska","given":"Sophie","non-dropping-particle":"","parse-names":false,"suffix":""},{"dropping-particle":"","family":"Thompson","given":"Carl","non-dropping-particle":"","parse-names":false,"suffix":""},{"dropping-particle":"","family":"Ariss","given":"Steven","non-dropping-particle":"","parse-names":false,"suffix":""},{"dropping-particle":"","family":"Melville-Richards","given":"Lucy","non-dropping-particle":"","parse-names":false,"suffix":""},{"dropping-particle":"","family":"Williams","given":"Lynne","non-dropping-particle":"","parse-names":false,"suffix":""}],"container-title":"Implementation Science","id":"ITEM-4","issue":"1","issued":{"date-parts":[["2016"]]},"page":"1-17","publisher":"Implementation Science","title":"Collective action for implementation: A realist evaluation of organisational collaboration in healthcare","type":"article-journal","volume":"11"},"uris":["http://www.mendeley.com/documents/?uuid=cc344269-70d5-4756-b11d-1d19fd0b5e8f"]},{"id":"ITEM-5","itemData":{"DOI":"10.1177/0021886303253179","abstract":"Many organizations aspire to gain collaborative advantage by working in partnerships across organizational, sectoral, and even national boundaries. Such collaborations, however , are difficult to manage, and the likelihood of disappointing outputs is high. To create advantage, practitioners need to engage in a continuous process of nurturing the collabo-rative processes. One issue that appears significant in the nurturing process is trust. This article incorporates a synthesis of research on trust with research on other aspects of collaboration. It develops a trust-building loop and examines its validity to inform practice. It argues that trust building is problematic and that management of trust implies both the ability to cope in situations where trust is lacking and the ability to build trust in situations where this is possible. It summarizes pragmatic implications in a tool for thinking about and addressing trust management in different collaborative situations.","author":[{"dropping-particle":"","family":"Vangen","given":"Siv","non-dropping-particle":"","parse-names":false,"suffix":""},{"dropping-particle":"","family":"Huxham","given":"Chris","non-dropping-particle":"","parse-names":false,"suffix":""}],"container-title":"Journal of Applied Behavioral Science","id":"ITEM-5","issue":"1","issued":{"date-parts":[["2003"]]},"page":"5-31","title":"Nurturing collaborative relations: Building Trust in Interorganizational Collaboration","type":"article-journal","volume":"39"},"uris":["http://www.mendeley.com/documents/?uuid=b9ed2b75-5dea-48de-9b1c-9679832ee22f"]}],"mendeley":{"formattedCitation":"&lt;sup&gt;14,48,110,126,127&lt;/sup&gt;","plainTextFormattedCitation":"14,48,110,126,127","previouslyFormattedCitation":"&lt;sup&gt;14,48,110,126,127&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14,48,110,126,127</w:t>
      </w:r>
      <w:r>
        <w:rPr>
          <w:rFonts w:cstheme="minorHAnsi"/>
        </w:rPr>
        <w:fldChar w:fldCharType="end"/>
      </w:r>
      <w:r>
        <w:rPr>
          <w:rFonts w:cstheme="minorHAnsi"/>
        </w:rPr>
        <w:t xml:space="preserve">. These authors have generated </w:t>
      </w:r>
      <w:r w:rsidRPr="00556319">
        <w:rPr>
          <w:rFonts w:cstheme="minorHAnsi"/>
        </w:rPr>
        <w:t xml:space="preserve">valuable </w:t>
      </w:r>
      <w:r>
        <w:rPr>
          <w:rFonts w:cstheme="minorHAnsi"/>
        </w:rPr>
        <w:t xml:space="preserve">insights as to </w:t>
      </w:r>
      <w:r w:rsidRPr="00556319">
        <w:rPr>
          <w:rFonts w:cstheme="minorHAnsi"/>
        </w:rPr>
        <w:t xml:space="preserve">‘what’ leads to successful partnering but less so how and why particular features enable collaborations to be successful. In this sense inter-organisational collaborations can be seen as interventions that frequently fall </w:t>
      </w:r>
      <w:r>
        <w:rPr>
          <w:rFonts w:cstheme="minorHAnsi"/>
        </w:rPr>
        <w:t xml:space="preserve">into the trap </w:t>
      </w:r>
      <w:r w:rsidRPr="00556319">
        <w:rPr>
          <w:rFonts w:cstheme="minorHAnsi"/>
        </w:rPr>
        <w:t xml:space="preserve">of what Dixon-Woods and Martin (2016) term ‘magical thinking’; that is, it is assumed that ‘doing X’ will lead to outcome Y without any articulation of how and why this change will occur </w:t>
      </w:r>
      <w:r>
        <w:rPr>
          <w:rFonts w:cstheme="minorHAnsi"/>
        </w:rPr>
        <w:fldChar w:fldCharType="begin" w:fldLock="1"/>
      </w:r>
      <w:r w:rsidR="00EA4B53">
        <w:rPr>
          <w:rFonts w:cstheme="minorHAnsi"/>
        </w:rPr>
        <w:instrText>ADDIN CSL_CITATION {"citationItems":[{"id":"ITEM-1","itemData":{"DOI":"10.7861/futurehosp.3-3-191","ISSN":"2055-3323","abstract":"Although quality improvement (QI) is frequently advocated as a\\r\\nway of addressing the problems with healthcare, evidence of its\\r\\neffectiveness has remained very mixed. The reasons for this are\\r\\nvaried but the growing literature highlights particular challenges.\\r\\nFidelity in the application of QI methods is often variable. QI\\r\\nwork is often pursued through time-limited, small-scale projects,\\r\\nled by professionals who may lack the expertise, power or\\r\\nresources to instigate the changes required. There is insufficient\\r\\nattention to rigorous evaluation of improvement and to sharing\\r\\nthe lessons of successes and failures. Too many QI interventions\\r\\nare seen as ‘magic bullets’ that will produce improvement in any\\r\\nsituation, regardless of context. Too much improvement work is\\r\\nundertaken in isolation at a local level, failing to pool resources\\r\\nand develop collective solutions, and introducing new hazards in\\r\\nthe process. This article considers these challenges and proposes\\r\\nfour key ways in which QI might itself be improved. ","author":[{"dropping-particle":"","family":"Dixon-Woods","given":"Mary","non-dropping-particle":"","parse-names":false,"suffix":""},{"dropping-particle":"","family":"Martin","given":"Graham P","non-dropping-particle":"","parse-names":false,"suffix":""}],"container-title":"Future Hospital Journal","id":"ITEM-1","issue":"3","issued":{"date-parts":[["2016"]]},"page":"191-194","title":"Does quality improvement improve quality?","type":"article-journal","volume":"3"},"uris":["http://www.mendeley.com/documents/?uuid=1bf40ed4-3605-455d-9be1-636bd4ecd53d"]}],"mendeley":{"formattedCitation":"&lt;sup&gt;128&lt;/sup&gt;","plainTextFormattedCitation":"128","previouslyFormattedCitation":"&lt;sup&gt;128&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128</w:t>
      </w:r>
      <w:r>
        <w:rPr>
          <w:rFonts w:cstheme="minorHAnsi"/>
        </w:rPr>
        <w:fldChar w:fldCharType="end"/>
      </w:r>
      <w:r>
        <w:rPr>
          <w:rFonts w:cstheme="minorHAnsi"/>
        </w:rPr>
        <w:t xml:space="preserve">. </w:t>
      </w:r>
      <w:r w:rsidRPr="00556319">
        <w:rPr>
          <w:rFonts w:cstheme="minorHAnsi"/>
        </w:rPr>
        <w:t xml:space="preserve">This means that, often, the assumptions underlying how collaboration is intended to work are left implicit. </w:t>
      </w:r>
    </w:p>
    <w:p w14:paraId="59368D54" w14:textId="15EAB6F2" w:rsidR="007873A7" w:rsidRPr="00556319" w:rsidRDefault="007873A7" w:rsidP="00525BE0">
      <w:pPr>
        <w:spacing w:line="360" w:lineRule="auto"/>
        <w:jc w:val="both"/>
        <w:rPr>
          <w:rFonts w:cstheme="minorHAnsi"/>
        </w:rPr>
      </w:pPr>
      <w:r w:rsidRPr="00556319">
        <w:rPr>
          <w:rFonts w:cstheme="minorHAnsi"/>
        </w:rPr>
        <w:t xml:space="preserve">Any collaborative effort is likely to have a long and complex </w:t>
      </w:r>
      <w:r w:rsidR="00D555ED">
        <w:rPr>
          <w:rFonts w:cstheme="minorHAnsi"/>
        </w:rPr>
        <w:t xml:space="preserve">process of </w:t>
      </w:r>
      <w:r w:rsidRPr="00556319">
        <w:rPr>
          <w:rFonts w:cstheme="minorHAnsi"/>
        </w:rPr>
        <w:t xml:space="preserve">implementation from initial discussions between stakeholders to the realisation of </w:t>
      </w:r>
      <w:r>
        <w:rPr>
          <w:rFonts w:cstheme="minorHAnsi"/>
        </w:rPr>
        <w:t xml:space="preserve">the </w:t>
      </w:r>
      <w:r w:rsidRPr="00556319">
        <w:rPr>
          <w:rFonts w:cstheme="minorHAnsi"/>
        </w:rPr>
        <w:t>inten</w:t>
      </w:r>
      <w:r w:rsidR="00D555ED">
        <w:rPr>
          <w:rFonts w:cstheme="minorHAnsi"/>
        </w:rPr>
        <w:t xml:space="preserve">ded benefits and/or </w:t>
      </w:r>
      <w:r>
        <w:rPr>
          <w:rFonts w:cstheme="minorHAnsi"/>
        </w:rPr>
        <w:t>failure</w:t>
      </w:r>
      <w:r w:rsidRPr="00556319">
        <w:rPr>
          <w:rFonts w:cstheme="minorHAnsi"/>
        </w:rPr>
        <w:t xml:space="preserve">. However, until now, </w:t>
      </w:r>
      <w:r>
        <w:rPr>
          <w:rFonts w:cstheme="minorHAnsi"/>
        </w:rPr>
        <w:t xml:space="preserve">few have used a </w:t>
      </w:r>
      <w:r w:rsidRPr="00556319">
        <w:rPr>
          <w:rFonts w:cstheme="minorHAnsi"/>
        </w:rPr>
        <w:t xml:space="preserve">realist lens </w:t>
      </w:r>
      <w:r>
        <w:rPr>
          <w:rFonts w:cstheme="minorHAnsi"/>
        </w:rPr>
        <w:t xml:space="preserve">to shed light on </w:t>
      </w:r>
      <w:r w:rsidRPr="00556319">
        <w:rPr>
          <w:rFonts w:cstheme="minorHAnsi"/>
        </w:rPr>
        <w:t>th</w:t>
      </w:r>
      <w:r>
        <w:rPr>
          <w:rFonts w:cstheme="minorHAnsi"/>
        </w:rPr>
        <w:t xml:space="preserve">is </w:t>
      </w:r>
      <w:r w:rsidRPr="00556319">
        <w:rPr>
          <w:rFonts w:cstheme="minorHAnsi"/>
        </w:rPr>
        <w:t xml:space="preserve">phenomenon. Using a realist methodology to identify when, how, and in what circumstances </w:t>
      </w:r>
      <w:r w:rsidR="00D555ED">
        <w:rPr>
          <w:rFonts w:cstheme="minorHAnsi"/>
        </w:rPr>
        <w:t>the causal</w:t>
      </w:r>
      <w:r w:rsidRPr="00556319">
        <w:rPr>
          <w:rFonts w:cstheme="minorHAnsi"/>
        </w:rPr>
        <w:t xml:space="preserve"> links </w:t>
      </w:r>
      <w:r w:rsidR="00D555ED">
        <w:rPr>
          <w:rFonts w:cstheme="minorHAnsi"/>
        </w:rPr>
        <w:t xml:space="preserve">during implementation </w:t>
      </w:r>
      <w:r w:rsidRPr="00556319">
        <w:rPr>
          <w:rFonts w:cstheme="minorHAnsi"/>
        </w:rPr>
        <w:t>break or hold, as well as why collaboration</w:t>
      </w:r>
      <w:r w:rsidR="00672B6D">
        <w:rPr>
          <w:rFonts w:cstheme="minorHAnsi"/>
        </w:rPr>
        <w:t xml:space="preserve"> may lead to better performance</w:t>
      </w:r>
      <w:r w:rsidRPr="00556319">
        <w:rPr>
          <w:rFonts w:cstheme="minorHAnsi"/>
        </w:rPr>
        <w:t xml:space="preserve">. A realist methodology also enables synthesis of all literature types </w:t>
      </w:r>
      <w:r w:rsidR="00D555ED">
        <w:rPr>
          <w:rFonts w:cstheme="minorHAnsi"/>
        </w:rPr>
        <w:t>in</w:t>
      </w:r>
      <w:r w:rsidRPr="00556319">
        <w:rPr>
          <w:rFonts w:cstheme="minorHAnsi"/>
        </w:rPr>
        <w:t xml:space="preserve"> acknowledging the complexity of the interventions that constitute</w:t>
      </w:r>
      <w:r w:rsidR="00D555ED">
        <w:rPr>
          <w:rFonts w:cstheme="minorHAnsi"/>
        </w:rPr>
        <w:t xml:space="preserve"> an area such as</w:t>
      </w:r>
      <w:r w:rsidRPr="00556319">
        <w:rPr>
          <w:rFonts w:cstheme="minorHAnsi"/>
        </w:rPr>
        <w:t xml:space="preserve"> inter-organisational collab</w:t>
      </w:r>
      <w:r w:rsidR="00D555ED">
        <w:rPr>
          <w:rFonts w:cstheme="minorHAnsi"/>
        </w:rPr>
        <w:t>oration</w:t>
      </w:r>
      <w:r w:rsidRPr="00556319">
        <w:rPr>
          <w:rFonts w:cstheme="minorHAnsi"/>
        </w:rPr>
        <w:t>.</w:t>
      </w:r>
    </w:p>
    <w:p w14:paraId="1CD8B4BF" w14:textId="67E77B45" w:rsidR="007873A7" w:rsidRPr="00556319" w:rsidRDefault="007873A7" w:rsidP="00525BE0">
      <w:pPr>
        <w:spacing w:line="360" w:lineRule="auto"/>
        <w:jc w:val="both"/>
        <w:rPr>
          <w:rFonts w:cstheme="minorHAnsi"/>
        </w:rPr>
      </w:pPr>
      <w:r w:rsidRPr="00556319">
        <w:rPr>
          <w:rFonts w:cstheme="minorHAnsi"/>
        </w:rPr>
        <w:t xml:space="preserve">Realist methods are built upon the epistemological approach of critical realism, which </w:t>
      </w:r>
      <w:r>
        <w:rPr>
          <w:rFonts w:cstheme="minorHAnsi"/>
        </w:rPr>
        <w:t xml:space="preserve">is based on </w:t>
      </w:r>
      <w:r w:rsidRPr="00556319">
        <w:rPr>
          <w:rFonts w:cstheme="minorHAnsi"/>
        </w:rPr>
        <w:t xml:space="preserve">the concept of generative causation where mechanisms generate outcomes that are context-sensitive </w:t>
      </w:r>
      <w:r>
        <w:rPr>
          <w:rFonts w:cstheme="minorHAnsi"/>
        </w:rPr>
        <w:fldChar w:fldCharType="begin" w:fldLock="1"/>
      </w:r>
      <w:r w:rsidR="00EA4B53">
        <w:rPr>
          <w:rFonts w:cstheme="minorHAnsi"/>
        </w:rPr>
        <w:instrText>ADDIN CSL_CITATION {"citationItems":[{"id":"ITEM-1","itemData":{"ISBN":"9780761950097","abstract":"Authors Ray Pawson and Nick Tilley show how program evaluation needs to be and can be bettered. The authors present a profound and highly readable critique of current evaluation practice introducing a manifesto- and handbook-fresh approach. This volume is devoted to articulating a new evaluation paradigm, which promises greater validity and utility for evaluation as a whole. Realistic Evaluation reflects the paradigmÆs foundation in scientific realist philosophy and its commitment to the idea that programs deal with real problems rather than mere social constructions. Its primary intention is to inform realistic developments in policyùmaking that benefit program participants and the public. Pawson and Tilley argue persuasively and passionately that scientific evaluation requires a careful blend of theory and method, quality and quantity, ambition and realism. The book offers a complete blueprint for evaluation activities, covering design to data collection and analysis to the accumulation of findings across programs and onto the realization of research into policy. Practical examples are used throughout this powerful volume and are grounded in the major fields of program evaluation. Realistic Evaluation is essential reading for all those involved in the evaluation process, especially researchers, scholars, and students in sociology, social policy, criminology, health, and education.","author":[{"dropping-particle":"","family":"Pawson","given":"Ray","non-dropping-particle":"","parse-names":false,"suffix":""},{"dropping-particle":"","family":"Tilley","given":"Nicholas","non-dropping-particle":"","parse-names":false,"suffix":""}],"id":"ITEM-1","issued":{"date-parts":[["1997"]]},"number-of-pages":"256","publisher":"SAGE Publications Ltd.","title":"Realistic evaluation","type":"book"},"uris":["http://www.mendeley.com/documents/?uuid=5e6bd15f-9ac9-42f8-97c4-51f065f90496"]},{"id":"ITEM-2","itemData":{"abstract":"This training package has been developed to provide practical guidance to reviewers who want to undertake a realist synthesis (or realist review – the terms are synonymous). There has been, over recent years, a growing demand for training but so far, no ‘how to’ manuals exist. Development of the training materials was funded as part of the RAMESES project (http://www.ramesesproject.org).","author":[{"dropping-particle":"","family":"Wong","given":"Geoff","non-dropping-particle":"","parse-names":false,"suffix":""},{"dropping-particle":"","family":"Westhorp","given":"Gill","non-dropping-particle":"","parse-names":false,"suffix":""},{"dropping-particle":"","family":"Pawson","given":"Ray","non-dropping-particle":"","parse-names":false,"suffix":""},{"dropping-particle":"","family":"Greenhalgh","given":"Trish","non-dropping-particle":"","parse-names":false,"suffix":""}],"container-title":"The RAMESES Project","id":"ITEM-2","issue":"July 2013","issued":{"date-parts":[["2013"]]},"number-of-pages":"55","title":"Realist Synthesis. RAMESES Training Materials","type":"report"},"uris":["http://www.mendeley.com/documents/?uuid=4335c3e5-8fc7-4bd6-9e51-07f8abece93e"]}],"mendeley":{"formattedCitation":"&lt;sup&gt;129,130&lt;/sup&gt;","plainTextFormattedCitation":"129,130","previouslyFormattedCitation":"&lt;sup&gt;129,130&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129,130</w:t>
      </w:r>
      <w:r>
        <w:rPr>
          <w:rFonts w:cstheme="minorHAnsi"/>
        </w:rPr>
        <w:fldChar w:fldCharType="end"/>
      </w:r>
      <w:r w:rsidRPr="00556319">
        <w:rPr>
          <w:rFonts w:cstheme="minorHAnsi"/>
        </w:rPr>
        <w:t>. In realist terms, contexts refer to the situations into which interventions are introduced that affect the operation of the intervention mechanisms (Pawson &amp; Tilley, 1997). An intervention may work through one mechanism in one set of contextual features</w:t>
      </w:r>
      <w:r>
        <w:rPr>
          <w:rFonts w:cstheme="minorHAnsi"/>
        </w:rPr>
        <w:t>,</w:t>
      </w:r>
      <w:r w:rsidRPr="00556319">
        <w:rPr>
          <w:rFonts w:cstheme="minorHAnsi"/>
        </w:rPr>
        <w:t xml:space="preserve"> but wor</w:t>
      </w:r>
      <w:r>
        <w:rPr>
          <w:rFonts w:cstheme="minorHAnsi"/>
        </w:rPr>
        <w:t>k through a different mechanism</w:t>
      </w:r>
      <w:r w:rsidRPr="00556319">
        <w:rPr>
          <w:rFonts w:cstheme="minorHAnsi"/>
        </w:rPr>
        <w:t xml:space="preserve"> producing a different outcome in another. As a result, context and mechanism are keenly interlinked and cannot be separated (Pawson &amp; Tilley, 1997). Mechanisms, in realist terms, are the interactions between programme resources and the changes in reasoning by programme actors that occur as a result</w:t>
      </w:r>
      <w:r>
        <w:rPr>
          <w:rFonts w:cstheme="minorHAnsi"/>
        </w:rPr>
        <w:t xml:space="preserve"> </w:t>
      </w:r>
      <w:r>
        <w:rPr>
          <w:rFonts w:cstheme="minorHAnsi"/>
        </w:rPr>
        <w:fldChar w:fldCharType="begin" w:fldLock="1"/>
      </w:r>
      <w:r w:rsidR="00EA4B53">
        <w:rPr>
          <w:rFonts w:cstheme="minorHAnsi"/>
        </w:rPr>
        <w:instrText>ADDIN CSL_CITATION {"citationItems":[{"id":"ITEM-1","itemData":{"DOI":"10.1186/s13012-015-0237-x","ISBN":"1301201502","ISSN":"17485908","PMID":"25885787","abstract":"Background: The idea that underlying, generative mechanisms give rise to causal regularities has become a guiding principle across many social and natural science disciplines. A specific form of this enquiry, realist evaluation is gaining momentum in the evaluation of complex social interventions. It focuses on 'what works, how, in which conditions and for whom' using context, mechanism and outcome configurations as opposed to asking whether an intervention 'works'. Realist evaluation can be difficult to codify and requires considerable researcher reflection and creativity. As such there is often confusion when operationalising the method in practice. This article aims to clarify and further develop the concept of mechanism in realist evaluation and in doing so aid the learning of those operationalising the methodology. Discussion: Using a social science illustration, we argue that disaggregating the concept of mechanism into its constituent parts helps to understand the difference between the resources offered by the intervention and the ways in which this changes the reasoning of participants. This in turn helps to distinguish between a context and mechanism. The notion of mechanisms 'firing' in social science research is explored, with discussions surrounding how this may stifle researchers' realist thinking. We underline the importance of conceptualising mechanisms as operating on a continuum, rather than as an 'on/off' switch. Summary: The discussions in this article will hopefully progress and operationalise realist methods. This development is likely to occur due to the infancy of the methodology and its recent increased profile and use in social science research. The arguments we present have been tested and are explained throughout the article using a social science illustration, evidencing their usability and value.","author":[{"dropping-particle":"","family":"Dalkin","given":"Sonia Michelle","non-dropping-particle":"","parse-names":false,"suffix":""},{"dropping-particle":"","family":"Greenhalgh","given":"Joanne","non-dropping-particle":"","parse-names":false,"suffix":""},{"dropping-particle":"","family":"Jones","given":"Diana","non-dropping-particle":"","parse-names":false,"suffix":""},{"dropping-particle":"","family":"Cunningham","given":"Bill","non-dropping-particle":"","parse-names":false,"suffix":""},{"dropping-particle":"","family":"Lhussier","given":"Monique","non-dropping-particle":"","parse-names":false,"suffix":""}],"container-title":"Implementation Science","id":"ITEM-1","issue":"1","issued":{"date-parts":[["2015"]]},"page":"1-7","publisher":"???","title":"What's in a mechanism? Development of a key concept in realist evaluation","type":"article-journal","volume":"10"},"uris":["http://www.mendeley.com/documents/?uuid=61dad5b7-e703-44f9-ba9f-f82e65154089"]}],"mendeley":{"formattedCitation":"&lt;sup&gt;131&lt;/sup&gt;","plainTextFormattedCitation":"131","previouslyFormattedCitation":"&lt;sup&gt;131&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131</w:t>
      </w:r>
      <w:r>
        <w:rPr>
          <w:rFonts w:cstheme="minorHAnsi"/>
        </w:rPr>
        <w:fldChar w:fldCharType="end"/>
      </w:r>
      <w:r w:rsidRPr="00556319">
        <w:rPr>
          <w:rFonts w:cstheme="minorHAnsi"/>
        </w:rPr>
        <w:t>.</w:t>
      </w:r>
      <w:r>
        <w:rPr>
          <w:rFonts w:cstheme="minorHAnsi"/>
        </w:rPr>
        <w:t xml:space="preserve"> Mostly</w:t>
      </w:r>
      <w:r w:rsidRPr="00556319">
        <w:rPr>
          <w:rFonts w:cstheme="minorHAnsi"/>
        </w:rPr>
        <w:t>, these mechanisms are not directly observable but nonetheless can be explanations of why particular outcomes come to be</w:t>
      </w:r>
      <w:r w:rsidR="005C59E7">
        <w:rPr>
          <w:rFonts w:cstheme="minorHAnsi"/>
        </w:rPr>
        <w:t xml:space="preserve"> </w:t>
      </w:r>
      <w:r w:rsidR="005C59E7">
        <w:rPr>
          <w:rFonts w:cstheme="minorHAnsi"/>
        </w:rPr>
        <w:fldChar w:fldCharType="begin" w:fldLock="1"/>
      </w:r>
      <w:r w:rsidR="00EA4B53">
        <w:rPr>
          <w:rFonts w:cstheme="minorHAnsi"/>
        </w:rPr>
        <w:instrText>ADDIN CSL_CITATION {"citationItems":[{"id":"ITEM-1","itemData":{"ISBN":"9780761950097","abstract":"Authors Ray Pawson and Nick Tilley show how program evaluation needs to be and can be bettered. The authors present a profound and highly readable critique of current evaluation practice introducing a manifesto- and handbook-fresh approach. This volume is devoted to articulating a new evaluation paradigm, which promises greater validity and utility for evaluation as a whole. Realistic Evaluation reflects the paradigmÆs foundation in scientific realist philosophy and its commitment to the idea that programs deal with real problems rather than mere social constructions. Its primary intention is to inform realistic developments in policyùmaking that benefit program participants and the public. Pawson and Tilley argue persuasively and passionately that scientific evaluation requires a careful blend of theory and method, quality and quantity, ambition and realism. The book offers a complete blueprint for evaluation activities, covering design to data collection and analysis to the accumulation of findings across programs and onto the realization of research into policy. Practical examples are used throughout this powerful volume and are grounded in the major fields of program evaluation. Realistic Evaluation is essential reading for all those involved in the evaluation process, especially researchers, scholars, and students in sociology, social policy, criminology, health, and education.","author":[{"dropping-particle":"","family":"Pawson","given":"Ray","non-dropping-particle":"","parse-names":false,"suffix":""},{"dropping-particle":"","family":"Tilley","given":"Nicholas","non-dropping-particle":"","parse-names":false,"suffix":""}],"id":"ITEM-1","issued":{"date-parts":[["1997"]]},"number-of-pages":"256","publisher":"SAGE Publications Ltd.","title":"Realistic evaluation","type":"book"},"uris":["http://www.mendeley.com/documents/?uuid=5e6bd15f-9ac9-42f8-97c4-51f065f90496"]}],"mendeley":{"formattedCitation":"&lt;sup&gt;129&lt;/sup&gt;","plainTextFormattedCitation":"129","previouslyFormattedCitation":"&lt;sup&gt;129&lt;/sup&gt;"},"properties":{"noteIndex":0},"schema":"https://github.com/citation-style-language/schema/raw/master/csl-citation.json"}</w:instrText>
      </w:r>
      <w:r w:rsidR="005C59E7">
        <w:rPr>
          <w:rFonts w:cstheme="minorHAnsi"/>
        </w:rPr>
        <w:fldChar w:fldCharType="separate"/>
      </w:r>
      <w:r w:rsidR="00E25884" w:rsidRPr="00E25884">
        <w:rPr>
          <w:rFonts w:cstheme="minorHAnsi"/>
          <w:noProof/>
          <w:vertAlign w:val="superscript"/>
        </w:rPr>
        <w:t>129</w:t>
      </w:r>
      <w:r w:rsidR="005C59E7">
        <w:rPr>
          <w:rFonts w:cstheme="minorHAnsi"/>
        </w:rPr>
        <w:fldChar w:fldCharType="end"/>
      </w:r>
      <w:r w:rsidR="005C59E7">
        <w:rPr>
          <w:rFonts w:cstheme="minorHAnsi"/>
        </w:rPr>
        <w:t>.</w:t>
      </w:r>
    </w:p>
    <w:p w14:paraId="409AC613" w14:textId="2C44349D" w:rsidR="007873A7" w:rsidRPr="00556319" w:rsidRDefault="007873A7" w:rsidP="00525BE0">
      <w:pPr>
        <w:spacing w:line="360" w:lineRule="auto"/>
        <w:jc w:val="both"/>
        <w:rPr>
          <w:rFonts w:cstheme="minorHAnsi"/>
        </w:rPr>
      </w:pPr>
      <w:r w:rsidRPr="00556319">
        <w:rPr>
          <w:rFonts w:cstheme="minorHAnsi"/>
        </w:rPr>
        <w:t xml:space="preserve">Those who have </w:t>
      </w:r>
      <w:r>
        <w:rPr>
          <w:rFonts w:cstheme="minorHAnsi"/>
        </w:rPr>
        <w:t xml:space="preserve">used a realist perspective to understand </w:t>
      </w:r>
      <w:r w:rsidRPr="00556319">
        <w:rPr>
          <w:rFonts w:cstheme="minorHAnsi"/>
        </w:rPr>
        <w:t>inte</w:t>
      </w:r>
      <w:r>
        <w:rPr>
          <w:rFonts w:cstheme="minorHAnsi"/>
        </w:rPr>
        <w:t>r-organisational collaborations</w:t>
      </w:r>
      <w:r w:rsidRPr="00556319">
        <w:rPr>
          <w:rFonts w:cstheme="minorHAnsi"/>
        </w:rPr>
        <w:t xml:space="preserve"> have focused on particular subtypes and contexts of collaboration</w:t>
      </w:r>
      <w:r>
        <w:rPr>
          <w:rFonts w:cstheme="minorHAnsi"/>
        </w:rPr>
        <w:t xml:space="preserve"> </w:t>
      </w:r>
      <w:r>
        <w:rPr>
          <w:rFonts w:cstheme="minorHAnsi"/>
        </w:rPr>
        <w:fldChar w:fldCharType="begin" w:fldLock="1"/>
      </w:r>
      <w:r w:rsidR="00EA4B53">
        <w:rPr>
          <w:rFonts w:cstheme="minorHAnsi"/>
        </w:rPr>
        <w:instrText>ADDIN CSL_CITATION {"citationItems":[{"id":"ITEM-1","itemData":{"DOI":"10.1111/j.1468-0009.2012.00665.x","ISSN":"0887378X","PMID":"22709390","abstract":"Context: Participatory research (PR) is the co-construction of research through partnerships between researchers and people affected by and/or responsible for action on the issues under study. Evaluating the benefits of PR is challenging for a number of reasons: the research topics, methods, and study designs are heterogeneous; the extent of collaborative involvement may vary over the duration of a project and from one project to the next; and partnership activities may generate a complex array of both short- and long-term outcomes. Methods: Our review team consisted of a collaboration among researchers and decision makers in public health, research funding, ethics review, and community-engaged scholarship. We identified, selected, and appraised a large-variety sample of primary studies describing PR partnerships, and in each stage, two team members independently reviewed and coded the literature. We used key realist review concepts (middle-range theory, demi-regularity, and context-mechanism-outcome configurations [CMO]) to analyze and synthesize the data, using the PR partnership as the main unit of analysis. Findings: From 7,167 abstracts and 591 full-text papers, we distilled for synthesis a final sample of twenty-three PR partnerships described in 276 publications. The link between process and outcome in these partnerships was best explained using the middle-range theory of partnership synergy, which demonstrates how PR can (1) ensure culturally and logistically appropriate research, (2) enhance recruitment capacity, (3) generate professional capacity and competence in stakeholder groups, (4) result in productive conflicts followed by useful negotiation, (5) increase the quality of outputs and outcomes over time, (6) increase the sustainability of project goals beyond funded time frames and during gaps in external funding, and (7) create system changes and new unanticipated projects and activities. Negative examples illustrated why these outcomes were not a guaranteed product of PR partnerships but were contingent on key aspects of context. Conclusions: We used a realist approach to embrace the heterogeneity and complexity of the PR literature. This theory-driven synthesis identified mechanisms by which PR may add value to the research process. Using the middle-range theory of partnership synergy, our review confirmed findings from previous PR reviews, documented and explained some negative outcomes, and generated new insights into the benefits of …","author":[{"dropping-particle":"","family":"Jagosh","given":"Justin","non-dropping-particle":"","parse-names":false,"suffix":""},{"dropping-particle":"","family":"MacAulay","given":"Ann C.","non-dropping-particle":"","parse-names":false,"suffix":""},{"dropping-particle":"","family":"Pluye","given":"Pierre","non-dropping-particle":"","parse-names":false,"suffix":""},{"dropping-particle":"","family":"Salsberg","given":"Jon","non-dropping-particle":"","parse-names":false,"suffix":""},{"dropping-particle":"","family":"Bush","given":"Paula L.","non-dropping-particle":"","parse-names":false,"suffix":""},{"dropping-particle":"","family":"Henderson","given":"Jim","non-dropping-particle":"","parse-names":false,"suffix":""},{"dropping-particle":"","family":"Sirett","given":"Erin","non-dropping-particle":"","parse-names":false,"suffix":""},{"dropping-particle":"","family":"Wong","given":"Geoff","non-dropping-particle":"","parse-names":false,"suffix":""},{"dropping-particle":"","family":"Cargo","given":"Margaret","non-dropping-particle":"","parse-names":false,"suffix":""},{"dropping-particle":"","family":"Herbert","given":"Carol P.","non-dropping-particle":"","parse-names":false,"suffix":""},{"dropping-particle":"","family":"Seifer","given":"Sarena D.","non-dropping-particle":"","parse-names":false,"suffix":""},{"dropping-particle":"","family":"Green","given":"Lawrence W.","non-dropping-particle":"","parse-names":false,"suffix":""},{"dropping-particle":"","family":"Greenhalgh","given":"Trisha","non-dropping-particle":"","parse-names":false,"suffix":""}],"container-title":"Milbank Quarterly","id":"ITEM-1","issue":"2","issued":{"date-parts":[["2012"]]},"page":"311-346","title":"Uncovering the benefits of participatory research: Implications of a realist review for health research and practice","type":"article-journal","volume":"90"},"uris":["http://www.mendeley.com/documents/?uuid=e8c3db14-fed0-465d-bf04-65cdb7845951"]},{"id":"ITEM-2","itemData":{"DOI":"10.1186/s13012-016-0380-z","ISSN":"17485908","PMID":"26860631","abstract":"Background: Increasingly, it is being suggested that translational gaps might be eradicated or narrowed by bringing research users and producers closer together, a theory that is largely untested. This paper reports a national study to fill a gap in the evidence about the conditions, processes and outcomes related to collaboration and implementation. Methods: A longitudinal realist evaluation using multiple qualitative methods case studies was conducted with three Collaborations for Leadership in Applied Health Research in Care (England). Data were collected over four rounds of theory development, refinement and testing. Over 200 participants were involved in semi-structured interviews, non-participant observations of events and meetings, and stakeholder engagement. A combined inductive and deductive data analysis process was focused on proposition refinement and testing iteratively over data collection rounds. Results: The quality of existing relationships between higher education and local health service, and views about whether implementation was a collaborative act, created a path dependency. Where implementation was perceived to be removed from service and there was a lack of organisational connections, this resulted in a focus on knowledge production and transfer, rather than co-production. The collaborations' architectures were counterproductive because they did not facilitate connectivity and had emphasised professional and epistemic boundaries. More distributed leadership was associated with greater potential for engagement. The creation of boundary spanning roles was the most visible investment in implementation, and credible individuals in these roles resulted in cross-boundary work, in facilitation and in direct impacts. The academic-practice divide played out strongly as a context for motivation to engage, in that 'what's in it for me' resulted in variable levels of engagement along a co-operation-collaboration continuum. Learning within and across collaborations was patchy depending on attention to evaluation. Conclusions: These collaborations did not emerge from a vacuum, and they needed time to learn and develop. Their life cycle started with their position on collaboration, knowledge and implementation. More impactful attempts at collective action in implementation might be determined by the deliberate alignment of a number of features, including foundational relationships, vision, values, structures and processes and views about the na…","author":[{"dropping-particle":"","family":"Rycroft-Malone","given":"Jo","non-dropping-particle":"","parse-names":false,"suffix":""},{"dropping-particle":"","family":"Burton","given":"Christopher R.","non-dropping-particle":"","parse-names":false,"suffix":""},{"dropping-particle":"","family":"Wilkinson","given":"Joyce","non-dropping-particle":"","parse-names":false,"suffix":""},{"dropping-particle":"","family":"Harvey","given":"Gill","non-dropping-particle":"","parse-names":false,"suffix":""},{"dropping-particle":"","family":"McCormack","given":"Brendan","non-dropping-particle":"","parse-names":false,"suffix":""},{"dropping-particle":"","family":"Baker","given":"Richard","non-dropping-particle":"","parse-names":false,"suffix":""},{"dropping-particle":"","family":"Dopson","given":"Sue","non-dropping-particle":"","parse-names":false,"suffix":""},{"dropping-particle":"","family":"Graham","given":"Ian D.","non-dropping-particle":"","parse-names":false,"suffix":""},{"dropping-particle":"","family":"Staniszewska","given":"Sophie","non-dropping-particle":"","parse-names":false,"suffix":""},{"dropping-particle":"","family":"Thompson","given":"Carl","non-dropping-particle":"","parse-names":false,"suffix":""},{"dropping-particle":"","family":"Ariss","given":"Steven","non-dropping-particle":"","parse-names":false,"suffix":""},{"dropping-particle":"","family":"Melville-Richards","given":"Lucy","non-dropping-particle":"","parse-names":false,"suffix":""},{"dropping-particle":"","family":"Williams","given":"Lynne","non-dropping-particle":"","parse-names":false,"suffix":""}],"container-title":"Implementation Science","id":"ITEM-2","issue":"1","issued":{"date-parts":[["2016"]]},"page":"1-17","publisher":"Implementation Science","title":"Collective action for implementation: A realist evaluation of organisational collaboration in healthcare","type":"article-journal","volume":"11"},"uris":["http://www.mendeley.com/documents/?uuid=cc344269-70d5-4756-b11d-1d19fd0b5e8f"]},{"id":"ITEM-3","itemData":{"DOI":"10.1186/s13012-020-0978-z","ISSN":"17485908","PMID":"32366269","abstract":"BACKGROUND: Quality improvement collaboratives are widely used to improve health care in both high-income and low and middle-income settings. Teams from multiple health facilities share learning on a given topic and apply a structured cycle of change testing. Previous systematic reviews reported positive effects on target outcomes, but the role of context and mechanism of change is underexplored. This realist-inspired systematic review aims to analyse contextual factors influencing intended outcomes and to identify how quality improvement collaboratives may result in improved adherence to evidence-based practices. METHODS: We built an initial conceptual framework to drive our enquiry, focusing on three context domains: health facility setting; project-specific factors; wider organisational and external factors; and two further domains pertaining to mechanisms: intra-organisational and inter-organisational changes. We systematically searched five databases and grey literature for publications relating to quality improvement collaboratives in a healthcare setting and containing data on context or mechanisms. We analysed and reported findings thematically and refined the programme theory. RESULTS: We screened 962 abstracts of which 88 met the inclusion criteria, and we retained 32 for analysis. Adequacy and appropriateness of external support, functionality of quality improvement teams, leadership characteristics and alignment with national systems and priorities may influence outcomes of quality improvement collaboratives, but the strength and quality of the evidence is weak. Participation in quality improvement collaborative activities may improve health professionals' knowledge, problem-solving skills and attitude; teamwork; shared leadership and habits for improvement. Interaction across quality improvement teams may generate normative pressure and opportunities for capacity building and peer recognition. CONCLUSION: Our review offers a novel programme theory to unpack the complexity of quality improvement collaboratives by exploring the relationship between context, mechanisms and outcomes. There remains a need for greater use of behaviour change and organisational psychology theory to improve design, adaptation and evaluation of the collaborative quality improvement approach and to test its effectiveness. Further research is needed to determine whether certain contextual factors related to capacity should be a precondition to the quality improvement …","author":[{"dropping-particle":"","family":"Zamboni","given":"Karen","non-dropping-particle":"","parse-names":false,"suffix":""},{"dropping-particle":"","family":"Baker","given":"Ulrika","non-dropping-particle":"","parse-names":false,"suffix":""},{"dropping-particle":"","family":"Tyagi","given":"Mukta","non-dropping-particle":"","parse-names":false,"suffix":""},{"dropping-particle":"","family":"Schellenberg","given":"Joanna","non-dropping-particle":"","parse-names":false,"suffix":""},{"dropping-particle":"","family":"Hill","given":"Zelee","non-dropping-particle":"","parse-names":false,"suffix":""},{"dropping-particle":"","family":"Hanson","given":"Claudia","non-dropping-particle":"","parse-names":false,"suffix":""}],"container-title":"Implementation science : IS","id":"ITEM-3","issue":"1","issued":{"date-parts":[["2020"]]},"page":"27","publisher":"Implementation Science","title":"How and under what circumstances do quality improvement collaboratives lead to better outcomes? A systematic review","type":"article-journal","volume":"15"},"uris":["http://www.mendeley.com/documents/?uuid=7b448ec7-227d-48cf-86a1-a234c03ef3c9"]}],"mendeley":{"formattedCitation":"&lt;sup&gt;127,132,133&lt;/sup&gt;","plainTextFormattedCitation":"127,132,133","previouslyFormattedCitation":"&lt;sup&gt;127,132,133&lt;/sup&gt;"},"properties":{"noteIndex":0},"schema":"https://github.com/citation-style-language/schema/raw/master/csl-citation.json"}</w:instrText>
      </w:r>
      <w:r>
        <w:rPr>
          <w:rFonts w:cstheme="minorHAnsi"/>
        </w:rPr>
        <w:fldChar w:fldCharType="separate"/>
      </w:r>
      <w:r w:rsidR="00E25884" w:rsidRPr="00E25884">
        <w:rPr>
          <w:rFonts w:cstheme="minorHAnsi"/>
          <w:noProof/>
          <w:vertAlign w:val="superscript"/>
        </w:rPr>
        <w:t>127,132,133</w:t>
      </w:r>
      <w:r>
        <w:rPr>
          <w:rFonts w:cstheme="minorHAnsi"/>
        </w:rPr>
        <w:fldChar w:fldCharType="end"/>
      </w:r>
      <w:r>
        <w:rPr>
          <w:rFonts w:cstheme="minorHAnsi"/>
        </w:rPr>
        <w:t>.</w:t>
      </w:r>
      <w:r w:rsidRPr="00556319">
        <w:rPr>
          <w:rFonts w:cstheme="minorHAnsi"/>
        </w:rPr>
        <w:t xml:space="preserve"> </w:t>
      </w:r>
      <w:r>
        <w:rPr>
          <w:rFonts w:cstheme="minorHAnsi"/>
        </w:rPr>
        <w:t>H</w:t>
      </w:r>
      <w:r w:rsidRPr="00556319">
        <w:rPr>
          <w:rFonts w:cstheme="minorHAnsi"/>
        </w:rPr>
        <w:t xml:space="preserve">owever, none have yet attempted to </w:t>
      </w:r>
      <w:r>
        <w:rPr>
          <w:rFonts w:cstheme="minorHAnsi"/>
        </w:rPr>
        <w:t xml:space="preserve">address </w:t>
      </w:r>
      <w:r w:rsidRPr="00556319">
        <w:rPr>
          <w:rFonts w:cstheme="minorHAnsi"/>
        </w:rPr>
        <w:t xml:space="preserve">the wider topic of inter-organisational collaborations </w:t>
      </w:r>
      <w:r w:rsidR="00642806">
        <w:rPr>
          <w:rFonts w:cstheme="minorHAnsi"/>
        </w:rPr>
        <w:t>between</w:t>
      </w:r>
      <w:r w:rsidRPr="00556319">
        <w:rPr>
          <w:rFonts w:cstheme="minorHAnsi"/>
        </w:rPr>
        <w:t xml:space="preserve"> health</w:t>
      </w:r>
      <w:r>
        <w:rPr>
          <w:rFonts w:cstheme="minorHAnsi"/>
        </w:rPr>
        <w:t xml:space="preserve"> </w:t>
      </w:r>
      <w:r w:rsidRPr="00556319">
        <w:rPr>
          <w:rFonts w:cstheme="minorHAnsi"/>
        </w:rPr>
        <w:t>care</w:t>
      </w:r>
      <w:r w:rsidR="00642806">
        <w:rPr>
          <w:rFonts w:cstheme="minorHAnsi"/>
        </w:rPr>
        <w:t xml:space="preserve"> providers</w:t>
      </w:r>
      <w:r w:rsidRPr="00556319">
        <w:rPr>
          <w:rFonts w:cstheme="minorHAnsi"/>
        </w:rPr>
        <w:t xml:space="preserve">. In this project we have drawn on realist methodology in both synthesis and evaluation types to test and refine a robust theory of how inter-organisational collaborations in healthcare work, to what extent, why, and in what circumstances. </w:t>
      </w:r>
    </w:p>
    <w:p w14:paraId="0CAD93B5" w14:textId="77777777" w:rsidR="007873A7" w:rsidRPr="0019714B" w:rsidRDefault="007873A7" w:rsidP="00525BE0">
      <w:pPr>
        <w:spacing w:line="360" w:lineRule="auto"/>
        <w:jc w:val="both"/>
        <w:rPr>
          <w:rFonts w:cstheme="minorHAnsi"/>
        </w:rPr>
      </w:pPr>
      <w:r w:rsidRPr="00556319">
        <w:rPr>
          <w:rFonts w:cstheme="minorHAnsi"/>
        </w:rPr>
        <w:t>A starting point of realist evaluation is identifying the ideas and assumptions underlying how programmes or interventions work, known as programme theories. Realists also work with the premise that programmes are never universally successful; rather how they work (their mechanisms) to produce outcomes is shaped by contextual features. The goal of realist evaluation is to explain how contextual features shape the mechanisms through which a programme works. This is achieved through testing and refining programme theories, expressed as</w:t>
      </w:r>
      <w:r>
        <w:rPr>
          <w:rFonts w:cstheme="minorHAnsi"/>
        </w:rPr>
        <w:t xml:space="preserve"> </w:t>
      </w:r>
      <w:r w:rsidRPr="00556319">
        <w:rPr>
          <w:rFonts w:cstheme="minorHAnsi"/>
        </w:rPr>
        <w:t>Context-Mechanism-Outcome configurations</w:t>
      </w:r>
      <w:r>
        <w:rPr>
          <w:rFonts w:cstheme="minorHAnsi"/>
        </w:rPr>
        <w:t xml:space="preserve"> (CMOCs)</w:t>
      </w:r>
      <w:r w:rsidRPr="00556319">
        <w:rPr>
          <w:rFonts w:cstheme="minorHAnsi"/>
        </w:rPr>
        <w:t>. Initially, these are tentative ideas; as the project progresses and these ideas are brought into conversation with evidence (i.e. tested in relation to the evidence) they are refined to produce a more detailed explanation of how context shapes mechanisms. (Pawson &amp; Tilley, 1997; Wong et al., 2013). A refined theory can support the process of adapting the intervention to local circumstances. The aim of this project is to produce a fully refined and actionable theory for practitioners and those implementing such arrangements.</w:t>
      </w:r>
    </w:p>
    <w:p w14:paraId="7A084132" w14:textId="37D2F9DA" w:rsidR="007873A7" w:rsidRDefault="004A54C8" w:rsidP="00525BE0">
      <w:pPr>
        <w:pStyle w:val="Heading2"/>
        <w:jc w:val="both"/>
      </w:pPr>
      <w:bookmarkStart w:id="72" w:name="_Toc85066427"/>
      <w:r>
        <w:t xml:space="preserve">Methods: </w:t>
      </w:r>
      <w:r w:rsidR="007873A7">
        <w:t>Realist Synthesis</w:t>
      </w:r>
      <w:bookmarkEnd w:id="72"/>
    </w:p>
    <w:p w14:paraId="29BA0F14" w14:textId="77777777" w:rsidR="007873A7" w:rsidRPr="00481C0B" w:rsidRDefault="007873A7" w:rsidP="00525BE0">
      <w:pPr>
        <w:pStyle w:val="Heading3"/>
        <w:jc w:val="both"/>
      </w:pPr>
      <w:bookmarkStart w:id="73" w:name="_Toc85066428"/>
      <w:r w:rsidRPr="00481C0B">
        <w:t>Details of search strategies</w:t>
      </w:r>
      <w:bookmarkEnd w:id="73"/>
    </w:p>
    <w:p w14:paraId="61E14C1A" w14:textId="77777777" w:rsidR="007873A7" w:rsidRPr="00481C0B" w:rsidRDefault="007873A7" w:rsidP="00525BE0">
      <w:pPr>
        <w:pStyle w:val="Heading4"/>
        <w:jc w:val="both"/>
      </w:pPr>
      <w:r w:rsidRPr="00481C0B">
        <w:t>Theory gleaning</w:t>
      </w:r>
    </w:p>
    <w:p w14:paraId="1B31797C" w14:textId="1F048294" w:rsidR="007873A7" w:rsidRPr="00C10793" w:rsidRDefault="007873A7" w:rsidP="00525BE0">
      <w:pPr>
        <w:spacing w:line="360" w:lineRule="auto"/>
        <w:jc w:val="both"/>
      </w:pPr>
      <w:r w:rsidRPr="00C10793">
        <w:t xml:space="preserve">Searching processes in realist reviews tend to be evolutionary in nature, and that was the case here </w:t>
      </w:r>
      <w:r w:rsidRPr="00C10793">
        <w:fldChar w:fldCharType="begin" w:fldLock="1"/>
      </w:r>
      <w:r w:rsidR="00EA4B53">
        <w:instrText>ADDIN CSL_CITATION {"citationItems":[{"id":"ITEM-1","itemData":{"DOI":"10.1186/1741-7015-11-21","ISSN":"03092402","abstract":"Background: Meta-narrative review is one of an emerging menu of new approaches to qualitative and mixed-method systematic review. A meta-narrative review seeks to illuminate a heterogeneous topic area by highlighting the contrasting and complementary ways researchers have studied the same or a similar topic. No previous publication standards exist for the reporting of meta-narrative reviews. This publication standard was developed as part of the RAMESES (Realist And MEta-narrative Evidence Syntheses: Evolving Standards) project. The project's aim is to produce preliminary publication standards for meta-narrative reviews. Design: A mixed method study synthesising data between 2011 to 2012 from a literature review, online Delphi panel and feedback from training, workshops and email list. Methods: We: (a) collated and summarized existing literature on the principles of good practice in meta-narrative reviews; (b) considered the extent to which these principles had been followed by published reviews, thereby identifying how rigor may be lost and how existing methods could be improved; (c) used a three-round online Delphi method with an interdisciplinary panel of national and international experts in evidence synthesis, meta-narrative reviews, policy, and/or publishing to produce and iteratively refine a draft set of methodological steps, and publication standards; (d) provided real-time support to ongoing meta-narrative reviews and the open-access RAMESES online discussion list so as to capture problems and questions as they arose; and (e) synthesized expert input, evidence review, and real-time problem analysis into a definitive set of standards. Results: We identified nine published meta-narrative reviews, provided real-time support to four ongoing reviews, and captured questions raised in the RAMESES discussion list. Through analysis and discussion within the project team, we summarized the published literature, and common questions and challenges into briefing materials for the Delphi panel, comprising 33 members. Within three rounds this panel had reached consensus on 20 key publication standards, with an overall response rate of 90%. Conclusions: This project used multiple sources to draw together evidence and expertise in meta-narrative reviews. For each item we have included an explanation for why it is important and guidance on how it might be reported. Meta-narrative review is a relatively new method for evidence synthesis and as experience and me…","author":[{"dropping-particle":"","family":"Wong","given":"Geoff","non-dropping-particle":"","parse-names":false,"suffix":""},{"dropping-particle":"","family":"Greenhalgh","given":"Trish","non-dropping-particle":"","parse-names":false,"suffix":""},{"dropping-particle":"","family":"Westhorp","given":"Gill","non-dropping-particle":"","parse-names":false,"suffix":""},{"dropping-particle":"","family":"Buckingham","given":"Jeanette","non-dropping-particle":"","parse-names":false,"suffix":""},{"dropping-particle":"","family":"Pawson","given":"Ray","non-dropping-particle":"","parse-names":false,"suffix":""}],"container-title":"BMC Medicine","id":"ITEM-1","issue":"21","issued":{"date-parts":[["2013"]]},"page":"2-14","title":"RAMESES publication standards: realist syntheses","type":"article-journal","volume":"11"},"uris":["http://www.mendeley.com/documents/?uuid=1e4d1d8d-801f-4bd0-97ad-988c3265fd4f"]}],"mendeley":{"formattedCitation":"&lt;sup&gt;134&lt;/sup&gt;","plainTextFormattedCitation":"134","previouslyFormattedCitation":"&lt;sup&gt;134&lt;/sup&gt;"},"properties":{"noteIndex":0},"schema":"https://github.com/citation-style-language/schema/raw/master/csl-citation.json"}</w:instrText>
      </w:r>
      <w:r w:rsidRPr="00C10793">
        <w:fldChar w:fldCharType="separate"/>
      </w:r>
      <w:r w:rsidR="00E25884" w:rsidRPr="00E25884">
        <w:rPr>
          <w:noProof/>
          <w:vertAlign w:val="superscript"/>
        </w:rPr>
        <w:t>134</w:t>
      </w:r>
      <w:r w:rsidRPr="00C10793">
        <w:fldChar w:fldCharType="end"/>
      </w:r>
      <w:r w:rsidRPr="00C10793">
        <w:t xml:space="preserve">. Initially, systematic searches were conducted to gather evidence </w:t>
      </w:r>
      <w:r>
        <w:t>about</w:t>
      </w:r>
      <w:r w:rsidRPr="00C10793">
        <w:t xml:space="preserve"> how inter-or</w:t>
      </w:r>
      <w:r>
        <w:t>ganisational collaboration works</w:t>
      </w:r>
      <w:r w:rsidRPr="00C10793">
        <w:t xml:space="preserve"> and the contextual factors shaping </w:t>
      </w:r>
      <w:r>
        <w:t>across a</w:t>
      </w:r>
      <w:r w:rsidRPr="00C10793">
        <w:t xml:space="preserve"> range of entities such as alliances, buddying, mergers, acquisitions, and hospital groups. These searches were run between 20.02.20 and 04.03.20 on databases including the Healthcare Management Information Consortium (HMIC), MEDLINE, Social Policy and Practice, and PsycINFO (see additional file 2 for search strategies). The HMIC commentary search (additional file 2) was run on 12.01.</w:t>
      </w:r>
      <w:r>
        <w:t>2021</w:t>
      </w:r>
      <w:r w:rsidRPr="00C10793">
        <w:t xml:space="preserve">. These searches were limited to 1990 onwards to provide the most up-to-date literature. Additionally, a Google Scholar search was conducted on 11.03.20 to identify any grey literature or papers missed. This search used the terms “theory organisational collaboration” to identify theoretical papers and “inter-organisational collaboration healthcare”. Reference scanning and citation tracking was also employed to ensure as many papers were identified as possible. Please see </w:t>
      </w:r>
      <w:r w:rsidRPr="00B85E73">
        <w:rPr>
          <w:color w:val="000000" w:themeColor="text1"/>
        </w:rPr>
        <w:t xml:space="preserve">appendix 3 </w:t>
      </w:r>
      <w:r w:rsidRPr="00C10793">
        <w:t>for the full systematic search strategy.</w:t>
      </w:r>
    </w:p>
    <w:p w14:paraId="540E3D12" w14:textId="77777777" w:rsidR="007873A7" w:rsidRDefault="007873A7" w:rsidP="00525BE0">
      <w:pPr>
        <w:spacing w:line="360" w:lineRule="auto"/>
        <w:jc w:val="both"/>
      </w:pPr>
      <w:r w:rsidRPr="00C10793">
        <w:t>After data synthesis, we realised that we lacked elucidation on some of the mechanisms underlying how leadership, amongst other elements, may be key to understanding the process of collaboration. As such, a non-systematic, purposive search was also used to identify middle-range theories (MRTs) which would allow us to gain further insight into mechanisms uncovered through our analysis of papers identified in our initial searches. These were identified using terms and combinations of terms such as “inter-organisational conflict”, “inter-organisational communication”, “inter-organizational trust”, “organisational capacity”, “collaborative leadership”, “organizational flexibility and effectiveness”, “collaborative accountability and governance”, and “collaborative regulatory environment”. These searches were conducted in Google Scholar in May 2020. Lastly</w:t>
      </w:r>
      <w:r>
        <w:t>,</w:t>
      </w:r>
      <w:r w:rsidRPr="00C10793">
        <w:t xml:space="preserve"> we conducted an additional Google scholar search in December 2020 using the terms “confidence” and “trust”, “formalisation”, “contract”, “contractualization” combined with “inter-organisational collaboration” or “partnership” or “network” for further MRT papers.</w:t>
      </w:r>
    </w:p>
    <w:p w14:paraId="4149D021" w14:textId="77777777" w:rsidR="007873A7" w:rsidRPr="00C10793" w:rsidRDefault="007873A7" w:rsidP="00525BE0">
      <w:pPr>
        <w:pStyle w:val="Heading4"/>
        <w:spacing w:line="360" w:lineRule="auto"/>
        <w:jc w:val="both"/>
      </w:pPr>
      <w:r>
        <w:t>Theory refinement</w:t>
      </w:r>
    </w:p>
    <w:p w14:paraId="47C24DBE" w14:textId="4BA99AE9" w:rsidR="007873A7" w:rsidRDefault="007873A7" w:rsidP="00525BE0">
      <w:pPr>
        <w:keepNext/>
        <w:spacing w:line="360" w:lineRule="auto"/>
        <w:jc w:val="both"/>
      </w:pPr>
      <w:r>
        <w:t xml:space="preserve">The literature for this refinement stage of our realist synthesis was identified through a combination of existing literature from prior stages (systematically-searched), novel (to this stage) systematic searches intended to locate case study literature explicitly, and grey literature sources (for identifying organisational reports and evaluations), as is typical of a realist synthesis </w:t>
      </w:r>
      <w:r>
        <w:fldChar w:fldCharType="begin" w:fldLock="1"/>
      </w:r>
      <w:r w:rsidR="00EA4B53">
        <w:instrText>ADDIN CSL_CITATION {"citationItems":[{"id":"ITEM-1","itemData":{"DOI":"10.1186/1741-7015-11-21","ISSN":"03092402","abstract":"Background: Meta-narrative review is one of an emerging menu of new approaches to qualitative and mixed-method systematic review. A meta-narrative review seeks to illuminate a heterogeneous topic area by highlighting the contrasting and complementary ways researchers have studied the same or a similar topic. No previous publication standards exist for the reporting of meta-narrative reviews. This publication standard was developed as part of the RAMESES (Realist And MEta-narrative Evidence Syntheses: Evolving Standards) project. The project's aim is to produce preliminary publication standards for meta-narrative reviews. Design: A mixed method study synthesising data between 2011 to 2012 from a literature review, online Delphi panel and feedback from training, workshops and email list. Methods: We: (a) collated and summarized existing literature on the principles of good practice in meta-narrative reviews; (b) considered the extent to which these principles had been followed by published reviews, thereby identifying how rigor may be lost and how existing methods could be improved; (c) used a three-round online Delphi method with an interdisciplinary panel of national and international experts in evidence synthesis, meta-narrative reviews, policy, and/or publishing to produce and iteratively refine a draft set of methodological steps, and publication standards; (d) provided real-time support to ongoing meta-narrative reviews and the open-access RAMESES online discussion list so as to capture problems and questions as they arose; and (e) synthesized expert input, evidence review, and real-time problem analysis into a definitive set of standards. Results: We identified nine published meta-narrative reviews, provided real-time support to four ongoing reviews, and captured questions raised in the RAMESES discussion list. Through analysis and discussion within the project team, we summarized the published literature, and common questions and challenges into briefing materials for the Delphi panel, comprising 33 members. Within three rounds this panel had reached consensus on 20 key publication standards, with an overall response rate of 90%. Conclusions: This project used multiple sources to draw together evidence and expertise in meta-narrative reviews. For each item we have included an explanation for why it is important and guidance on how it might be reported. Meta-narrative review is a relatively new method for evidence synthesis and as experience and me…","author":[{"dropping-particle":"","family":"Wong","given":"Geoff","non-dropping-particle":"","parse-names":false,"suffix":""},{"dropping-particle":"","family":"Greenhalgh","given":"Trish","non-dropping-particle":"","parse-names":false,"suffix":""},{"dropping-particle":"","family":"Westhorp","given":"Gill","non-dropping-particle":"","parse-names":false,"suffix":""},{"dropping-particle":"","family":"Buckingham","given":"Jeanette","non-dropping-particle":"","parse-names":false,"suffix":""},{"dropping-particle":"","family":"Pawson","given":"Ray","non-dropping-particle":"","parse-names":false,"suffix":""}],"container-title":"BMC Medicine","id":"ITEM-1","issue":"21","issued":{"date-parts":[["2013"]]},"page":"2-14","title":"RAMESES publication standards: realist syntheses","type":"article-journal","volume":"11"},"uris":["http://www.mendeley.com/documents/?uuid=1e4d1d8d-801f-4bd0-97ad-988c3265fd4f","http://www.mendeley.com/documents/?uuid=ddd50a1a-21ee-49ac-8907-4de87d42d516"]}],"mendeley":{"formattedCitation":"&lt;sup&gt;134&lt;/sup&gt;","plainTextFormattedCitation":"134","previouslyFormattedCitation":"&lt;sup&gt;134&lt;/sup&gt;"},"properties":{"noteIndex":0},"schema":"https://github.com/citation-style-language/schema/raw/master/csl-citation.json"}</w:instrText>
      </w:r>
      <w:r>
        <w:fldChar w:fldCharType="separate"/>
      </w:r>
      <w:r w:rsidR="00E25884" w:rsidRPr="00E25884">
        <w:rPr>
          <w:noProof/>
          <w:vertAlign w:val="superscript"/>
        </w:rPr>
        <w:t>134</w:t>
      </w:r>
      <w:r>
        <w:fldChar w:fldCharType="end"/>
      </w:r>
      <w:r>
        <w:t xml:space="preserve">. Case studies from the existing search were included here, with these case studies being brought over into this refinement stage of the synthesis. In addition, a novel systematic search was conducted on 10.06.20 on the Social Policy and Practice database to identify additional case studies. Further searches for grey literature were conducted on 07.10.20 and 08.10.20 on UK-specific websites for evaluations of collaboration types, including the King’s Fund, the National Institute for Care Excellence, the Nuffield Trust and Health Foundation, and NHS Employers. These searches were on the publication sections of each website, with a focus on identifying evaluative reports. These used the following terms: “collaboration”, “partnership” and “integration” and were limited to 2012 onwards to maximise relevance to contemporary developments in collaborative </w:t>
      </w:r>
      <w:r w:rsidRPr="00327EBB">
        <w:t xml:space="preserve">arrangements. Figure </w:t>
      </w:r>
      <w:r w:rsidR="00F935DA">
        <w:t>8</w:t>
      </w:r>
      <w:r w:rsidRPr="00327EBB">
        <w:t xml:space="preserve"> depicts the full </w:t>
      </w:r>
      <w:r>
        <w:t>methodology</w:t>
      </w:r>
      <w:r w:rsidRPr="00327EBB">
        <w:t xml:space="preserve"> of this realist </w:t>
      </w:r>
      <w:r>
        <w:t>project</w:t>
      </w:r>
      <w:r w:rsidRPr="00327EBB">
        <w:t>.</w:t>
      </w:r>
    </w:p>
    <w:p w14:paraId="042D3E01" w14:textId="77777777" w:rsidR="007873A7" w:rsidRDefault="007873A7" w:rsidP="00525BE0">
      <w:pPr>
        <w:pStyle w:val="Caption"/>
        <w:spacing w:line="360" w:lineRule="auto"/>
        <w:jc w:val="both"/>
      </w:pPr>
      <w:r>
        <w:rPr>
          <w:noProof/>
          <w:lang w:eastAsia="en-GB"/>
        </w:rPr>
        <w:drawing>
          <wp:inline distT="0" distB="0" distL="0" distR="0" wp14:anchorId="792C889D" wp14:editId="3C81D95C">
            <wp:extent cx="4588717" cy="381952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96172" cy="3825731"/>
                    </a:xfrm>
                    <a:prstGeom prst="rect">
                      <a:avLst/>
                    </a:prstGeom>
                  </pic:spPr>
                </pic:pic>
              </a:graphicData>
            </a:graphic>
          </wp:inline>
        </w:drawing>
      </w:r>
    </w:p>
    <w:p w14:paraId="56B066E2" w14:textId="6069477E" w:rsidR="007873A7" w:rsidRPr="008B795E" w:rsidRDefault="007873A7" w:rsidP="00525BE0">
      <w:pPr>
        <w:pStyle w:val="Caption"/>
        <w:spacing w:line="360" w:lineRule="auto"/>
        <w:jc w:val="both"/>
        <w:rPr>
          <w:i w:val="0"/>
          <w:iCs w:val="0"/>
        </w:rPr>
      </w:pPr>
      <w:bookmarkStart w:id="74" w:name="_Toc106181614"/>
      <w:r>
        <w:t xml:space="preserve">Figure </w:t>
      </w:r>
      <w:fldSimple w:instr=" SEQ Figure \* ARABIC ">
        <w:r>
          <w:rPr>
            <w:noProof/>
          </w:rPr>
          <w:t>9</w:t>
        </w:r>
      </w:fldSimple>
      <w:r>
        <w:t xml:space="preserve">. Depiction of phases </w:t>
      </w:r>
      <w:r w:rsidR="00642806">
        <w:t>in developing</w:t>
      </w:r>
      <w:r>
        <w:t xml:space="preserve"> realist </w:t>
      </w:r>
      <w:r w:rsidR="00642806">
        <w:t>theory</w:t>
      </w:r>
      <w:bookmarkEnd w:id="74"/>
      <w:r w:rsidR="006A5B59">
        <w:t>. Adapted from Aunger et al.</w:t>
      </w:r>
      <w:r w:rsidR="00AD31F3">
        <w:t xml:space="preserve"> </w:t>
      </w:r>
      <w:r w:rsidR="006A5B59">
        <w:fldChar w:fldCharType="begin" w:fldLock="1"/>
      </w:r>
      <w:r w:rsidR="006A5B59">
        <w:instrText>ADDIN CSL_CITATION {"citationItems":[{"id":"ITEM-1","itemData":{"DOI":"10.1186/s12913-021-06630-x","author":[{"dropping-particle":"","family":"Aunger","given":"Justin Avery","non-dropping-particle":"","parse-names":false,"suffix":""},{"dropping-particle":"","family":"Millar","given":"Ross","non-dropping-particle":"","parse-names":false,"suffix":""},{"dropping-particle":"","family":"Greenhalgh","given":"Joanne","non-dropping-particle":"","parse-names":false,"suffix":""}],"container-title":"BMC Health Services Research","id":"ITEM-1","issue":"602","issued":{"date-parts":[["2021"]]},"title":"When trust, confidence, and faith collide: refining a realist theory of how and why inter-organisational collaborations in healthcare work","type":"article-journal","volume":"21"},"uris":["http://www.mendeley.com/documents/?uuid=09b12ed0-f45f-442a-9890-205c3566f0e8"]}],"mendeley":{"formattedCitation":"&lt;sup&gt;135&lt;/sup&gt;","plainTextFormattedCitation":"135","previouslyFormattedCitation":"&lt;sup&gt;135&lt;/sup&gt;"},"properties":{"noteIndex":0},"schema":"https://github.com/citation-style-language/schema/raw/master/csl-citation.json"}</w:instrText>
      </w:r>
      <w:r w:rsidR="006A5B59">
        <w:fldChar w:fldCharType="separate"/>
      </w:r>
      <w:r w:rsidR="006A5B59" w:rsidRPr="006A5B59">
        <w:rPr>
          <w:i w:val="0"/>
          <w:noProof/>
          <w:vertAlign w:val="superscript"/>
        </w:rPr>
        <w:t>135</w:t>
      </w:r>
      <w:r w:rsidR="006A5B59">
        <w:fldChar w:fldCharType="end"/>
      </w:r>
    </w:p>
    <w:p w14:paraId="4867C09F" w14:textId="77777777" w:rsidR="007873A7" w:rsidRDefault="007873A7" w:rsidP="00525BE0">
      <w:pPr>
        <w:pStyle w:val="Heading3"/>
        <w:jc w:val="both"/>
      </w:pPr>
      <w:bookmarkStart w:id="75" w:name="_Toc85066429"/>
      <w:r>
        <w:t>Inclusion criteria</w:t>
      </w:r>
      <w:bookmarkEnd w:id="75"/>
    </w:p>
    <w:p w14:paraId="4F556967" w14:textId="77777777" w:rsidR="007873A7" w:rsidRDefault="007873A7" w:rsidP="00525BE0">
      <w:pPr>
        <w:pStyle w:val="Heading4"/>
        <w:spacing w:line="360" w:lineRule="auto"/>
        <w:jc w:val="both"/>
      </w:pPr>
      <w:r>
        <w:t>Theory gleaning</w:t>
      </w:r>
    </w:p>
    <w:p w14:paraId="1AB985DD" w14:textId="21DD2964" w:rsidR="007873A7" w:rsidRPr="00AF3141" w:rsidRDefault="007873A7" w:rsidP="00525BE0">
      <w:pPr>
        <w:spacing w:line="360" w:lineRule="auto"/>
        <w:jc w:val="both"/>
      </w:pPr>
      <w:r w:rsidRPr="00304E6B">
        <w:t xml:space="preserve">Selection of documents was performed on the basis of relevance to the realist synthesis, as is typical of a realist review </w:t>
      </w:r>
      <w:r>
        <w:fldChar w:fldCharType="begin" w:fldLock="1"/>
      </w:r>
      <w:r w:rsidR="00EA4B53">
        <w:instrText>ADDIN CSL_CITATION {"citationItems":[{"id":"ITEM-1","itemData":{"abstract":"This training package has been developed to provide practical guidance to reviewers who want to undertake a realist synthesis (or realist review – the terms are synonymous). There has been, over recent years, a growing demand for training but so far, no ‘how to’ manuals exist. Development of the training materials was funded as part of the RAMESES project (http://www.ramesesproject.org).","author":[{"dropping-particle":"","family":"Wong","given":"Geoff","non-dropping-particle":"","parse-names":false,"suffix":""},{"dropping-particle":"","family":"Westhorp","given":"Gill","non-dropping-particle":"","parse-names":false,"suffix":""},{"dropping-particle":"","family":"Pawson","given":"Ray","non-dropping-particle":"","parse-names":false,"suffix":""},{"dropping-particle":"","family":"Greenhalgh","given":"Trish","non-dropping-particle":"","parse-names":false,"suffix":""}],"container-title":"The RAMESES Project","id":"ITEM-1","issue":"July 2013","issued":{"date-parts":[["2013"]]},"number-of-pages":"55","title":"Realist Synthesis. RAMESES Training Materials","type":"report"},"uris":["http://www.mendeley.com/documents/?uuid=4335c3e5-8fc7-4bd6-9e51-07f8abece93e"]}],"mendeley":{"formattedCitation":"&lt;sup&gt;130&lt;/sup&gt;","plainTextFormattedCitation":"130","previouslyFormattedCitation":"&lt;sup&gt;130&lt;/sup&gt;"},"properties":{"noteIndex":0},"schema":"https://github.com/citation-style-language/schema/raw/master/csl-citation.json"}</w:instrText>
      </w:r>
      <w:r>
        <w:fldChar w:fldCharType="separate"/>
      </w:r>
      <w:r w:rsidR="00E25884" w:rsidRPr="00E25884">
        <w:rPr>
          <w:noProof/>
          <w:vertAlign w:val="superscript"/>
        </w:rPr>
        <w:t>130</w:t>
      </w:r>
      <w:r>
        <w:fldChar w:fldCharType="end"/>
      </w:r>
      <w:r w:rsidRPr="00304E6B">
        <w:t xml:space="preserve">. The systematic review used the following inclusion criteria for the title and abstract stage: “the paper clearly relates to collaborations between one or more public sector organisations on either a structural or individual level” and “the paper is a case study, evaluation, opinion, or review”. In the full text screening as well as that for relevance, the paper had to include “propositions about the success or failure of collaboration in the public sector, mechanisms underlying how collaboration works, or include information about </w:t>
      </w:r>
      <w:r>
        <w:t>‘</w:t>
      </w:r>
      <w:r w:rsidRPr="00304E6B">
        <w:t>entry points</w:t>
      </w:r>
      <w:r>
        <w:t>’</w:t>
      </w:r>
      <w:r w:rsidRPr="00304E6B">
        <w:t xml:space="preserve"> (i.e., drivers of collaboration)”. Exclusion criteria for all stages included papers that “relate to collaborations or partnerships between staff and patients rather than between organisations”. Titles and abstracts were screened by JA with a subset of 10% screened by R Millar</w:t>
      </w:r>
      <w:r w:rsidR="00497CA6">
        <w:t xml:space="preserve"> in accordance with other systematic reviews (12)</w:t>
      </w:r>
      <w:r w:rsidRPr="00304E6B">
        <w:t>.</w:t>
      </w:r>
      <w:r w:rsidR="00913CB1">
        <w:t xml:space="preserve"> </w:t>
      </w:r>
      <w:r w:rsidR="00CB375A">
        <w:t xml:space="preserve">Agreement was reached with all selected papers against the inclusion and exclusion criteria. </w:t>
      </w:r>
    </w:p>
    <w:p w14:paraId="5A5122E9" w14:textId="77777777" w:rsidR="007873A7" w:rsidRPr="00AF3141" w:rsidRDefault="007873A7" w:rsidP="00525BE0">
      <w:pPr>
        <w:pStyle w:val="Heading4"/>
        <w:spacing w:line="360" w:lineRule="auto"/>
        <w:jc w:val="both"/>
      </w:pPr>
      <w:r>
        <w:t>Theory refinement</w:t>
      </w:r>
    </w:p>
    <w:p w14:paraId="75B52440" w14:textId="2486973C" w:rsidR="007873A7" w:rsidRDefault="007873A7" w:rsidP="00525BE0">
      <w:pPr>
        <w:spacing w:line="360" w:lineRule="auto"/>
        <w:jc w:val="both"/>
      </w:pPr>
      <w:r>
        <w:t>For the refinement stage, we included papers that 1) were case studies or evaluations (defined as reporting results of arrangements using descriptive methods), 2) report on an inter-organisational collaboration between health</w:t>
      </w:r>
      <w:r w:rsidR="00642806">
        <w:t xml:space="preserve"> </w:t>
      </w:r>
      <w:r>
        <w:t>care providing organisations, 3) and were in English language, due to resource limitations of the study. Some papers had both literature review and case study portions, and these were also included, but data extraction was performed only on the case study parts. Selected studies were then subject to rigour and relevance checks in line with realist synthesis methodology.</w:t>
      </w:r>
    </w:p>
    <w:p w14:paraId="413CA2C3" w14:textId="77777777" w:rsidR="007873A7" w:rsidRDefault="007873A7" w:rsidP="00525BE0">
      <w:pPr>
        <w:pStyle w:val="Heading3"/>
        <w:jc w:val="both"/>
      </w:pPr>
      <w:bookmarkStart w:id="76" w:name="_Toc85066430"/>
      <w:r>
        <w:t>Rigour and relevance screening</w:t>
      </w:r>
      <w:bookmarkEnd w:id="76"/>
    </w:p>
    <w:p w14:paraId="4E3CE1E3" w14:textId="3646841A" w:rsidR="007873A7" w:rsidRDefault="007873A7" w:rsidP="00525BE0">
      <w:pPr>
        <w:spacing w:after="0" w:line="360" w:lineRule="auto"/>
        <w:jc w:val="both"/>
      </w:pPr>
      <w:bookmarkStart w:id="77" w:name="_Hlk104739250"/>
      <w:r>
        <w:t xml:space="preserve">In line with guidance from Wong (2018), the screening for rigour was ongoing during the analysis process and aimed primarily to increase the trustworthiness of the findings </w:t>
      </w:r>
      <w:r>
        <w:fldChar w:fldCharType="begin" w:fldLock="1"/>
      </w:r>
      <w:r w:rsidR="006A5B59">
        <w:instrText>ADDIN CSL_CITATION {"citationItems":[{"id":"ITEM-1","itemData":{"author":[{"dropping-particle":"","family":"Wong","given":"Geoff","non-dropping-particle":"","parse-names":false,"suffix":""}],"container-title":"Doing realist research. London: SAGE","id":"ITEM-1","issued":{"date-parts":[["2018"]]},"title":"Data gathering in realist reviews: looking for needles in haystacks","type":"article-journal"},"uris":["http://www.mendeley.com/documents/?uuid=1efecb26-5164-4e7a-a6a9-8e66e04c2d57"]}],"mendeley":{"formattedCitation":"&lt;sup&gt;136&lt;/sup&gt;","plainTextFormattedCitation":"136","previouslyFormattedCitation":"&lt;sup&gt;136&lt;/sup&gt;"},"properties":{"noteIndex":0},"schema":"https://github.com/citation-style-language/schema/raw/master/csl-citation.json"}</w:instrText>
      </w:r>
      <w:r>
        <w:fldChar w:fldCharType="separate"/>
      </w:r>
      <w:r w:rsidR="006A5B59" w:rsidRPr="006A5B59">
        <w:rPr>
          <w:noProof/>
          <w:vertAlign w:val="superscript"/>
        </w:rPr>
        <w:t>136</w:t>
      </w:r>
      <w:r>
        <w:fldChar w:fldCharType="end"/>
      </w:r>
      <w:r>
        <w:t xml:space="preserve">. This process involved including a CMOC only when 1) supported by clear data in included studies and 2) by multiple sources </w:t>
      </w:r>
      <w:r>
        <w:fldChar w:fldCharType="begin" w:fldLock="1"/>
      </w:r>
      <w:r w:rsidR="006A5B59">
        <w:instrText>ADDIN CSL_CITATION {"citationItems":[{"id":"ITEM-1","itemData":{"author":[{"dropping-particle":"","family":"Wong","given":"Geoff","non-dropping-particle":"","parse-names":false,"suffix":""}],"container-title":"Doing realist research. London: SAGE","id":"ITEM-1","issued":{"date-parts":[["2018"]]},"title":"Data gathering in realist reviews: looking for needles in haystacks","type":"article-journal"},"uris":["http://www.mendeley.com/documents/?uuid=1efecb26-5164-4e7a-a6a9-8e66e04c2d57"]}],"mendeley":{"formattedCitation":"&lt;sup&gt;136&lt;/sup&gt;","plainTextFormattedCitation":"136","previouslyFormattedCitation":"&lt;sup&gt;136&lt;/sup&gt;"},"properties":{"noteIndex":0},"schema":"https://github.com/citation-style-language/schema/raw/master/csl-citation.json"}</w:instrText>
      </w:r>
      <w:r>
        <w:fldChar w:fldCharType="separate"/>
      </w:r>
      <w:r w:rsidR="006A5B59" w:rsidRPr="006A5B59">
        <w:rPr>
          <w:noProof/>
          <w:vertAlign w:val="superscript"/>
        </w:rPr>
        <w:t>136</w:t>
      </w:r>
      <w:r>
        <w:fldChar w:fldCharType="end"/>
      </w:r>
      <w:r>
        <w:t>. For theoretical sources of evidence, only theories that had seen significant use in the literature since publication were used in the building of our MRT and CMOCs. If documents were screened out on the basis of trustworthiness, the reasons for doing so were to be recorded. However, no studies or extracts were excluded on this basis.</w:t>
      </w:r>
    </w:p>
    <w:p w14:paraId="10B2B382" w14:textId="77777777" w:rsidR="007873A7" w:rsidRDefault="007873A7" w:rsidP="00525BE0">
      <w:pPr>
        <w:pStyle w:val="Heading3"/>
        <w:jc w:val="both"/>
      </w:pPr>
      <w:bookmarkStart w:id="78" w:name="_Toc85066431"/>
      <w:bookmarkEnd w:id="77"/>
      <w:r>
        <w:t>Data extraction</w:t>
      </w:r>
      <w:bookmarkEnd w:id="78"/>
    </w:p>
    <w:p w14:paraId="329D473D" w14:textId="33A901C8" w:rsidR="007873A7" w:rsidRPr="00C64528" w:rsidRDefault="007873A7" w:rsidP="00525BE0">
      <w:pPr>
        <w:spacing w:line="360" w:lineRule="auto"/>
        <w:jc w:val="both"/>
      </w:pPr>
      <w:r w:rsidRPr="00C64528">
        <w:t xml:space="preserve">Data extraction was carried out by one reviewer (JA), which involved combing the included papers for information relating to mechanisms underlying collaboration, programme theories, and contextual factors - often termed ‘success factors’ or barriers. As is typical of a realist review </w:t>
      </w:r>
      <w:r>
        <w:fldChar w:fldCharType="begin" w:fldLock="1"/>
      </w:r>
      <w:r w:rsidR="00EA4B53">
        <w:instrText>ADDIN CSL_CITATION {"citationItems":[{"id":"ITEM-1","itemData":{"DOI":"10.1186/1741-7015-11-21","ISSN":"03092402","abstract":"Background: Meta-narrative review is one of an emerging menu of new approaches to qualitative and mixed-method systematic review. A meta-narrative review seeks to illuminate a heterogeneous topic area by highlighting the contrasting and complementary ways researchers have studied the same or a similar topic. No previous publication standards exist for the reporting of meta-narrative reviews. This publication standard was developed as part of the RAMESES (Realist And MEta-narrative Evidence Syntheses: Evolving Standards) project. The project's aim is to produce preliminary publication standards for meta-narrative reviews. Design: A mixed method study synthesising data between 2011 to 2012 from a literature review, online Delphi panel and feedback from training, workshops and email list. Methods: We: (a) collated and summarized existing literature on the principles of good practice in meta-narrative reviews; (b) considered the extent to which these principles had been followed by published reviews, thereby identifying how rigor may be lost and how existing methods could be improved; (c) used a three-round online Delphi method with an interdisciplinary panel of national and international experts in evidence synthesis, meta-narrative reviews, policy, and/or publishing to produce and iteratively refine a draft set of methodological steps, and publication standards; (d) provided real-time support to ongoing meta-narrative reviews and the open-access RAMESES online discussion list so as to capture problems and questions as they arose; and (e) synthesized expert input, evidence review, and real-time problem analysis into a definitive set of standards. Results: We identified nine published meta-narrative reviews, provided real-time support to four ongoing reviews, and captured questions raised in the RAMESES discussion list. Through analysis and discussion within the project team, we summarized the published literature, and common questions and challenges into briefing materials for the Delphi panel, comprising 33 members. Within three rounds this panel had reached consensus on 20 key publication standards, with an overall response rate of 90%. Conclusions: This project used multiple sources to draw together evidence and expertise in meta-narrative reviews. For each item we have included an explanation for why it is important and guidance on how it might be reported. Meta-narrative review is a relatively new method for evidence synthesis and as experience and me…","author":[{"dropping-particle":"","family":"Wong","given":"Geoff","non-dropping-particle":"","parse-names":false,"suffix":""},{"dropping-particle":"","family":"Greenhalgh","given":"Trish","non-dropping-particle":"","parse-names":false,"suffix":""},{"dropping-particle":"","family":"Westhorp","given":"Gill","non-dropping-particle":"","parse-names":false,"suffix":""},{"dropping-particle":"","family":"Buckingham","given":"Jeanette","non-dropping-particle":"","parse-names":false,"suffix":""},{"dropping-particle":"","family":"Pawson","given":"Ray","non-dropping-particle":"","parse-names":false,"suffix":""}],"container-title":"BMC Medicine","id":"ITEM-1","issue":"21","issued":{"date-parts":[["2013"]]},"page":"2-14","title":"RAMESES publication standards: realist syntheses","type":"article-journal","volume":"11"},"uris":["http://www.mendeley.com/documents/?uuid=1e4d1d8d-801f-4bd0-97ad-988c3265fd4f"]}],"mendeley":{"formattedCitation":"&lt;sup&gt;134&lt;/sup&gt;","plainTextFormattedCitation":"134","previouslyFormattedCitation":"&lt;sup&gt;134&lt;/sup&gt;"},"properties":{"noteIndex":0},"schema":"https://github.com/citation-style-language/schema/raw/master/csl-citation.json"}</w:instrText>
      </w:r>
      <w:r>
        <w:fldChar w:fldCharType="separate"/>
      </w:r>
      <w:r w:rsidR="00E25884" w:rsidRPr="00E25884">
        <w:rPr>
          <w:noProof/>
          <w:vertAlign w:val="superscript"/>
        </w:rPr>
        <w:t>134</w:t>
      </w:r>
      <w:r>
        <w:fldChar w:fldCharType="end"/>
      </w:r>
      <w:r w:rsidRPr="00C64528">
        <w:t>, identified passages in the documents were highlighted for relevance, before being extracted into separate documents according to realist logic and how they aided in understanding the intervention. This was performed using custom data extraction forms available on request</w:t>
      </w:r>
      <w:r>
        <w:t>.</w:t>
      </w:r>
    </w:p>
    <w:p w14:paraId="56C2ADCD" w14:textId="77777777" w:rsidR="007873A7" w:rsidRDefault="007873A7" w:rsidP="00525BE0">
      <w:pPr>
        <w:spacing w:line="360" w:lineRule="auto"/>
        <w:jc w:val="both"/>
      </w:pPr>
      <w:r>
        <w:t>For the refinement stage, another custom data extraction form was created which recorded the study, collaboration type, primary driver (as best deduced from the study), CMOCs which fit into prior theory, and novel CMOCs (which could be novel in context, mechanism, or outcome), which did not fit wholesale into the prior theory. This type of custom form is typical in a realist synthesis and is available in Report Supplementary File 1. Additionally, we attempted to extract whether studies were reporting on externally mandated forms of partnering or voluntary forms, but it was not always possible to determine this information, unfortunately, due to inconsistent reporting of this by authors.</w:t>
      </w:r>
    </w:p>
    <w:p w14:paraId="0592659F" w14:textId="77777777" w:rsidR="007873A7" w:rsidRDefault="007873A7" w:rsidP="00525BE0">
      <w:pPr>
        <w:pStyle w:val="Heading3"/>
        <w:jc w:val="both"/>
      </w:pPr>
      <w:bookmarkStart w:id="79" w:name="_Toc85066432"/>
      <w:r>
        <w:t>Realist synthesis methods</w:t>
      </w:r>
      <w:bookmarkEnd w:id="79"/>
    </w:p>
    <w:p w14:paraId="5C513790" w14:textId="77777777" w:rsidR="007873A7" w:rsidRPr="005D205A" w:rsidRDefault="007873A7" w:rsidP="00525BE0">
      <w:pPr>
        <w:pStyle w:val="Heading4"/>
        <w:spacing w:line="360" w:lineRule="auto"/>
        <w:jc w:val="both"/>
      </w:pPr>
      <w:r>
        <w:t>Theory gleaning</w:t>
      </w:r>
    </w:p>
    <w:p w14:paraId="32CD6EFF" w14:textId="44A8CADD" w:rsidR="007873A7" w:rsidRDefault="007873A7" w:rsidP="00525BE0">
      <w:pPr>
        <w:spacing w:line="360" w:lineRule="auto"/>
        <w:jc w:val="both"/>
      </w:pPr>
      <w:r>
        <w:t>The highlighted passages from the included documents were coded according to whether they shed light on entry points into collaboration, contextual factors, mechanisms or other elements relating to collaborations that helped elucidate the underlying ideas and assumptions regarding how collaboration was intended to work and the sorts of contextual features that might shape the different mechanisms underpinning these. Most success factors and barriers were typically identified to be the inverse of one another, so these were amalgamated into becoming contextual factors at a later stage of the synthesis. As more papers were extracted, categories which were found to be thematically similar were merged to result in the final categories seen in this review. Contextual factors, mechanisms, outcomes, and entry points into collaboration were coded separately but contextual factors had their posited underlying mechanisms recorded alongside them, as well as any potential outcomes. The sources which supported the existence of these contextual factors were also recorded. Synthesis results were regularly discussed by JA and R Millar to maintain validity and consistency.</w:t>
      </w:r>
    </w:p>
    <w:p w14:paraId="0E2804C1" w14:textId="77777777" w:rsidR="007873A7" w:rsidRDefault="007873A7" w:rsidP="00525BE0">
      <w:pPr>
        <w:spacing w:line="360" w:lineRule="auto"/>
        <w:jc w:val="both"/>
      </w:pPr>
      <w:r>
        <w:t>In some cases, mechanisms were explicit in papers identified in the systematic review, and in other cases, evidence was missing. As such, in cases where analysis was completed and mechanisms were missing, a purposive search was used to locate Middle Range Theories (MRTs) that could elucidate mechanisms which were triggered by these contextual features inherent to collaborations. Contextual factors were then clustered according to their underlying mechanisms and the case study and review literature, and MRT evidence synthesised. The theoretical clarity of mechanisms and the evidence underpinning them were discussed by two authors: JA and R Millar, and CMOCs were then formed. Included documents then underwent a second pass using specific search terms related to mechanisms and identified contextual factors to ensure all sources of relevant information were included.</w:t>
      </w:r>
    </w:p>
    <w:p w14:paraId="304B2AF8" w14:textId="77777777" w:rsidR="007873A7" w:rsidRDefault="007873A7" w:rsidP="00525BE0">
      <w:pPr>
        <w:pStyle w:val="Heading4"/>
        <w:spacing w:line="360" w:lineRule="auto"/>
        <w:jc w:val="both"/>
      </w:pPr>
      <w:r>
        <w:t>Theory refinement</w:t>
      </w:r>
    </w:p>
    <w:p w14:paraId="4EBC312D" w14:textId="1A7B618B" w:rsidR="007873A7" w:rsidRDefault="007873A7" w:rsidP="00525BE0">
      <w:pPr>
        <w:spacing w:line="360" w:lineRule="auto"/>
        <w:jc w:val="both"/>
      </w:pPr>
      <w:r>
        <w:t xml:space="preserve">Using the existing realist programme theories from step two of this realist synthesis process as a base, we aimed to test our existing CMOCs against case studies and improve our understanding of how CMOCs are situated temporally and causally to improve our theory of collaboration in healthcare. This comprised phase 3 of our overall analysis (figure </w:t>
      </w:r>
      <w:r w:rsidR="00497CA6">
        <w:t>9</w:t>
      </w:r>
      <w:r>
        <w:t>). The literature was identified through systematic searches of databases and searches of organisational websites. The literature was then categorised by collaboration type, as well as whether they were mandated or voluntary arrangements (as could best be identified), and these were then rigorously searched to identify CMOCs. Testing of existing CMOCs then occurred against the newly identified literature from this stage’s searches. This comprised identifying whether CMOCs were identical to the existing CMOCs from the theory gleaning phase, or could be considered novel in terms of context, mechanism, or outcome content, or novel in terms of the relationship of one CMOC to another. Although we did not intend for the focus here to be on theory gleaning, novel CMOCs were still included when identified with sufficient evidence to support them. Both CMOCs from the existing theory that had support, as well as novel CMOCs not present in the existing theory, were recorded. Any conflicting information about the configuration of existing CMOCs was also recorded.</w:t>
      </w:r>
    </w:p>
    <w:p w14:paraId="24B77752" w14:textId="6106E85C" w:rsidR="007873A7" w:rsidRDefault="007873A7" w:rsidP="00525BE0">
      <w:pPr>
        <w:spacing w:line="360" w:lineRule="auto"/>
        <w:jc w:val="both"/>
      </w:pPr>
      <w:r>
        <w:t xml:space="preserve">This process resulted in significantly more overall CMOCs than were present in our prior realist phase and this allowed us to gain a greater understanding of how the outcomes of certain CMOCs can become a context for another further down the chain. To identify these relationships, these CMOCs were deductively coded in NVivo 12 into categories according to their mechanism to better investigate the literature for presence of demi-regularities, which, in realist terms, are patterns of how outcomes generally come to occur </w:t>
      </w:r>
      <w:r>
        <w:fldChar w:fldCharType="begin" w:fldLock="1"/>
      </w:r>
      <w:r w:rsidR="006A5B59">
        <w:instrText>ADDIN CSL_CITATION {"citationItems":[{"id":"ITEM-1","itemData":{"author":[{"dropping-particle":"","family":"Pawson","given":"Ray","non-dropping-particle":"","parse-names":false,"suffix":""},{"dropping-particle":"","family":"Greenhalgh","given":"Trisha","non-dropping-particle":"","parse-names":false,"suffix":""},{"dropping-particle":"","family":"Harvey","given":"Gill","non-dropping-particle":"","parse-names":false,"suffix":""},{"dropping-particle":"","family":"Walshe","given":"Kieran","non-dropping-particle":"","parse-names":false,"suffix":""}],"container-title":"Manchester: ESRC Research Methods Programme, University of Manchester","id":"ITEM-1","issued":{"date-parts":[["2004"]]},"title":"Realist synthesis: an introduction","type":"article-journal"},"uris":["http://www.mendeley.com/documents/?uuid=23cfde9c-1e3e-400b-aafc-c98882dd2145"]}],"mendeley":{"formattedCitation":"&lt;sup&gt;137&lt;/sup&gt;","plainTextFormattedCitation":"137","previouslyFormattedCitation":"&lt;sup&gt;137&lt;/sup&gt;"},"properties":{"noteIndex":0},"schema":"https://github.com/citation-style-language/schema/raw/master/csl-citation.json"}</w:instrText>
      </w:r>
      <w:r>
        <w:fldChar w:fldCharType="separate"/>
      </w:r>
      <w:r w:rsidR="006A5B59" w:rsidRPr="006A5B59">
        <w:rPr>
          <w:noProof/>
          <w:vertAlign w:val="superscript"/>
        </w:rPr>
        <w:t>137</w:t>
      </w:r>
      <w:r>
        <w:fldChar w:fldCharType="end"/>
      </w:r>
      <w:r>
        <w:t xml:space="preserve">. These data were then used to refine the MRT and programme theories to provide a better understanding of the links between these elements. This chapter was written according to the </w:t>
      </w:r>
      <w:r w:rsidRPr="00350586">
        <w:t>Realist And Meta-narrative Evidence Syntheses: Evolving Standards</w:t>
      </w:r>
      <w:r>
        <w:t xml:space="preserve"> (RAMESES) II reporting standards </w:t>
      </w:r>
      <w:r>
        <w:fldChar w:fldCharType="begin" w:fldLock="1"/>
      </w:r>
      <w:r w:rsidR="00EA4B53">
        <w:instrText>ADDIN CSL_CITATION {"citationItems":[{"id":"ITEM-1","itemData":{"DOI":"10.1186/1741-7015-11-21","ISSN":"03092402","abstract":"Background: Meta-narrative review is one of an emerging menu of new approaches to qualitative and mixed-method systematic review. A meta-narrative review seeks to illuminate a heterogeneous topic area by highlighting the contrasting and complementary ways researchers have studied the same or a similar topic. No previous publication standards exist for the reporting of meta-narrative reviews. This publication standard was developed as part of the RAMESES (Realist And MEta-narrative Evidence Syntheses: Evolving Standards) project. The project's aim is to produce preliminary publication standards for meta-narrative reviews. Design: A mixed method study synthesising data between 2011 to 2012 from a literature review, online Delphi panel and feedback from training, workshops and email list. Methods: We: (a) collated and summarized existing literature on the principles of good practice in meta-narrative reviews; (b) considered the extent to which these principles had been followed by published reviews, thereby identifying how rigor may be lost and how existing methods could be improved; (c) used a three-round online Delphi method with an interdisciplinary panel of national and international experts in evidence synthesis, meta-narrative reviews, policy, and/or publishing to produce and iteratively refine a draft set of methodological steps, and publication standards; (d) provided real-time support to ongoing meta-narrative reviews and the open-access RAMESES online discussion list so as to capture problems and questions as they arose; and (e) synthesized expert input, evidence review, and real-time problem analysis into a definitive set of standards. Results: We identified nine published meta-narrative reviews, provided real-time support to four ongoing reviews, and captured questions raised in the RAMESES discussion list. Through analysis and discussion within the project team, we summarized the published literature, and common questions and challenges into briefing materials for the Delphi panel, comprising 33 members. Within three rounds this panel had reached consensus on 20 key publication standards, with an overall response rate of 90%. Conclusions: This project used multiple sources to draw together evidence and expertise in meta-narrative reviews. For each item we have included an explanation for why it is important and guidance on how it might be reported. Meta-narrative review is a relatively new method for evidence synthesis and as experience and me…","author":[{"dropping-particle":"","family":"Wong","given":"Geoff","non-dropping-particle":"","parse-names":false,"suffix":""},{"dropping-particle":"","family":"Greenhalgh","given":"Trish","non-dropping-particle":"","parse-names":false,"suffix":""},{"dropping-particle":"","family":"Westhorp","given":"Gill","non-dropping-particle":"","parse-names":false,"suffix":""},{"dropping-particle":"","family":"Buckingham","given":"Jeanette","non-dropping-particle":"","parse-names":false,"suffix":""},{"dropping-particle":"","family":"Pawson","given":"Ray","non-dropping-particle":"","parse-names":false,"suffix":""}],"container-title":"BMC Medicine","id":"ITEM-1","issue":"21","issued":{"date-parts":[["2013"]]},"page":"2-14","title":"RAMESES publication standards: realist syntheses","type":"article-journal","volume":"11"},"uris":["http://www.mendeley.com/documents/?uuid=ddd50a1a-21ee-49ac-8907-4de87d42d516","http://www.mendeley.com/documents/?uuid=1e4d1d8d-801f-4bd0-97ad-988c3265fd4f"]}],"mendeley":{"formattedCitation":"&lt;sup&gt;134&lt;/sup&gt;","plainTextFormattedCitation":"134","previouslyFormattedCitation":"&lt;sup&gt;134&lt;/sup&gt;"},"properties":{"noteIndex":0},"schema":"https://github.com/citation-style-language/schema/raw/master/csl-citation.json"}</w:instrText>
      </w:r>
      <w:r>
        <w:fldChar w:fldCharType="separate"/>
      </w:r>
      <w:r w:rsidR="00E25884" w:rsidRPr="00E25884">
        <w:rPr>
          <w:noProof/>
          <w:vertAlign w:val="superscript"/>
        </w:rPr>
        <w:t>134</w:t>
      </w:r>
      <w:r>
        <w:fldChar w:fldCharType="end"/>
      </w:r>
      <w:r>
        <w:t>.</w:t>
      </w:r>
      <w:r w:rsidR="001C7822" w:rsidRPr="001C7822">
        <w:t xml:space="preserve"> All data requests can be submitted to the corresponding author for consideration.  </w:t>
      </w:r>
    </w:p>
    <w:p w14:paraId="2D6954D0" w14:textId="77777777" w:rsidR="007873A7" w:rsidRDefault="007873A7" w:rsidP="00525BE0">
      <w:pPr>
        <w:spacing w:line="360" w:lineRule="auto"/>
        <w:jc w:val="both"/>
      </w:pPr>
      <w:r w:rsidRPr="00C86744">
        <w:rPr>
          <w:noProof/>
          <w:lang w:eastAsia="en-GB"/>
        </w:rPr>
        <w:drawing>
          <wp:inline distT="0" distB="0" distL="0" distR="0" wp14:anchorId="5C7C6EAB" wp14:editId="2CAE8491">
            <wp:extent cx="5731510" cy="2587625"/>
            <wp:effectExtent l="19050" t="0" r="21590" b="22225"/>
            <wp:docPr id="8" name="Diagram 8">
              <a:extLst xmlns:a="http://schemas.openxmlformats.org/drawingml/2006/main">
                <a:ext uri="{FF2B5EF4-FFF2-40B4-BE49-F238E27FC236}">
                  <a16:creationId xmlns:a16="http://schemas.microsoft.com/office/drawing/2014/main" id="{A2633F2C-25D4-432F-AED8-C63A9D9523DA}"/>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3CE7891A" w14:textId="1B6C8848" w:rsidR="007873A7" w:rsidRDefault="007873A7" w:rsidP="00525BE0">
      <w:pPr>
        <w:pStyle w:val="Caption"/>
        <w:spacing w:line="360" w:lineRule="auto"/>
        <w:jc w:val="both"/>
      </w:pPr>
      <w:bookmarkStart w:id="80" w:name="_Toc106181615"/>
      <w:r>
        <w:t xml:space="preserve">Figure </w:t>
      </w:r>
      <w:fldSimple w:instr=" SEQ Figure \* ARABIC ">
        <w:r>
          <w:rPr>
            <w:noProof/>
          </w:rPr>
          <w:t>10</w:t>
        </w:r>
      </w:fldSimple>
      <w:r>
        <w:t xml:space="preserve">. Evolution of literature synthesis by phase of review </w:t>
      </w:r>
      <w:r>
        <w:rPr>
          <w:i w:val="0"/>
          <w:iCs w:val="0"/>
        </w:rPr>
        <w:fldChar w:fldCharType="begin" w:fldLock="1"/>
      </w:r>
      <w:r w:rsidR="006A5B59">
        <w:instrText>ADDIN CSL_CITATION {"citationItems":[{"id":"ITEM-1","itemData":{"DOI":"10.1108/JICA-05-2020-0026","ISSN":"1476-9018","abstract":"Purpose The National Health Service (NHS) is facing unprecedented financial strain. These significant economic pressures have coincided with concerns regarding the quality and safety of the NHS provider sector. To make the necessary improvements to performance, policy interest has turned to encouraging greater collaboration and partnership working across providers. Design/methodology/approach Using a purposive search of academic and grey literature, this narrative review aimed (1) to establish a working typology of partnering arrangements for improvement across NHS providers and (2) inform the development of a plausible initial rough theory (IRF) of partnering to inform an ongoing realist synthesis. Findings Different types of partnership were characterised by degree of integration and/or organisational change. A review of existing theories of partnering also identified a suitable framework which incorporated key elements to partnerships, such as governance, workforce, leadership and culture. This informed the creation of an IRF of partnerships, which proposes that partnership “interventions” are proposed to primarily cause changes in governance, leadership, IT systems and care model design, which will then go on to affect culture, user engagement and workforce. Research limitations/implications Further realist evaluation, informed by this review, will aim to uncover configurations of mechanisms, contexts and outcomes in various partnering arrangements and limitations. As this is the starting point for building a programme theory, it draws on limited evidence. Originality/value This paper presents a novel theory of partnering and collaborating in healthcare with practical implications for policy makers and practitioners.","author":[{"dropping-particle":"","family":"Aunger","given":"Justin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Marie","non-dropping-particle":"","parse-names":false,"suffix":""},{"dropping-particle":"","family":"McLeod","given":"Hugh","non-dropping-particle":"","parse-names":false,"suffix":""}],"container-title":"Journal of Integrated Care","id":"ITEM-1","issued":{"date-parts":[["2020","9","22"]]},"title":"Building an initial realist theory of partnering across National Health Service providers","type":"article-journal"},"uris":["http://www.mendeley.com/documents/?uuid=ccca7775-b7c4-4cfb-8635-a42715eb28f4"]},{"id":"ITEM-2","itemData":{"DOI":"10.1186/s13643-021-01630-8","author":[{"dropping-particle":"","family":"Aunger","given":"Justin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Reviews","id":"ITEM-2","issue":"82","issued":{"date-parts":[["2021"]]},"title":"Why do some inter-organisational collaborations in healthcare work when others do not? A realist review","type":"article-journal","volume":"10"},"uris":["http://www.mendeley.com/documents/?uuid=4c2502ce-f262-41ce-80f9-fb7d74555f78"]}],"mendeley":{"formattedCitation":"&lt;sup&gt;61,138&lt;/sup&gt;","plainTextFormattedCitation":"61,138","previouslyFormattedCitation":"&lt;sup&gt;61,138&lt;/sup&gt;"},"properties":{"noteIndex":0},"schema":"https://github.com/citation-style-language/schema/raw/master/csl-citation.json"}</w:instrText>
      </w:r>
      <w:r>
        <w:rPr>
          <w:i w:val="0"/>
          <w:iCs w:val="0"/>
        </w:rPr>
        <w:fldChar w:fldCharType="separate"/>
      </w:r>
      <w:r w:rsidR="006A5B59" w:rsidRPr="006A5B59">
        <w:rPr>
          <w:i w:val="0"/>
          <w:noProof/>
          <w:vertAlign w:val="superscript"/>
        </w:rPr>
        <w:t>61,138</w:t>
      </w:r>
      <w:r>
        <w:rPr>
          <w:i w:val="0"/>
          <w:iCs w:val="0"/>
        </w:rPr>
        <w:fldChar w:fldCharType="end"/>
      </w:r>
      <w:r>
        <w:t>.</w:t>
      </w:r>
      <w:bookmarkEnd w:id="80"/>
      <w:r w:rsidR="006A5B59">
        <w:t xml:space="preserve"> Adapted from Aunger et al.</w:t>
      </w:r>
      <w:r w:rsidR="006A5B59">
        <w:fldChar w:fldCharType="begin" w:fldLock="1"/>
      </w:r>
      <w:r w:rsidR="006A5B59">
        <w:instrText>ADDIN CSL_CITATION {"citationItems":[{"id":"ITEM-1","itemData":{"DOI":"10.1186/s12913-021-06630-x","author":[{"dropping-particle":"","family":"Aunger","given":"Justin Avery","non-dropping-particle":"","parse-names":false,"suffix":""},{"dropping-particle":"","family":"Millar","given":"Ross","non-dropping-particle":"","parse-names":false,"suffix":""},{"dropping-particle":"","family":"Greenhalgh","given":"Joanne","non-dropping-particle":"","parse-names":false,"suffix":""}],"container-title":"BMC Health Services Research","id":"ITEM-1","issue":"602","issued":{"date-parts":[["2021"]]},"title":"When trust, confidence, and faith collide: refining a realist theory of how and why inter-organisational collaborations in healthcare work","type":"article-journal","volume":"21"},"uris":["http://www.mendeley.com/documents/?uuid=09b12ed0-f45f-442a-9890-205c3566f0e8"]}],"mendeley":{"formattedCitation":"&lt;sup&gt;135&lt;/sup&gt;","plainTextFormattedCitation":"135"},"properties":{"noteIndex":0},"schema":"https://github.com/citation-style-language/schema/raw/master/csl-citation.json"}</w:instrText>
      </w:r>
      <w:r w:rsidR="006A5B59">
        <w:fldChar w:fldCharType="separate"/>
      </w:r>
      <w:r w:rsidR="006A5B59" w:rsidRPr="006A5B59">
        <w:rPr>
          <w:i w:val="0"/>
          <w:noProof/>
          <w:vertAlign w:val="superscript"/>
        </w:rPr>
        <w:t>135</w:t>
      </w:r>
      <w:r w:rsidR="006A5B59">
        <w:fldChar w:fldCharType="end"/>
      </w:r>
    </w:p>
    <w:p w14:paraId="1983869C" w14:textId="19402E6B" w:rsidR="007873A7" w:rsidRDefault="004A54C8" w:rsidP="00525BE0">
      <w:pPr>
        <w:pStyle w:val="Heading2"/>
        <w:jc w:val="both"/>
      </w:pPr>
      <w:bookmarkStart w:id="81" w:name="_Toc85066433"/>
      <w:r>
        <w:t xml:space="preserve">Methods: </w:t>
      </w:r>
      <w:r w:rsidR="007873A7">
        <w:t>Realist Evaluation</w:t>
      </w:r>
      <w:bookmarkEnd w:id="81"/>
    </w:p>
    <w:p w14:paraId="65CFD22E" w14:textId="77777777" w:rsidR="007873A7" w:rsidRPr="0019714B" w:rsidRDefault="007873A7" w:rsidP="00525BE0">
      <w:pPr>
        <w:pStyle w:val="Heading3"/>
        <w:jc w:val="both"/>
      </w:pPr>
      <w:bookmarkStart w:id="82" w:name="_Toc85066434"/>
      <w:r>
        <w:t>Objectives</w:t>
      </w:r>
      <w:bookmarkEnd w:id="82"/>
    </w:p>
    <w:p w14:paraId="70BF21CC" w14:textId="77777777" w:rsidR="007873A7" w:rsidRDefault="007873A7" w:rsidP="00525BE0">
      <w:pPr>
        <w:spacing w:line="360" w:lineRule="auto"/>
        <w:jc w:val="both"/>
      </w:pPr>
      <w:r>
        <w:t>We conducted a realist evaluation to further test our refined programme theory by exploring the experiences of a range of stakeholders</w:t>
      </w:r>
      <w:r w:rsidRPr="00127033">
        <w:t xml:space="preserve"> across several examples of IOCs in England</w:t>
      </w:r>
      <w:r>
        <w:t>. Our primary objective was to test the mechanisms of collaborative functioning and CMOC derived from literature against the stakeholders’ views to explore whether previously identified mechanisms, CMOCs, and causal links between them were affirmed, refuted, or revised and refine our understanding of how IOCs work, in which circumstances and why. Additionally, we sought to elucidate the part of the causal chain that links collaborative behaviour to collaborative performance, to identify how and why performance benefits may arise from the process of collaborating. We intended to produce a refined realist programme theory rooted in both literature and practice with a view towards practical use in the future.</w:t>
      </w:r>
    </w:p>
    <w:p w14:paraId="6F808F4F" w14:textId="2DB2E39B" w:rsidR="007873A7" w:rsidRDefault="007873A7" w:rsidP="00525BE0">
      <w:pPr>
        <w:spacing w:line="360" w:lineRule="auto"/>
        <w:jc w:val="both"/>
      </w:pPr>
      <w:r>
        <w:t xml:space="preserve">In the realist evaluation, for collaborative functioning, our prior programme theory </w:t>
      </w:r>
      <w:r>
        <w:fldChar w:fldCharType="begin" w:fldLock="1"/>
      </w:r>
      <w:r w:rsidR="006A5B59">
        <w:instrText>ADDIN CSL_CITATION {"citationItems":[{"id":"ITEM-1","itemData":{"DOI":"10.1186/s12913-021-06630-x","author":[{"dropping-particle":"","family":"Aunger","given":"Justin Avery","non-dropping-particle":"","parse-names":false,"suffix":""},{"dropping-particle":"","family":"Millar","given":"Ross","non-dropping-particle":"","parse-names":false,"suffix":""},{"dropping-particle":"","family":"Greenhalgh","given":"Joanne","non-dropping-particle":"","parse-names":false,"suffix":""}],"container-title":"BMC Health Services Research","id":"ITEM-1","issue":"602","issued":{"date-parts":[["2021"]]},"title":"When trust, confidence, and faith collide: refining a realist theory of how and why inter-organisational collaborations in healthcare work","type":"article-journal","volume":"21"},"uris":["http://www.mendeley.com/documents/?uuid=09b12ed0-f45f-442a-9890-205c3566f0e8"]}],"mendeley":{"formattedCitation":"&lt;sup&gt;135&lt;/sup&gt;","plainTextFormattedCitation":"135","previouslyFormattedCitation":"&lt;sup&gt;135&lt;/sup&gt;"},"properties":{"noteIndex":0},"schema":"https://github.com/citation-style-language/schema/raw/master/csl-citation.json"}</w:instrText>
      </w:r>
      <w:r>
        <w:fldChar w:fldCharType="separate"/>
      </w:r>
      <w:r w:rsidR="006A5B59" w:rsidRPr="006A5B59">
        <w:rPr>
          <w:noProof/>
          <w:vertAlign w:val="superscript"/>
        </w:rPr>
        <w:t>135</w:t>
      </w:r>
      <w:r>
        <w:fldChar w:fldCharType="end"/>
      </w:r>
      <w:r>
        <w:t xml:space="preserve"> was adopted as a middle-range theory against which interview data were ‘tested’, based on the realist synthesis. This means that we explored whether and how interview findings affirmed prior CMOCs, proposed refinements to existing ones, or to what degree identified CMOCs were novel. This theory which we adopted as the middle-range theory will be outlined in the following realist synthesis chapter.</w:t>
      </w:r>
    </w:p>
    <w:p w14:paraId="3206C1CF" w14:textId="2CAC1428" w:rsidR="007873A7" w:rsidRDefault="007873A7" w:rsidP="00525BE0">
      <w:pPr>
        <w:spacing w:line="360" w:lineRule="auto"/>
        <w:jc w:val="both"/>
      </w:pPr>
      <w:r>
        <w:t>For understanding collaborative performance, Dickinson &amp; Sullivan’s (2014) framewo</w:t>
      </w:r>
      <w:r w:rsidR="00642806">
        <w:t>rk (adapted from McKenzie 2002</w:t>
      </w:r>
      <w:r>
        <w:t>) was adopted as a middle-range theory to inform our analysis. This framework was selected as a middle-range theory for three main reasons: first, it focuses on performance rather than the functioning aspect of the causal chain. Second, it provides three criteria against which realist mechanisms can be categorised. Finally, it captures cultural efficacy, which neatly complements the concept of programme mechanisms as changes in participant reasoning within realist theory. Thereby, we assume that frameworks relying purely on the ‘techno-bureaucratic’ aspects of performance would likely neglect key social components of the causal chain. Enabling a greater understanding of collaborative performance forms an essential part of the overall programme theory.</w:t>
      </w:r>
    </w:p>
    <w:p w14:paraId="484602A2" w14:textId="7ECC3AB5" w:rsidR="007873A7" w:rsidRDefault="007873A7" w:rsidP="00525BE0">
      <w:pPr>
        <w:spacing w:line="360" w:lineRule="auto"/>
        <w:jc w:val="both"/>
      </w:pPr>
      <w:r>
        <w:t>As such, the final aim of our realist evaluation was to produce a refined middle-range theory seeking to answer, “</w:t>
      </w:r>
      <w:r w:rsidRPr="008D2F7A">
        <w:rPr>
          <w:i/>
          <w:iCs/>
        </w:rPr>
        <w:t>what works in IOCs, for whom, under what circumstances, why, and how</w:t>
      </w:r>
      <w:r>
        <w:t xml:space="preserve">?” as well as </w:t>
      </w:r>
      <w:r>
        <w:rPr>
          <w:i/>
          <w:iCs/>
        </w:rPr>
        <w:t>‘</w:t>
      </w:r>
      <w:r w:rsidRPr="00A66E24">
        <w:rPr>
          <w:i/>
          <w:iCs/>
        </w:rPr>
        <w:t xml:space="preserve">how do performance improvements in IOCs in healthcare arise, </w:t>
      </w:r>
      <w:r>
        <w:rPr>
          <w:i/>
          <w:iCs/>
        </w:rPr>
        <w:t>why</w:t>
      </w:r>
      <w:r w:rsidRPr="00A66E24">
        <w:rPr>
          <w:i/>
          <w:iCs/>
        </w:rPr>
        <w:t>, and what underpins them?</w:t>
      </w:r>
      <w:r>
        <w:rPr>
          <w:i/>
          <w:iCs/>
        </w:rPr>
        <w:t>’</w:t>
      </w:r>
      <w:r>
        <w:t xml:space="preserve">. This chapter was written according to the RAMESES II reporting standards for realist evaluations </w:t>
      </w:r>
      <w:r>
        <w:fldChar w:fldCharType="begin" w:fldLock="1"/>
      </w:r>
      <w:r w:rsidR="00EA4B53">
        <w:instrText>ADDIN CSL_CITATION {"citationItems":[{"id":"ITEM-1","itemData":{"DOI":"10.1186/s12916-016-0643-1","ISSN":"17417015","PMID":"27342217","abstract":"Background: Realist evaluation is increasingly used in health services and other fields of research and evaluation. No previous standards exist for reporting realist evaluations. This standard was developed as part of the RAMESES II project. The project's aim is to produce initial reporting standards for realist evaluations. Methods: We purposively recruited a maximum variety sample of an international group of experts in realist evaluation to our online Delphi panel. Panel members came from a variety of disciplines, sectors and policy fields. We prepared the briefing materials for our Delphi panel by summarising the most recent literature on realist evaluations to identify how and why rigour had been demonstrated and where gaps in expertise and rigour were evident. We also drew on our collective experience as realist evaluators, in training and supporting realist evaluations, and on the RAMESES email list to help us develop the briefing materials. Through discussion within the project team, we developed a list of issues related to quality that needed to be addressed when carrying out realist evaluations. These were then shared with the panel members and their feedback was sought. Once the panel members had provided their feedback on our briefing materials, we constructed a set of items for potential inclusion in the reporting standards and circulated these online to panel members. Panel members were asked to rank each potential item twice on a 7-point Likert scale, once for relevance and once for validity. They were also encouraged to provide free text comments. Results: We recruited 35 panel members from 27 organisations across six countries from nine different disciplines. Within three rounds our Delphi panel was able to reach consensus on 20 items that should be included in the reporting standards for realist evaluations. The overall response rates for all items for rounds 1, 2 and 3 were 94%, 76% and 80%, respectively. Conclusion: These reporting standards for realist evaluations have been developed by drawing on a range of sources. We hope that these standards will lead to greater consistency and rigour of reporting and make realist evaluation reports more accessible, usable and helpful to different stakeholders.","author":[{"dropping-particle":"","family":"Wong","given":"Geoff","non-dropping-particle":"","parse-names":false,"suffix":""},{"dropping-particle":"","family":"Westhorp","given":"Gill","non-dropping-particle":"","parse-names":false,"suffix":""},{"dropping-particle":"","family":"Manzano","given":"Ana","non-dropping-particle":"","parse-names":false,"suffix":""},{"dropping-particle":"","family":"Greenhalgh","given":"Joanne","non-dropping-particle":"","parse-names":false,"suffix":""},{"dropping-particle":"","family":"Jagosh","given":"Justin","non-dropping-particle":"","parse-names":false,"suffix":""},{"dropping-particle":"","family":"Greenhalgh","given":"Trish","non-dropping-particle":"","parse-names":false,"suffix":""}],"container-title":"BMC Medicine","id":"ITEM-1","issue":"1","issued":{"date-parts":[["2016"]]},"page":"1-18","title":"RAMESES II reporting standards for realist evaluations","type":"article-journal","volume":"14"},"uris":["http://www.mendeley.com/documents/?uuid=3063e3fe-0bc9-4b72-ba09-1c5bac5660e9"]}],"mendeley":{"formattedCitation":"&lt;sup&gt;139&lt;/sup&gt;","plainTextFormattedCitation":"139","previouslyFormattedCitation":"&lt;sup&gt;139&lt;/sup&gt;"},"properties":{"noteIndex":0},"schema":"https://github.com/citation-style-language/schema/raw/master/csl-citation.json"}</w:instrText>
      </w:r>
      <w:r>
        <w:fldChar w:fldCharType="separate"/>
      </w:r>
      <w:r w:rsidR="00E25884" w:rsidRPr="00E25884">
        <w:rPr>
          <w:noProof/>
          <w:vertAlign w:val="superscript"/>
        </w:rPr>
        <w:t>139</w:t>
      </w:r>
      <w:r>
        <w:fldChar w:fldCharType="end"/>
      </w:r>
      <w:r>
        <w:t>.</w:t>
      </w:r>
    </w:p>
    <w:p w14:paraId="40DFD1ED" w14:textId="77777777" w:rsidR="007873A7" w:rsidRDefault="007873A7" w:rsidP="00525BE0">
      <w:pPr>
        <w:pStyle w:val="Heading3"/>
        <w:jc w:val="both"/>
      </w:pPr>
      <w:bookmarkStart w:id="83" w:name="_Toc85066435"/>
      <w:r>
        <w:t>Details on programmes evaluated</w:t>
      </w:r>
      <w:bookmarkEnd w:id="83"/>
    </w:p>
    <w:p w14:paraId="6585391A" w14:textId="0A92FD02" w:rsidR="007873A7" w:rsidRDefault="007873A7" w:rsidP="00525BE0">
      <w:pPr>
        <w:spacing w:line="360" w:lineRule="auto"/>
        <w:jc w:val="both"/>
      </w:pPr>
      <w:r>
        <w:t xml:space="preserve">The ‘programmes’ evaluated comprised a range of IOCs as outlined in our initial realist theory paper </w:t>
      </w:r>
      <w:r>
        <w:fldChar w:fldCharType="begin" w:fldLock="1"/>
      </w:r>
      <w:r w:rsidR="00EA4B53">
        <w:instrText>ADDIN CSL_CITATION {"citationItems":[{"id":"ITEM-1","itemData":{"DOI":"10.1108/JICA-05-2020-0026","ISSN":"1476-9018","abstract":"Purpose The National Health Service (NHS) is facing unprecedented financial strain. These significant economic pressures have coincided with concerns regarding the quality and safety of the NHS provider sector. To make the necessary improvements to performance, policy interest has turned to encouraging greater collaboration and partnership working across providers. Design/methodology/approach Using a purposive search of academic and grey literature, this narrative review aimed (1) to establish a working typology of partnering arrangements for improvement across NHS providers and (2) inform the development of a plausible initial rough theory (IRF) of partnering to inform an ongoing realist synthesis. Findings Different types of partnership were characterised by degree of integration and/or organisational change. A review of existing theories of partnering also identified a suitable framework which incorporated key elements to partnerships, such as governance, workforce, leadership and culture. This informed the creation of an IRF of partnerships, which proposes that partnership “interventions” are proposed to primarily cause changes in governance, leadership, IT systems and care model design, which will then go on to affect culture, user engagement and workforce. Research limitations/implications Further realist evaluation, informed by this review, will aim to uncover configurations of mechanisms, contexts and outcomes in various partnering arrangements and limitations. As this is the starting point for building a programme theory, it draws on limited evidence. Originality/value This paper presents a novel theory of partnering and collaborating in healthcare with practical implications for policy makers and practitioners.","author":[{"dropping-particle":"","family":"Aunger","given":"Justin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Marie","non-dropping-particle":"","parse-names":false,"suffix":""},{"dropping-particle":"","family":"McLeod","given":"Hugh","non-dropping-particle":"","parse-names":false,"suffix":""}],"container-title":"Journal of Integrated Care","id":"ITEM-1","issued":{"date-parts":[["2020","9","22"]]},"title":"Building an initial realist theory of partnering across National Health Service providers","type":"article-journal"},"uris":["http://www.mendeley.com/documents/?uuid=ccca7775-b7c4-4cfb-8635-a42715eb28f4"]}],"mendeley":{"formattedCitation":"&lt;sup&gt;61&lt;/sup&gt;","plainTextFormattedCitation":"61","previouslyFormattedCitation":"&lt;sup&gt;61&lt;/sup&gt;"},"properties":{"noteIndex":0},"schema":"https://github.com/citation-style-language/schema/raw/master/csl-citation.json"}</w:instrText>
      </w:r>
      <w:r>
        <w:fldChar w:fldCharType="separate"/>
      </w:r>
      <w:r w:rsidR="00E25884" w:rsidRPr="00E25884">
        <w:rPr>
          <w:noProof/>
          <w:vertAlign w:val="superscript"/>
        </w:rPr>
        <w:t>61</w:t>
      </w:r>
      <w:r>
        <w:fldChar w:fldCharType="end"/>
      </w:r>
      <w:r>
        <w:t xml:space="preserve">. These included arrangements of relatively low integration (i.e., buddying) through to highly integrative types such as mergers. Our interviewees had direct experience of four different types of IOC and comprised five examples of hospital groups, two alliances, three integrated care systems, and two mergers. These IOCs reflect a range of drivers and contextual differences. Although mergers result in formation of a singular organisation, we consider mergers to be collaborative entities during the merger process until the fully merged organisation begins operating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Please see table 1 for full details on the types of IOCs and regulatory organisations included in this evaluation.</w:t>
      </w:r>
    </w:p>
    <w:p w14:paraId="42EC89A4" w14:textId="77777777" w:rsidR="007873A7" w:rsidRDefault="007873A7" w:rsidP="00525BE0">
      <w:pPr>
        <w:pStyle w:val="Heading3"/>
        <w:jc w:val="both"/>
      </w:pPr>
      <w:bookmarkStart w:id="84" w:name="_Toc85066436"/>
      <w:r>
        <w:t>Data collection methods</w:t>
      </w:r>
      <w:bookmarkEnd w:id="84"/>
    </w:p>
    <w:p w14:paraId="07692156" w14:textId="44D85E1C" w:rsidR="007873A7" w:rsidRDefault="007873A7" w:rsidP="00525BE0">
      <w:pPr>
        <w:spacing w:line="360" w:lineRule="auto"/>
        <w:jc w:val="both"/>
      </w:pPr>
      <w:r>
        <w:t xml:space="preserve">The realist evaluation drew on interviews conducted with an “issue network” </w:t>
      </w:r>
      <w:r>
        <w:fldChar w:fldCharType="begin" w:fldLock="1"/>
      </w:r>
      <w:r w:rsidR="00EA4B53">
        <w:instrText>ADDIN CSL_CITATION {"citationItems":[{"id":"ITEM-1","itemData":{"DOI":"10.1186/s12913-015-0771-x","ISSN":"1472-6963","abstract":"BACKGROUND: Hospital boards, those executive members charged with developing appropriate organisational strategies and cultures, have an important role to play in safeguarding the care provided by their organisation. However, recent concerns have been raised over boards' ability to enact their duty to ensure the quality and safety of care. This paper offers critical reflection on the relationship between hospital board oversight and patient safety. In doing so it highlights new perspectives and suggestions for developing this area of study. METHODS: The article draws on 10 interviews with key informants and policy actors who form part of the 'issue network' interested in the promotion of patient safety in the English National Health Service. RESULTS: The interviews surfaced a series of narratives regarding hospital board oversight of patient safety. These elaborated on the role of trust and intelligence in highlighting the potential dangers and limitations of approaches to hospital board oversight which have been narrowly focused on a risk-based view of organisational performance. In response, a need to engage with the development of trust based organisational relationships is identified, in which effective board oversight is built on 'trust' characterised by styles of leadership and behaviours that are attentive to the needs and concerns of both staff and patients. Effective board oversight also requires the gathering and triangulating of 'intelligence' generated from both national and local information sources. CONCLUSIONS: We call for a re-imagination of hospital board oversight in the light of these different perspectives and articulate an emerging research agenda in this area.","author":[{"dropping-particle":"","family":"Millar","given":"Ross","non-dropping-particle":"","parse-names":false,"suffix":""},{"dropping-particle":"","family":"Freeman","given":"Tim","non-dropping-particle":"","parse-names":false,"suffix":""},{"dropping-particle":"","family":"Mannion","given":"Russell","non-dropping-particle":"","parse-names":false,"suffix":""}],"container-title":"BMC Health Services Research","id":"ITEM-1","issued":{"date-parts":[["2015"]]},"title":"Hospital board oversight of quality and safety: a stakeholder analysis exploring the role of trust and intelligence","type":"article-journal"},"uris":["http://www.mendeley.com/documents/?uuid=2dc3e369-1017-44a5-ad5a-3bf935c9b00d"]}],"mendeley":{"formattedCitation":"&lt;sup&gt;140&lt;/sup&gt;","plainTextFormattedCitation":"140","previouslyFormattedCitation":"&lt;sup&gt;140&lt;/sup&gt;"},"properties":{"noteIndex":0},"schema":"https://github.com/citation-style-language/schema/raw/master/csl-citation.json"}</w:instrText>
      </w:r>
      <w:r>
        <w:fldChar w:fldCharType="separate"/>
      </w:r>
      <w:r w:rsidR="00E25884" w:rsidRPr="00E25884">
        <w:rPr>
          <w:noProof/>
          <w:vertAlign w:val="superscript"/>
        </w:rPr>
        <w:t>140</w:t>
      </w:r>
      <w:r>
        <w:fldChar w:fldCharType="end"/>
      </w:r>
      <w:r>
        <w:t xml:space="preserve"> of stakeholders comprising the leaders or architects of collaborative programmes, regulators, policymakers, professional bodies, frontline staff, and patient representatives. We defined these stakeholders as “a </w:t>
      </w:r>
      <w:r w:rsidRPr="00A051C4">
        <w:t>broad collection of individuals possessing knowledge about the issue in question with some influence on policy outcomes</w:t>
      </w:r>
      <w:r>
        <w:t>”.</w:t>
      </w:r>
    </w:p>
    <w:p w14:paraId="6730A207" w14:textId="77777777" w:rsidR="007873A7" w:rsidRDefault="007873A7" w:rsidP="00525BE0">
      <w:pPr>
        <w:pStyle w:val="Heading3"/>
        <w:jc w:val="both"/>
      </w:pPr>
      <w:bookmarkStart w:id="85" w:name="_Toc85066437"/>
      <w:r>
        <w:t>Recruitment process and sampling strategy</w:t>
      </w:r>
      <w:bookmarkEnd w:id="85"/>
    </w:p>
    <w:p w14:paraId="4FC4D2D0" w14:textId="77777777" w:rsidR="007873A7" w:rsidRDefault="007873A7" w:rsidP="00525BE0">
      <w:pPr>
        <w:spacing w:line="360" w:lineRule="auto"/>
        <w:jc w:val="both"/>
      </w:pPr>
      <w:r>
        <w:t xml:space="preserve">Participants were identified through contacts via our study advisory group and from direct contact with potential individual and organisations identified through scoping work. </w:t>
      </w:r>
      <w:r w:rsidRPr="00317615">
        <w:t xml:space="preserve">Phase 1 interviews </w:t>
      </w:r>
      <w:r>
        <w:t>were conducted which had</w:t>
      </w:r>
      <w:r w:rsidRPr="00317615">
        <w:t xml:space="preserve"> a particular focus on ‘theory gleaning’ and </w:t>
      </w:r>
      <w:r>
        <w:t>explored</w:t>
      </w:r>
      <w:r w:rsidRPr="00317615">
        <w:t xml:space="preserve"> current programme theories being used to develop partnering approaches across NHS providers</w:t>
      </w:r>
      <w:r>
        <w:t xml:space="preserve">. </w:t>
      </w:r>
      <w:r w:rsidRPr="00317615">
        <w:t xml:space="preserve">Recruitment to Phase 1 </w:t>
      </w:r>
      <w:r>
        <w:t>used a</w:t>
      </w:r>
      <w:r w:rsidRPr="00317615">
        <w:t xml:space="preserve"> purposive sampling approach with further snowball sampling employed to identify relevant stakeholders within this ‘issue network’</w:t>
      </w:r>
      <w:r>
        <w:t>.</w:t>
      </w:r>
      <w:r w:rsidRPr="00317615">
        <w:t xml:space="preserve"> </w:t>
      </w:r>
      <w:r>
        <w:t>Phase 2 participants were also recruited, drawing on a</w:t>
      </w:r>
      <w:r w:rsidRPr="00317615">
        <w:t xml:space="preserve"> selection of k</w:t>
      </w:r>
      <w:r>
        <w:t>ey informants from NHS provider</w:t>
      </w:r>
      <w:r w:rsidRPr="00317615">
        <w:t xml:space="preserve"> organisations currently engaged in a range of partnering activities</w:t>
      </w:r>
      <w:r>
        <w:t xml:space="preserve">. Here, </w:t>
      </w:r>
      <w:r w:rsidRPr="00317615">
        <w:t>particular attention</w:t>
      </w:r>
      <w:r>
        <w:t xml:space="preserve"> was</w:t>
      </w:r>
      <w:r w:rsidRPr="00317615">
        <w:t xml:space="preserve"> paid to testing and refining programme theories identified in </w:t>
      </w:r>
      <w:r>
        <w:t>from the literature and the theory gleaning interviews</w:t>
      </w:r>
      <w:r w:rsidRPr="00317615">
        <w:t xml:space="preserve"> in order to produce </w:t>
      </w:r>
      <w:r>
        <w:t>refined theory.</w:t>
      </w:r>
    </w:p>
    <w:p w14:paraId="4CD86175" w14:textId="77777777" w:rsidR="007873A7" w:rsidRDefault="007873A7" w:rsidP="00525BE0">
      <w:pPr>
        <w:spacing w:line="360" w:lineRule="auto"/>
        <w:jc w:val="both"/>
      </w:pPr>
      <w:r>
        <w:t>Participants were chosen based on their likelihood of being able to provide rich information about various aspects of the programme theory from either being engaged in implementing such arrangements themselves or delivering the policy and regulatory agendas.</w:t>
      </w:r>
    </w:p>
    <w:p w14:paraId="241FB4ED" w14:textId="65172A51" w:rsidR="007873A7" w:rsidRPr="004B78BA" w:rsidRDefault="007873A7" w:rsidP="00525BE0">
      <w:pPr>
        <w:spacing w:line="360" w:lineRule="auto"/>
        <w:jc w:val="both"/>
      </w:pPr>
      <w:r>
        <w:t xml:space="preserve">Participants were approached to participate via email. Patient representatives were recruited from patient representative bodies and were intended to be greater experts on outcomes rather than ‘mechanisms’ </w:t>
      </w:r>
      <w:r>
        <w:fldChar w:fldCharType="begin" w:fldLock="1"/>
      </w:r>
      <w:r w:rsidR="00EA4B53">
        <w:instrText>ADDIN CSL_CITATION {"citationItems":[{"id":"ITEM-1","itemData":{"DOI":"10.1177/1356389016638615","ISSN":"14617153","abstract":"Pawson and Tilley suggest a unique strategy for conducting qualitative interviews within realist evaluation studies. Theories are placed before the interviewee for them to comment on with a view to providing refinement. The subject matter of the interview is the researcher’s theory and interviewees confirm, falsify, and refine this theory. This relationship – described as a teacher–learner cycle – is integral to realist evaluations. This article provides an overview of how interview techniques have been applied in realist evaluations in the last decade as well as suggesting two guiding principles. The first one relates to the design of realist studies and the second one explains how to ask questions like a realist, and proposes three different phases in realist interviews: theory gleaning, theory refining and theory consolidation. The article aims to contribute to a growing understanding of the practical and epistemological challenges presented by primary data collection in realist evaluation.","author":[{"dropping-particle":"","family":"Manzano","given":"Ana","non-dropping-particle":"","parse-names":false,"suffix":""}],"container-title":"Evaluation","id":"ITEM-1","issue":"3","issued":{"date-parts":[["2016"]]},"page":"342-360","title":"The craft of interviewing in realist evaluation","type":"article-journal","volume":"22"},"uris":["http://www.mendeley.com/documents/?uuid=1332cb42-a18a-4af7-ae56-e50671beec0d"]}],"mendeley":{"formattedCitation":"&lt;sup&gt;141&lt;/sup&gt;","plainTextFormattedCitation":"141","previouslyFormattedCitation":"&lt;sup&gt;141&lt;/sup&gt;"},"properties":{"noteIndex":0},"schema":"https://github.com/citation-style-language/schema/raw/master/csl-citation.json"}</w:instrText>
      </w:r>
      <w:r>
        <w:fldChar w:fldCharType="separate"/>
      </w:r>
      <w:r w:rsidR="00E25884" w:rsidRPr="00E25884">
        <w:rPr>
          <w:noProof/>
          <w:vertAlign w:val="superscript"/>
        </w:rPr>
        <w:t>141</w:t>
      </w:r>
      <w:r>
        <w:fldChar w:fldCharType="end"/>
      </w:r>
      <w:r>
        <w:t xml:space="preserve">. </w:t>
      </w:r>
    </w:p>
    <w:p w14:paraId="6F6C9F64" w14:textId="77777777" w:rsidR="007873A7" w:rsidRDefault="007873A7" w:rsidP="00525BE0">
      <w:pPr>
        <w:pStyle w:val="Heading4"/>
        <w:spacing w:line="360" w:lineRule="auto"/>
        <w:jc w:val="both"/>
      </w:pPr>
      <w:r>
        <w:t>Sample</w:t>
      </w:r>
    </w:p>
    <w:p w14:paraId="352BC17B" w14:textId="04766B10" w:rsidR="007873A7" w:rsidRDefault="007873A7" w:rsidP="00525BE0">
      <w:pPr>
        <w:spacing w:line="360" w:lineRule="auto"/>
        <w:jc w:val="both"/>
      </w:pPr>
      <w:r>
        <w:t xml:space="preserve">The final sample comprised 37 interviews with 34 participants and one focus group with eight </w:t>
      </w:r>
      <w:r w:rsidR="00642806">
        <w:t>patient</w:t>
      </w:r>
      <w:r>
        <w:t xml:space="preserve"> representatives. These interviews and focus group were conducted across England between January 2020 and May 2021. Table </w:t>
      </w:r>
      <w:r w:rsidR="003B1A8C">
        <w:t>4</w:t>
      </w:r>
      <w:r>
        <w:t xml:space="preserve"> outlines the characteristics of the participants.</w:t>
      </w:r>
    </w:p>
    <w:p w14:paraId="0143643C" w14:textId="5F76C8D2" w:rsidR="00672B6D" w:rsidRDefault="00672B6D" w:rsidP="00525BE0">
      <w:pPr>
        <w:spacing w:line="360" w:lineRule="auto"/>
        <w:jc w:val="both"/>
      </w:pPr>
    </w:p>
    <w:p w14:paraId="6B030777" w14:textId="77777777" w:rsidR="00672B6D" w:rsidRDefault="00672B6D" w:rsidP="00525BE0">
      <w:pPr>
        <w:spacing w:line="360" w:lineRule="auto"/>
        <w:jc w:val="both"/>
      </w:pPr>
    </w:p>
    <w:p w14:paraId="6AAA52CA" w14:textId="794FA686" w:rsidR="007873A7" w:rsidRDefault="007873A7" w:rsidP="00525BE0">
      <w:pPr>
        <w:pStyle w:val="Caption"/>
        <w:keepNext/>
        <w:jc w:val="both"/>
      </w:pPr>
      <w:bookmarkStart w:id="86" w:name="_Toc106181508"/>
      <w:r>
        <w:t xml:space="preserve">Table </w:t>
      </w:r>
      <w:r w:rsidR="008802A5">
        <w:fldChar w:fldCharType="begin"/>
      </w:r>
      <w:r w:rsidR="008802A5">
        <w:instrText xml:space="preserve"> SEQ Table \* ARABIC </w:instrText>
      </w:r>
      <w:r w:rsidR="008802A5">
        <w:fldChar w:fldCharType="separate"/>
      </w:r>
      <w:r w:rsidR="003B1A8C">
        <w:rPr>
          <w:noProof/>
        </w:rPr>
        <w:t>4</w:t>
      </w:r>
      <w:r w:rsidR="008802A5">
        <w:rPr>
          <w:noProof/>
        </w:rPr>
        <w:fldChar w:fldCharType="end"/>
      </w:r>
      <w:r>
        <w:t>. Overview of stakeholder interviews.</w:t>
      </w:r>
      <w:bookmarkEnd w:id="86"/>
    </w:p>
    <w:tbl>
      <w:tblPr>
        <w:tblStyle w:val="TableGrid"/>
        <w:tblW w:w="722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68" w:type="dxa"/>
          <w:right w:w="68" w:type="dxa"/>
        </w:tblCellMar>
        <w:tblLook w:val="04A0" w:firstRow="1" w:lastRow="0" w:firstColumn="1" w:lastColumn="0" w:noHBand="0" w:noVBand="1"/>
      </w:tblPr>
      <w:tblGrid>
        <w:gridCol w:w="3399"/>
        <w:gridCol w:w="3828"/>
      </w:tblGrid>
      <w:tr w:rsidR="007873A7" w14:paraId="47BD9487" w14:textId="77777777" w:rsidTr="007873A7">
        <w:trPr>
          <w:trHeight w:val="344"/>
        </w:trPr>
        <w:tc>
          <w:tcPr>
            <w:tcW w:w="3399" w:type="dxa"/>
          </w:tcPr>
          <w:p w14:paraId="2336F7AF" w14:textId="77777777" w:rsidR="007873A7" w:rsidRPr="002A3070" w:rsidRDefault="007873A7" w:rsidP="00525BE0">
            <w:pPr>
              <w:spacing w:after="0"/>
              <w:jc w:val="both"/>
              <w:rPr>
                <w:rFonts w:ascii="Calibri" w:hAnsi="Calibri" w:cs="Calibri"/>
                <w:b/>
                <w:bCs/>
                <w:color w:val="000000"/>
                <w:sz w:val="21"/>
                <w:szCs w:val="21"/>
              </w:rPr>
            </w:pPr>
            <w:r>
              <w:rPr>
                <w:rFonts w:ascii="Calibri" w:hAnsi="Calibri" w:cs="Calibri"/>
                <w:b/>
                <w:bCs/>
                <w:color w:val="000000"/>
                <w:sz w:val="21"/>
                <w:szCs w:val="21"/>
              </w:rPr>
              <w:t xml:space="preserve">Case studies of IOC programmes </w:t>
            </w:r>
            <w:r w:rsidRPr="002A3070">
              <w:rPr>
                <w:rFonts w:ascii="Calibri" w:hAnsi="Calibri" w:cs="Calibri"/>
                <w:b/>
                <w:bCs/>
                <w:color w:val="000000"/>
                <w:sz w:val="21"/>
                <w:szCs w:val="21"/>
              </w:rPr>
              <w:t xml:space="preserve"> </w:t>
            </w:r>
          </w:p>
        </w:tc>
        <w:tc>
          <w:tcPr>
            <w:tcW w:w="3828" w:type="dxa"/>
          </w:tcPr>
          <w:p w14:paraId="0EC8C86C" w14:textId="77777777" w:rsidR="007873A7" w:rsidRPr="002A3070" w:rsidRDefault="007873A7" w:rsidP="00525BE0">
            <w:pPr>
              <w:spacing w:after="0"/>
              <w:jc w:val="both"/>
              <w:rPr>
                <w:rFonts w:ascii="Calibri" w:hAnsi="Calibri" w:cs="Calibri"/>
                <w:b/>
                <w:bCs/>
                <w:color w:val="000000"/>
                <w:sz w:val="21"/>
                <w:szCs w:val="21"/>
              </w:rPr>
            </w:pPr>
            <w:r w:rsidRPr="002A3070">
              <w:rPr>
                <w:rFonts w:ascii="Calibri" w:hAnsi="Calibri" w:cs="Calibri"/>
                <w:b/>
                <w:bCs/>
                <w:color w:val="000000"/>
                <w:sz w:val="21"/>
                <w:szCs w:val="21"/>
              </w:rPr>
              <w:t>Role (Interview code)</w:t>
            </w:r>
          </w:p>
        </w:tc>
      </w:tr>
      <w:tr w:rsidR="007873A7" w14:paraId="5D4E2BB7" w14:textId="77777777" w:rsidTr="007873A7">
        <w:trPr>
          <w:trHeight w:val="344"/>
        </w:trPr>
        <w:tc>
          <w:tcPr>
            <w:tcW w:w="3399" w:type="dxa"/>
          </w:tcPr>
          <w:p w14:paraId="4EF7C8D9"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Hospital Group 1 (South)</w:t>
            </w:r>
          </w:p>
        </w:tc>
        <w:tc>
          <w:tcPr>
            <w:tcW w:w="3828" w:type="dxa"/>
          </w:tcPr>
          <w:p w14:paraId="12E10374" w14:textId="77777777" w:rsidR="007873A7" w:rsidRPr="009E34A7" w:rsidRDefault="007873A7" w:rsidP="00525BE0">
            <w:pPr>
              <w:spacing w:after="0" w:line="360" w:lineRule="auto"/>
              <w:jc w:val="both"/>
              <w:rPr>
                <w:sz w:val="18"/>
                <w:szCs w:val="18"/>
              </w:rPr>
            </w:pPr>
            <w:r w:rsidRPr="009E34A7">
              <w:rPr>
                <w:rFonts w:ascii="Calibri" w:hAnsi="Calibri" w:cs="Calibri"/>
                <w:color w:val="000000"/>
                <w:sz w:val="18"/>
                <w:szCs w:val="18"/>
              </w:rPr>
              <w:t>Director (2)</w:t>
            </w:r>
            <w:r>
              <w:rPr>
                <w:rFonts w:ascii="Calibri" w:hAnsi="Calibri" w:cs="Calibri"/>
                <w:color w:val="000000"/>
                <w:sz w:val="18"/>
                <w:szCs w:val="18"/>
              </w:rPr>
              <w:t xml:space="preserve"> x 2</w:t>
            </w:r>
          </w:p>
        </w:tc>
      </w:tr>
      <w:tr w:rsidR="007873A7" w14:paraId="4235C841" w14:textId="77777777" w:rsidTr="007873A7">
        <w:trPr>
          <w:trHeight w:val="344"/>
        </w:trPr>
        <w:tc>
          <w:tcPr>
            <w:tcW w:w="3399" w:type="dxa"/>
          </w:tcPr>
          <w:p w14:paraId="1AEFFCA0"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Hospital Group 2 (South)</w:t>
            </w:r>
          </w:p>
        </w:tc>
        <w:tc>
          <w:tcPr>
            <w:tcW w:w="3828" w:type="dxa"/>
          </w:tcPr>
          <w:p w14:paraId="03BB443F"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Director (3)</w:t>
            </w:r>
            <w:r>
              <w:rPr>
                <w:rFonts w:ascii="Calibri" w:hAnsi="Calibri" w:cs="Calibri"/>
                <w:color w:val="000000"/>
                <w:sz w:val="18"/>
                <w:szCs w:val="18"/>
              </w:rPr>
              <w:t xml:space="preserve"> x 2</w:t>
            </w:r>
          </w:p>
        </w:tc>
      </w:tr>
      <w:tr w:rsidR="007873A7" w14:paraId="1DD2C1D3" w14:textId="77777777" w:rsidTr="007873A7">
        <w:trPr>
          <w:trHeight w:val="344"/>
        </w:trPr>
        <w:tc>
          <w:tcPr>
            <w:tcW w:w="3399" w:type="dxa"/>
          </w:tcPr>
          <w:p w14:paraId="24503544"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Hospital Group 3 (South)</w:t>
            </w:r>
          </w:p>
        </w:tc>
        <w:tc>
          <w:tcPr>
            <w:tcW w:w="3828" w:type="dxa"/>
          </w:tcPr>
          <w:p w14:paraId="34182867"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CEO (18)</w:t>
            </w:r>
          </w:p>
        </w:tc>
      </w:tr>
      <w:tr w:rsidR="007873A7" w14:paraId="6F756591" w14:textId="77777777" w:rsidTr="007873A7">
        <w:trPr>
          <w:trHeight w:val="344"/>
        </w:trPr>
        <w:tc>
          <w:tcPr>
            <w:tcW w:w="3399" w:type="dxa"/>
          </w:tcPr>
          <w:p w14:paraId="39627D4A"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Hospital Group 4 (South)</w:t>
            </w:r>
          </w:p>
        </w:tc>
        <w:tc>
          <w:tcPr>
            <w:tcW w:w="3828" w:type="dxa"/>
          </w:tcPr>
          <w:p w14:paraId="126D5E38" w14:textId="77777777" w:rsidR="007873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Lead (29)</w:t>
            </w:r>
          </w:p>
          <w:p w14:paraId="08C4581F" w14:textId="77777777" w:rsidR="007873A7" w:rsidRPr="009E34A7" w:rsidRDefault="007873A7" w:rsidP="00525BE0">
            <w:pPr>
              <w:spacing w:after="0" w:line="360" w:lineRule="auto"/>
              <w:jc w:val="both"/>
              <w:rPr>
                <w:rFonts w:ascii="Calibri" w:hAnsi="Calibri" w:cs="Calibri"/>
                <w:color w:val="000000"/>
                <w:sz w:val="18"/>
                <w:szCs w:val="18"/>
              </w:rPr>
            </w:pPr>
            <w:r>
              <w:rPr>
                <w:rFonts w:ascii="Calibri" w:hAnsi="Calibri" w:cs="Calibri"/>
                <w:color w:val="000000"/>
                <w:sz w:val="18"/>
                <w:szCs w:val="18"/>
              </w:rPr>
              <w:t>Director of Improvement (35)</w:t>
            </w:r>
          </w:p>
        </w:tc>
      </w:tr>
      <w:tr w:rsidR="007873A7" w14:paraId="4DE60520" w14:textId="77777777" w:rsidTr="007873A7">
        <w:trPr>
          <w:trHeight w:val="344"/>
        </w:trPr>
        <w:tc>
          <w:tcPr>
            <w:tcW w:w="3399" w:type="dxa"/>
          </w:tcPr>
          <w:p w14:paraId="05C65062"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Alliance 1 (North)</w:t>
            </w:r>
          </w:p>
          <w:p w14:paraId="240677E0" w14:textId="77777777" w:rsidR="007873A7" w:rsidRPr="009E34A7" w:rsidRDefault="007873A7" w:rsidP="00525BE0">
            <w:pPr>
              <w:spacing w:after="0" w:line="360" w:lineRule="auto"/>
              <w:jc w:val="both"/>
              <w:rPr>
                <w:rFonts w:ascii="Calibri" w:hAnsi="Calibri" w:cs="Calibri"/>
                <w:color w:val="000000"/>
                <w:sz w:val="18"/>
                <w:szCs w:val="18"/>
              </w:rPr>
            </w:pPr>
          </w:p>
        </w:tc>
        <w:tc>
          <w:tcPr>
            <w:tcW w:w="3828" w:type="dxa"/>
          </w:tcPr>
          <w:p w14:paraId="27318FAA"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Executive Nurse (10)</w:t>
            </w:r>
          </w:p>
          <w:p w14:paraId="33612495"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Former CEO (12)</w:t>
            </w:r>
          </w:p>
          <w:p w14:paraId="30C527F8"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Director (20)</w:t>
            </w:r>
          </w:p>
          <w:p w14:paraId="169B25A5"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CEO (22)</w:t>
            </w:r>
          </w:p>
          <w:p w14:paraId="58FFE888"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Medical Director (23)</w:t>
            </w:r>
          </w:p>
          <w:p w14:paraId="6C888F15"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Workforce Director (26)</w:t>
            </w:r>
          </w:p>
        </w:tc>
      </w:tr>
      <w:tr w:rsidR="007873A7" w14:paraId="0A54A1CE" w14:textId="77777777" w:rsidTr="007873A7">
        <w:trPr>
          <w:trHeight w:val="344"/>
        </w:trPr>
        <w:tc>
          <w:tcPr>
            <w:tcW w:w="3399" w:type="dxa"/>
          </w:tcPr>
          <w:p w14:paraId="0C5F7711"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Alliance 2 (North)</w:t>
            </w:r>
          </w:p>
          <w:p w14:paraId="456783DE" w14:textId="77777777" w:rsidR="007873A7" w:rsidRPr="009E34A7" w:rsidRDefault="007873A7" w:rsidP="00525BE0">
            <w:pPr>
              <w:spacing w:after="0" w:line="360" w:lineRule="auto"/>
              <w:jc w:val="both"/>
              <w:rPr>
                <w:rFonts w:ascii="Calibri" w:hAnsi="Calibri" w:cs="Calibri"/>
                <w:color w:val="000000"/>
                <w:sz w:val="18"/>
                <w:szCs w:val="18"/>
              </w:rPr>
            </w:pPr>
          </w:p>
        </w:tc>
        <w:tc>
          <w:tcPr>
            <w:tcW w:w="3828" w:type="dxa"/>
          </w:tcPr>
          <w:p w14:paraId="2F3ABA6F"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CEO (17)</w:t>
            </w:r>
          </w:p>
          <w:p w14:paraId="7B0F058B"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Director (19)</w:t>
            </w:r>
          </w:p>
        </w:tc>
      </w:tr>
      <w:tr w:rsidR="007873A7" w14:paraId="64976F97" w14:textId="77777777" w:rsidTr="007873A7">
        <w:trPr>
          <w:trHeight w:val="344"/>
        </w:trPr>
        <w:tc>
          <w:tcPr>
            <w:tcW w:w="3399" w:type="dxa"/>
          </w:tcPr>
          <w:p w14:paraId="6BD01C7F"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 xml:space="preserve">ICS </w:t>
            </w:r>
            <w:r>
              <w:rPr>
                <w:rFonts w:ascii="Calibri" w:hAnsi="Calibri" w:cs="Calibri"/>
                <w:color w:val="000000"/>
                <w:sz w:val="18"/>
                <w:szCs w:val="18"/>
              </w:rPr>
              <w:t>1 (</w:t>
            </w:r>
            <w:r w:rsidRPr="009E34A7">
              <w:rPr>
                <w:rFonts w:ascii="Calibri" w:hAnsi="Calibri" w:cs="Calibri"/>
                <w:color w:val="000000"/>
                <w:sz w:val="18"/>
                <w:szCs w:val="18"/>
              </w:rPr>
              <w:t>North</w:t>
            </w:r>
            <w:r>
              <w:rPr>
                <w:rFonts w:ascii="Calibri" w:hAnsi="Calibri" w:cs="Calibri"/>
                <w:color w:val="000000"/>
                <w:sz w:val="18"/>
                <w:szCs w:val="18"/>
              </w:rPr>
              <w:t>)</w:t>
            </w:r>
          </w:p>
        </w:tc>
        <w:tc>
          <w:tcPr>
            <w:tcW w:w="3828" w:type="dxa"/>
          </w:tcPr>
          <w:p w14:paraId="29E22AFA"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CEO (13)</w:t>
            </w:r>
          </w:p>
        </w:tc>
      </w:tr>
      <w:tr w:rsidR="007873A7" w14:paraId="7D7F8201" w14:textId="77777777" w:rsidTr="007873A7">
        <w:trPr>
          <w:trHeight w:val="344"/>
        </w:trPr>
        <w:tc>
          <w:tcPr>
            <w:tcW w:w="3399" w:type="dxa"/>
          </w:tcPr>
          <w:p w14:paraId="20A0EB98"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 xml:space="preserve">ICS </w:t>
            </w:r>
            <w:r>
              <w:rPr>
                <w:rFonts w:ascii="Calibri" w:hAnsi="Calibri" w:cs="Calibri"/>
                <w:color w:val="000000"/>
                <w:sz w:val="18"/>
                <w:szCs w:val="18"/>
              </w:rPr>
              <w:t>2 (</w:t>
            </w:r>
            <w:r w:rsidRPr="009E34A7">
              <w:rPr>
                <w:rFonts w:ascii="Calibri" w:hAnsi="Calibri" w:cs="Calibri"/>
                <w:color w:val="000000"/>
                <w:sz w:val="18"/>
                <w:szCs w:val="18"/>
              </w:rPr>
              <w:t>South</w:t>
            </w:r>
            <w:r>
              <w:rPr>
                <w:rFonts w:ascii="Calibri" w:hAnsi="Calibri" w:cs="Calibri"/>
                <w:color w:val="000000"/>
                <w:sz w:val="18"/>
                <w:szCs w:val="18"/>
              </w:rPr>
              <w:t>)</w:t>
            </w:r>
          </w:p>
        </w:tc>
        <w:tc>
          <w:tcPr>
            <w:tcW w:w="3828" w:type="dxa"/>
          </w:tcPr>
          <w:p w14:paraId="587AE3BC"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Lead (14)</w:t>
            </w:r>
          </w:p>
        </w:tc>
      </w:tr>
      <w:tr w:rsidR="007873A7" w14:paraId="01AA4257" w14:textId="77777777" w:rsidTr="007873A7">
        <w:trPr>
          <w:trHeight w:val="344"/>
        </w:trPr>
        <w:tc>
          <w:tcPr>
            <w:tcW w:w="3399" w:type="dxa"/>
          </w:tcPr>
          <w:p w14:paraId="1FAB50FC"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ICS 3</w:t>
            </w:r>
            <w:r>
              <w:rPr>
                <w:rFonts w:ascii="Calibri" w:hAnsi="Calibri" w:cs="Calibri"/>
                <w:color w:val="000000"/>
                <w:sz w:val="18"/>
                <w:szCs w:val="18"/>
              </w:rPr>
              <w:t xml:space="preserve"> (South)</w:t>
            </w:r>
          </w:p>
        </w:tc>
        <w:tc>
          <w:tcPr>
            <w:tcW w:w="3828" w:type="dxa"/>
          </w:tcPr>
          <w:p w14:paraId="0A4E8753"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Lead (25)</w:t>
            </w:r>
          </w:p>
        </w:tc>
      </w:tr>
      <w:tr w:rsidR="007873A7" w14:paraId="31075D9D" w14:textId="77777777" w:rsidTr="007873A7">
        <w:trPr>
          <w:trHeight w:val="344"/>
        </w:trPr>
        <w:tc>
          <w:tcPr>
            <w:tcW w:w="3399" w:type="dxa"/>
          </w:tcPr>
          <w:p w14:paraId="7BBFA625"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 xml:space="preserve">Integrated Care Provider (North) </w:t>
            </w:r>
          </w:p>
        </w:tc>
        <w:tc>
          <w:tcPr>
            <w:tcW w:w="3828" w:type="dxa"/>
          </w:tcPr>
          <w:p w14:paraId="0255CF89"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Manager (16)</w:t>
            </w:r>
          </w:p>
        </w:tc>
      </w:tr>
      <w:tr w:rsidR="007873A7" w14:paraId="7316F8A6" w14:textId="77777777" w:rsidTr="007873A7">
        <w:trPr>
          <w:trHeight w:val="344"/>
        </w:trPr>
        <w:tc>
          <w:tcPr>
            <w:tcW w:w="3399" w:type="dxa"/>
          </w:tcPr>
          <w:p w14:paraId="029F1546" w14:textId="77777777" w:rsidR="007873A7" w:rsidRPr="009E34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Merge</w:t>
            </w:r>
            <w:r>
              <w:rPr>
                <w:rFonts w:ascii="Calibri" w:hAnsi="Calibri" w:cs="Calibri"/>
                <w:color w:val="000000"/>
                <w:sz w:val="18"/>
                <w:szCs w:val="18"/>
              </w:rPr>
              <w:t>r (South)</w:t>
            </w:r>
          </w:p>
          <w:p w14:paraId="2BFFE29E" w14:textId="77777777" w:rsidR="007873A7" w:rsidRPr="009E34A7" w:rsidRDefault="007873A7" w:rsidP="00525BE0">
            <w:pPr>
              <w:spacing w:after="0" w:line="360" w:lineRule="auto"/>
              <w:jc w:val="both"/>
              <w:rPr>
                <w:rFonts w:ascii="Calibri" w:hAnsi="Calibri" w:cs="Calibri"/>
                <w:color w:val="000000"/>
                <w:sz w:val="18"/>
                <w:szCs w:val="18"/>
              </w:rPr>
            </w:pPr>
          </w:p>
        </w:tc>
        <w:tc>
          <w:tcPr>
            <w:tcW w:w="3828" w:type="dxa"/>
          </w:tcPr>
          <w:p w14:paraId="12A5861E" w14:textId="77777777" w:rsidR="007873A7" w:rsidRPr="009E34A7" w:rsidRDefault="007873A7" w:rsidP="00525BE0">
            <w:pPr>
              <w:spacing w:after="0" w:line="360" w:lineRule="auto"/>
              <w:jc w:val="both"/>
              <w:rPr>
                <w:rFonts w:ascii="Calibri" w:hAnsi="Calibri" w:cs="Calibri"/>
                <w:color w:val="000000"/>
                <w:sz w:val="18"/>
                <w:szCs w:val="18"/>
              </w:rPr>
            </w:pPr>
            <w:r>
              <w:rPr>
                <w:rFonts w:ascii="Calibri" w:hAnsi="Calibri" w:cs="Calibri"/>
                <w:color w:val="000000"/>
                <w:sz w:val="18"/>
                <w:szCs w:val="18"/>
              </w:rPr>
              <w:t>Director</w:t>
            </w:r>
            <w:r w:rsidRPr="009E34A7">
              <w:rPr>
                <w:rFonts w:ascii="Calibri" w:hAnsi="Calibri" w:cs="Calibri"/>
                <w:color w:val="000000"/>
                <w:sz w:val="18"/>
                <w:szCs w:val="18"/>
              </w:rPr>
              <w:t xml:space="preserve"> (21)</w:t>
            </w:r>
          </w:p>
        </w:tc>
      </w:tr>
      <w:tr w:rsidR="007873A7" w14:paraId="6F2F9CF9" w14:textId="77777777" w:rsidTr="007873A7">
        <w:trPr>
          <w:trHeight w:val="344"/>
        </w:trPr>
        <w:tc>
          <w:tcPr>
            <w:tcW w:w="7227" w:type="dxa"/>
            <w:gridSpan w:val="2"/>
          </w:tcPr>
          <w:p w14:paraId="534DEAA5" w14:textId="77777777" w:rsidR="007873A7" w:rsidRPr="002A3070" w:rsidRDefault="007873A7" w:rsidP="00525BE0">
            <w:pPr>
              <w:spacing w:after="0" w:line="360" w:lineRule="auto"/>
              <w:jc w:val="both"/>
              <w:rPr>
                <w:rFonts w:ascii="Calibri" w:hAnsi="Calibri" w:cs="Calibri"/>
                <w:b/>
                <w:bCs/>
                <w:color w:val="000000"/>
                <w:sz w:val="21"/>
                <w:szCs w:val="21"/>
              </w:rPr>
            </w:pPr>
            <w:r>
              <w:rPr>
                <w:rFonts w:ascii="Calibri" w:hAnsi="Calibri" w:cs="Calibri"/>
                <w:b/>
                <w:bCs/>
                <w:color w:val="000000"/>
                <w:sz w:val="21"/>
                <w:szCs w:val="21"/>
              </w:rPr>
              <w:t>Wider s</w:t>
            </w:r>
            <w:r w:rsidRPr="002A3070">
              <w:rPr>
                <w:rFonts w:ascii="Calibri" w:hAnsi="Calibri" w:cs="Calibri"/>
                <w:b/>
                <w:bCs/>
                <w:color w:val="000000"/>
                <w:sz w:val="21"/>
                <w:szCs w:val="21"/>
              </w:rPr>
              <w:t xml:space="preserve">takeholder </w:t>
            </w:r>
            <w:r>
              <w:rPr>
                <w:rFonts w:ascii="Calibri" w:hAnsi="Calibri" w:cs="Calibri"/>
                <w:b/>
                <w:bCs/>
                <w:color w:val="000000"/>
                <w:sz w:val="21"/>
                <w:szCs w:val="21"/>
              </w:rPr>
              <w:t>perspectives</w:t>
            </w:r>
          </w:p>
        </w:tc>
      </w:tr>
      <w:tr w:rsidR="007873A7" w14:paraId="4665848F" w14:textId="77777777" w:rsidTr="007873A7">
        <w:trPr>
          <w:trHeight w:val="344"/>
        </w:trPr>
        <w:tc>
          <w:tcPr>
            <w:tcW w:w="7227" w:type="dxa"/>
            <w:gridSpan w:val="2"/>
          </w:tcPr>
          <w:p w14:paraId="10A5DEEB" w14:textId="77777777" w:rsidR="007873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Academic &amp; Non-Exec (1)</w:t>
            </w:r>
          </w:p>
        </w:tc>
      </w:tr>
      <w:tr w:rsidR="007873A7" w14:paraId="414EA62F" w14:textId="77777777" w:rsidTr="007873A7">
        <w:trPr>
          <w:trHeight w:val="344"/>
        </w:trPr>
        <w:tc>
          <w:tcPr>
            <w:tcW w:w="7227" w:type="dxa"/>
            <w:gridSpan w:val="2"/>
          </w:tcPr>
          <w:p w14:paraId="3F9B3BB7" w14:textId="77777777" w:rsidR="007873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Provider Policy Lead (4)</w:t>
            </w:r>
          </w:p>
        </w:tc>
      </w:tr>
      <w:tr w:rsidR="007873A7" w14:paraId="171CE658" w14:textId="77777777" w:rsidTr="007873A7">
        <w:trPr>
          <w:trHeight w:val="344"/>
        </w:trPr>
        <w:tc>
          <w:tcPr>
            <w:tcW w:w="7227" w:type="dxa"/>
            <w:gridSpan w:val="2"/>
          </w:tcPr>
          <w:p w14:paraId="014A3697" w14:textId="77777777" w:rsidR="007873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Provider Policy Inspectorate Lead (5)</w:t>
            </w:r>
          </w:p>
        </w:tc>
      </w:tr>
      <w:tr w:rsidR="007873A7" w14:paraId="64E06F9B" w14:textId="77777777" w:rsidTr="007873A7">
        <w:trPr>
          <w:trHeight w:val="344"/>
        </w:trPr>
        <w:tc>
          <w:tcPr>
            <w:tcW w:w="7227" w:type="dxa"/>
            <w:gridSpan w:val="2"/>
          </w:tcPr>
          <w:p w14:paraId="4ABD8D3E" w14:textId="77777777" w:rsidR="007873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 xml:space="preserve">NHS Provider Association (6 </w:t>
            </w:r>
            <w:r>
              <w:rPr>
                <w:rFonts w:ascii="Calibri" w:hAnsi="Calibri" w:cs="Calibri"/>
                <w:color w:val="000000"/>
                <w:sz w:val="18"/>
                <w:szCs w:val="18"/>
              </w:rPr>
              <w:t xml:space="preserve">(x2) </w:t>
            </w:r>
            <w:r w:rsidRPr="009E34A7">
              <w:rPr>
                <w:rFonts w:ascii="Calibri" w:hAnsi="Calibri" w:cs="Calibri"/>
                <w:color w:val="000000"/>
                <w:sz w:val="18"/>
                <w:szCs w:val="18"/>
              </w:rPr>
              <w:t>and 11)</w:t>
            </w:r>
          </w:p>
        </w:tc>
      </w:tr>
      <w:tr w:rsidR="007873A7" w14:paraId="0C49AC35" w14:textId="77777777" w:rsidTr="007873A7">
        <w:trPr>
          <w:trHeight w:val="344"/>
        </w:trPr>
        <w:tc>
          <w:tcPr>
            <w:tcW w:w="7227" w:type="dxa"/>
            <w:gridSpan w:val="2"/>
          </w:tcPr>
          <w:p w14:paraId="11267B02" w14:textId="77777777" w:rsidR="007873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Professional Regulator (7)</w:t>
            </w:r>
          </w:p>
        </w:tc>
      </w:tr>
      <w:tr w:rsidR="007873A7" w14:paraId="62D3F513" w14:textId="77777777" w:rsidTr="007873A7">
        <w:trPr>
          <w:trHeight w:val="344"/>
        </w:trPr>
        <w:tc>
          <w:tcPr>
            <w:tcW w:w="7227" w:type="dxa"/>
            <w:gridSpan w:val="2"/>
          </w:tcPr>
          <w:p w14:paraId="016034BD" w14:textId="77777777" w:rsidR="007873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Regional Inspectorate Lead (8)</w:t>
            </w:r>
          </w:p>
        </w:tc>
      </w:tr>
      <w:tr w:rsidR="007873A7" w14:paraId="2558A8DB" w14:textId="77777777" w:rsidTr="007873A7">
        <w:trPr>
          <w:trHeight w:val="344"/>
        </w:trPr>
        <w:tc>
          <w:tcPr>
            <w:tcW w:w="7227" w:type="dxa"/>
            <w:gridSpan w:val="2"/>
          </w:tcPr>
          <w:p w14:paraId="786DBF81" w14:textId="77777777" w:rsidR="007873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Policy Transformation Lead (9)</w:t>
            </w:r>
          </w:p>
        </w:tc>
      </w:tr>
      <w:tr w:rsidR="007873A7" w14:paraId="603AA76A" w14:textId="77777777" w:rsidTr="007873A7">
        <w:trPr>
          <w:trHeight w:val="344"/>
        </w:trPr>
        <w:tc>
          <w:tcPr>
            <w:tcW w:w="7227" w:type="dxa"/>
            <w:gridSpan w:val="2"/>
          </w:tcPr>
          <w:p w14:paraId="5552B01A" w14:textId="77777777" w:rsidR="007873A7" w:rsidRDefault="007873A7" w:rsidP="00525BE0">
            <w:pPr>
              <w:spacing w:after="0" w:line="360" w:lineRule="auto"/>
              <w:jc w:val="both"/>
              <w:rPr>
                <w:rFonts w:ascii="Calibri" w:hAnsi="Calibri" w:cs="Calibri"/>
                <w:color w:val="000000"/>
                <w:sz w:val="18"/>
                <w:szCs w:val="18"/>
              </w:rPr>
            </w:pPr>
            <w:r w:rsidRPr="009E34A7">
              <w:rPr>
                <w:rFonts w:ascii="Calibri" w:hAnsi="Calibri" w:cs="Calibri"/>
                <w:color w:val="000000"/>
                <w:sz w:val="18"/>
                <w:szCs w:val="18"/>
              </w:rPr>
              <w:t>Patient Representative Lead (15)</w:t>
            </w:r>
          </w:p>
        </w:tc>
      </w:tr>
      <w:tr w:rsidR="007873A7" w14:paraId="30E6A3AC" w14:textId="77777777" w:rsidTr="007873A7">
        <w:trPr>
          <w:trHeight w:val="344"/>
        </w:trPr>
        <w:tc>
          <w:tcPr>
            <w:tcW w:w="7227" w:type="dxa"/>
            <w:gridSpan w:val="2"/>
          </w:tcPr>
          <w:p w14:paraId="453582C5" w14:textId="77777777" w:rsidR="007873A7" w:rsidRDefault="007873A7" w:rsidP="00525BE0">
            <w:pPr>
              <w:spacing w:after="0" w:line="360" w:lineRule="auto"/>
              <w:jc w:val="both"/>
              <w:rPr>
                <w:rFonts w:ascii="Calibri" w:hAnsi="Calibri" w:cs="Calibri"/>
                <w:color w:val="000000"/>
                <w:sz w:val="18"/>
                <w:szCs w:val="18"/>
              </w:rPr>
            </w:pPr>
            <w:r w:rsidRPr="009E34A7">
              <w:rPr>
                <w:sz w:val="18"/>
                <w:szCs w:val="18"/>
              </w:rPr>
              <w:t xml:space="preserve">Third Sector </w:t>
            </w:r>
            <w:r w:rsidRPr="009E34A7">
              <w:rPr>
                <w:rFonts w:ascii="Calibri" w:hAnsi="Calibri" w:cs="Calibri"/>
                <w:color w:val="000000"/>
                <w:sz w:val="18"/>
                <w:szCs w:val="18"/>
              </w:rPr>
              <w:t xml:space="preserve">Representative </w:t>
            </w:r>
            <w:r w:rsidRPr="009E34A7">
              <w:rPr>
                <w:sz w:val="18"/>
                <w:szCs w:val="18"/>
              </w:rPr>
              <w:t>(24)</w:t>
            </w:r>
          </w:p>
        </w:tc>
      </w:tr>
      <w:tr w:rsidR="007873A7" w14:paraId="7A6B728C" w14:textId="77777777" w:rsidTr="007873A7">
        <w:trPr>
          <w:trHeight w:val="344"/>
        </w:trPr>
        <w:tc>
          <w:tcPr>
            <w:tcW w:w="7227" w:type="dxa"/>
            <w:gridSpan w:val="2"/>
          </w:tcPr>
          <w:p w14:paraId="1B21CABD" w14:textId="77777777" w:rsidR="007873A7" w:rsidRDefault="007873A7" w:rsidP="00525BE0">
            <w:pPr>
              <w:spacing w:after="0" w:line="360" w:lineRule="auto"/>
              <w:jc w:val="both"/>
              <w:rPr>
                <w:rFonts w:ascii="Calibri" w:hAnsi="Calibri" w:cs="Calibri"/>
                <w:color w:val="000000"/>
                <w:sz w:val="18"/>
                <w:szCs w:val="18"/>
              </w:rPr>
            </w:pPr>
            <w:r w:rsidRPr="009E34A7">
              <w:rPr>
                <w:sz w:val="18"/>
                <w:szCs w:val="18"/>
              </w:rPr>
              <w:t>Local Government Representative (28)</w:t>
            </w:r>
          </w:p>
        </w:tc>
      </w:tr>
      <w:tr w:rsidR="007873A7" w14:paraId="0163A63C" w14:textId="77777777" w:rsidTr="007873A7">
        <w:trPr>
          <w:trHeight w:val="344"/>
        </w:trPr>
        <w:tc>
          <w:tcPr>
            <w:tcW w:w="7227" w:type="dxa"/>
            <w:gridSpan w:val="2"/>
          </w:tcPr>
          <w:p w14:paraId="0716666A" w14:textId="77777777" w:rsidR="007873A7" w:rsidRDefault="007873A7" w:rsidP="00525BE0">
            <w:pPr>
              <w:spacing w:after="0" w:line="360" w:lineRule="auto"/>
              <w:jc w:val="both"/>
              <w:rPr>
                <w:rFonts w:ascii="Calibri" w:hAnsi="Calibri" w:cs="Calibri"/>
                <w:color w:val="000000"/>
                <w:sz w:val="18"/>
                <w:szCs w:val="18"/>
              </w:rPr>
            </w:pPr>
            <w:r w:rsidRPr="009E34A7">
              <w:rPr>
                <w:sz w:val="18"/>
                <w:szCs w:val="18"/>
              </w:rPr>
              <w:t>Private Sector Representative (27)</w:t>
            </w:r>
          </w:p>
        </w:tc>
      </w:tr>
      <w:tr w:rsidR="007873A7" w14:paraId="2E65C275" w14:textId="77777777" w:rsidTr="007873A7">
        <w:trPr>
          <w:trHeight w:val="344"/>
        </w:trPr>
        <w:tc>
          <w:tcPr>
            <w:tcW w:w="7227" w:type="dxa"/>
            <w:gridSpan w:val="2"/>
          </w:tcPr>
          <w:p w14:paraId="66ED0856" w14:textId="77777777" w:rsidR="007873A7" w:rsidRPr="009E34A7" w:rsidRDefault="007873A7" w:rsidP="00525BE0">
            <w:pPr>
              <w:spacing w:after="0" w:line="360" w:lineRule="auto"/>
              <w:jc w:val="both"/>
              <w:rPr>
                <w:sz w:val="18"/>
                <w:szCs w:val="18"/>
              </w:rPr>
            </w:pPr>
            <w:r>
              <w:rPr>
                <w:sz w:val="18"/>
                <w:szCs w:val="18"/>
              </w:rPr>
              <w:t>Patient representatives (30-34; focus group)</w:t>
            </w:r>
          </w:p>
        </w:tc>
      </w:tr>
    </w:tbl>
    <w:p w14:paraId="10E1C112" w14:textId="77777777" w:rsidR="007873A7" w:rsidRDefault="007873A7" w:rsidP="00525BE0">
      <w:pPr>
        <w:pStyle w:val="Heading3"/>
        <w:jc w:val="both"/>
      </w:pPr>
    </w:p>
    <w:p w14:paraId="3FB89CB7" w14:textId="77777777" w:rsidR="007873A7" w:rsidRDefault="007873A7" w:rsidP="00525BE0">
      <w:pPr>
        <w:pStyle w:val="Heading3"/>
        <w:jc w:val="both"/>
      </w:pPr>
      <w:bookmarkStart w:id="87" w:name="_Toc85066438"/>
      <w:r>
        <w:t>Interviews and Setting</w:t>
      </w:r>
      <w:bookmarkEnd w:id="87"/>
    </w:p>
    <w:p w14:paraId="2860F5C5" w14:textId="47E2024D" w:rsidR="007873A7" w:rsidRDefault="007873A7" w:rsidP="00525BE0">
      <w:pPr>
        <w:spacing w:line="360" w:lineRule="auto"/>
        <w:jc w:val="both"/>
      </w:pPr>
      <w:r>
        <w:t xml:space="preserve">Semi-structured interviews were conducted by experienced qualitative interviewers (JA, R Millar, AMR and DF). The interviews drew on realist interview methodology, with the focus on gleaning and refining theory </w:t>
      </w:r>
      <w:r>
        <w:fldChar w:fldCharType="begin" w:fldLock="1"/>
      </w:r>
      <w:r w:rsidR="00EA4B53">
        <w:instrText>ADDIN CSL_CITATION {"citationItems":[{"id":"ITEM-1","itemData":{"DOI":"10.1177/1356389016638615","ISSN":"14617153","abstract":"Pawson and Tilley suggest a unique strategy for conducting qualitative interviews within realist evaluation studies. Theories are placed before the interviewee for them to comment on with a view to providing refinement. The subject matter of the interview is the researcher’s theory and interviewees confirm, falsify, and refine this theory. This relationship – described as a teacher–learner cycle – is integral to realist evaluations. This article provides an overview of how interview techniques have been applied in realist evaluations in the last decade as well as suggesting two guiding principles. The first one relates to the design of realist studies and the second one explains how to ask questions like a realist, and proposes three different phases in realist interviews: theory gleaning, theory refining and theory consolidation. The article aims to contribute to a growing understanding of the practical and epistemological challenges presented by primary data collection in realist evaluation.","author":[{"dropping-particle":"","family":"Manzano","given":"Ana","non-dropping-particle":"","parse-names":false,"suffix":""}],"container-title":"Evaluation","id":"ITEM-1","issue":"3","issued":{"date-parts":[["2016"]]},"page":"342-360","title":"The craft of interviewing in realist evaluation","type":"article-journal","volume":"22"},"uris":["http://www.mendeley.com/documents/?uuid=1332cb42-a18a-4af7-ae56-e50671beec0d"]}],"mendeley":{"formattedCitation":"&lt;sup&gt;141&lt;/sup&gt;","plainTextFormattedCitation":"141","previouslyFormattedCitation":"&lt;sup&gt;141&lt;/sup&gt;"},"properties":{"noteIndex":0},"schema":"https://github.com/citation-style-language/schema/raw/master/csl-citation.json"}</w:instrText>
      </w:r>
      <w:r>
        <w:fldChar w:fldCharType="separate"/>
      </w:r>
      <w:r w:rsidR="00E25884" w:rsidRPr="00E25884">
        <w:rPr>
          <w:noProof/>
          <w:vertAlign w:val="superscript"/>
        </w:rPr>
        <w:t>141</w:t>
      </w:r>
      <w:r>
        <w:fldChar w:fldCharType="end"/>
      </w:r>
      <w:r>
        <w:t xml:space="preserve">. Questions were posed that would both directly and indirectly work towards these aims. Earlier Phase 1 interviews were more focused on theory gleaning and were conducted alongside construction of the programme theory in our earlier realist review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xml:space="preserve">. Later Phase 2 interviews incorporated direct questions in which the programme theory was explained to the participant and the participant was asked about particular elements, with the intention of refining and consolidating theory directly in a manner in line with the teacher-leaner cycle </w:t>
      </w:r>
      <w:r>
        <w:fldChar w:fldCharType="begin" w:fldLock="1"/>
      </w:r>
      <w:r w:rsidR="00EA4B53">
        <w:instrText>ADDIN CSL_CITATION {"citationItems":[{"id":"ITEM-1","itemData":{"DOI":"10.1177/1356389016638615","ISSN":"14617153","abstract":"Pawson and Tilley suggest a unique strategy for conducting qualitative interviews within realist evaluation studies. Theories are placed before the interviewee for them to comment on with a view to providing refinement. The subject matter of the interview is the researcher’s theory and interviewees confirm, falsify, and refine this theory. This relationship – described as a teacher–learner cycle – is integral to realist evaluations. This article provides an overview of how interview techniques have been applied in realist evaluations in the last decade as well as suggesting two guiding principles. The first one relates to the design of realist studies and the second one explains how to ask questions like a realist, and proposes three different phases in realist interviews: theory gleaning, theory refining and theory consolidation. The article aims to contribute to a growing understanding of the practical and epistemological challenges presented by primary data collection in realist evaluation.","author":[{"dropping-particle":"","family":"Manzano","given":"Ana","non-dropping-particle":"","parse-names":false,"suffix":""}],"container-title":"Evaluation","id":"ITEM-1","issue":"3","issued":{"date-parts":[["2016"]]},"page":"342-360","title":"The craft of interviewing in realist evaluation","type":"article-journal","volume":"22"},"uris":["http://www.mendeley.com/documents/?uuid=1332cb42-a18a-4af7-ae56-e50671beec0d"]}],"mendeley":{"formattedCitation":"&lt;sup&gt;141&lt;/sup&gt;","plainTextFormattedCitation":"141","previouslyFormattedCitation":"&lt;sup&gt;141&lt;/sup&gt;"},"properties":{"noteIndex":0},"schema":"https://github.com/citation-style-language/schema/raw/master/csl-citation.json"}</w:instrText>
      </w:r>
      <w:r>
        <w:fldChar w:fldCharType="separate"/>
      </w:r>
      <w:r w:rsidR="00E25884" w:rsidRPr="00E25884">
        <w:rPr>
          <w:noProof/>
          <w:vertAlign w:val="superscript"/>
        </w:rPr>
        <w:t>141</w:t>
      </w:r>
      <w:r>
        <w:fldChar w:fldCharType="end"/>
      </w:r>
      <w:r>
        <w:t xml:space="preserve">. This strategy was used particularly with the participants where we were able to conduct follow-up interviews. The interview guide but was refined and developed as our interviews progressed. Due to the impact of </w:t>
      </w:r>
      <w:r w:rsidR="00857277">
        <w:t>C</w:t>
      </w:r>
      <w:r w:rsidR="00C41618">
        <w:t>ovid</w:t>
      </w:r>
      <w:r w:rsidR="00857277">
        <w:t>-19</w:t>
      </w:r>
      <w:r w:rsidR="00B02293">
        <w:t xml:space="preserve"> </w:t>
      </w:r>
      <w:r>
        <w:t>shortly after the start of the research, interviews were conducted virtually over Zoom or Microsoft Teams and recorded on an external, dedicated, encrypted audio recorder. Interviews lasted between 30-90 minutes but were typically closer to 60 minutes in length. Files were sent for verbatim transcription at a third-party transcription service.</w:t>
      </w:r>
    </w:p>
    <w:p w14:paraId="2AC13F83" w14:textId="77777777" w:rsidR="007873A7" w:rsidRDefault="007873A7" w:rsidP="00525BE0">
      <w:pPr>
        <w:pStyle w:val="Heading3"/>
        <w:jc w:val="both"/>
      </w:pPr>
      <w:bookmarkStart w:id="88" w:name="_Toc85066439"/>
      <w:r>
        <w:t>Data Analysis</w:t>
      </w:r>
      <w:bookmarkEnd w:id="88"/>
    </w:p>
    <w:p w14:paraId="52AE603A" w14:textId="1FE4375D" w:rsidR="007873A7" w:rsidRDefault="007873A7" w:rsidP="00525BE0">
      <w:pPr>
        <w:spacing w:line="360" w:lineRule="auto"/>
        <w:jc w:val="both"/>
      </w:pPr>
      <w:r>
        <w:t xml:space="preserve">Analysis was performed in NVivo 12 software by one coder (JA). Coding logic was independently verified by a second coder (RM). Coding was performed retroductively </w:t>
      </w:r>
      <w:r>
        <w:fldChar w:fldCharType="begin" w:fldLock="1"/>
      </w:r>
      <w:r w:rsidR="00EA4B53">
        <w:instrText>ADDIN CSL_CITATION {"citationItems":[{"id":"ITEM-1","itemData":{"ISSN":"1476-7430","author":[{"dropping-particle":"","family":"Jagosh","given":"Justin","non-dropping-particle":"","parse-names":false,"suffix":""}],"container-title":"Journal of Critical Realism","id":"ITEM-1","issue":"2","issued":{"date-parts":[["2020"]]},"page":"121-130","publisher":"Taylor &amp; Francis","title":"Retroductive theorizing in Pawson and Tilley's applied scientific realism","type":"article-journal","volume":"19"},"uris":["http://www.mendeley.com/documents/?uuid=147b9bea-ca61-4859-aa61-eda517245898"]}],"mendeley":{"formattedCitation":"&lt;sup&gt;142&lt;/sup&gt;","plainTextFormattedCitation":"142","previouslyFormattedCitation":"&lt;sup&gt;142&lt;/sup&gt;"},"properties":{"noteIndex":0},"schema":"https://github.com/citation-style-language/schema/raw/master/csl-citation.json"}</w:instrText>
      </w:r>
      <w:r>
        <w:fldChar w:fldCharType="separate"/>
      </w:r>
      <w:r w:rsidR="00E25884" w:rsidRPr="00E25884">
        <w:rPr>
          <w:noProof/>
          <w:vertAlign w:val="superscript"/>
        </w:rPr>
        <w:t>142</w:t>
      </w:r>
      <w:r>
        <w:fldChar w:fldCharType="end"/>
      </w:r>
      <w:r>
        <w:t xml:space="preserve">. Retroduction uses both inductive and deductive logic </w:t>
      </w:r>
      <w:r>
        <w:fldChar w:fldCharType="begin" w:fldLock="1"/>
      </w:r>
      <w:r w:rsidR="00EA4B53">
        <w:instrText>ADDIN CSL_CITATION {"citationItems":[{"id":"ITEM-1","itemData":{"author":[{"dropping-particle":"","family":"Greenhalgh","given":"Trigh","non-dropping-particle":"","parse-names":false,"suffix":""},{"dropping-particle":"","family":"Pawson","given":"Ray","non-dropping-particle":"","parse-names":false,"suffix":""},{"dropping-particle":"","family":"Wong","given":"Geoff","non-dropping-particle":"","parse-names":false,"suffix":""},{"dropping-particle":"","family":"Westhorp","given":"Gill","non-dropping-particle":"","parse-names":false,"suffix":""},{"dropping-particle":"","family":"Greenhalgh","given":"Joanne","non-dropping-particle":"","parse-names":false,"suffix":""},{"dropping-particle":"","family":"Manzano","given":"Ana","non-dropping-particle":"","parse-names":false,"suffix":""},{"dropping-particle":"","family":"Jagosh","given":"Justin","non-dropping-particle":"","parse-names":false,"suffix":""}],"id":"ITEM-1","issued":{"date-parts":[["2017"]]},"title":"Retroduction in realist evaluation: The RAMESES II Project","type":"report"},"uris":["http://www.mendeley.com/documents/?uuid=af0b9bbd-c6dd-4536-8d1e-f830abd2f82a"]}],"mendeley":{"formattedCitation":"&lt;sup&gt;143&lt;/sup&gt;","plainTextFormattedCitation":"143","previouslyFormattedCitation":"&lt;sup&gt;143&lt;/sup&gt;"},"properties":{"noteIndex":0},"schema":"https://github.com/citation-style-language/schema/raw/master/csl-citation.json"}</w:instrText>
      </w:r>
      <w:r>
        <w:fldChar w:fldCharType="separate"/>
      </w:r>
      <w:r w:rsidR="00E25884" w:rsidRPr="00E25884">
        <w:rPr>
          <w:noProof/>
          <w:vertAlign w:val="superscript"/>
        </w:rPr>
        <w:t>143</w:t>
      </w:r>
      <w:r>
        <w:fldChar w:fldCharType="end"/>
      </w:r>
      <w:r>
        <w:t xml:space="preserve">. It involves thinking through what causal powers might be at work in producing observed patterns or changes in patterns. It is underpinned by a belief that an understanding of causation cannot be achieved using only observable evidence. Use of retroduction meant that analysis was done in a deductive manner for features relating to our existing realist theory, however, for better sorting and understanding of themes, codes within higher-order codes were created inductively where commonalities were identified </w:t>
      </w:r>
      <w:r>
        <w:fldChar w:fldCharType="begin" w:fldLock="1"/>
      </w:r>
      <w:r w:rsidR="00EA4B53">
        <w:instrText>ADDIN CSL_CITATION {"citationItems":[{"id":"ITEM-1","itemData":{"DOI":"10.1080/13645579.2020.1803528","ISSN":"14645300","abstract":"There have been several calls for more transparency in realist methods, particularly in the complex process of programme theory development and refinement. This paper will describe the way in which Computer Assisted Qualitative Data Analysis Software, specifically, NUD*IST Vivo (NVivo), was used to build and refine programme theories (using literature and interview data) in a realist evaluation. This article presents the evolving and complex process of coding several data sources to nodes and child nodes, whilst writing ‘attached memos’ to highlight the process of theory generation. In this project, NVivo helped create an explicitly documented and evidenced audit trail of the process of programme theory refinement, answering to calls for further transparency in realist analysis. RAMESES I and II have provided a platform to improve transparency in reporting realist research, by developing consensus and evidence-based reporting guidelines. We propose that the use of NVivo in realist approaches can help structure the iterative and by nature ‘messy’ process of generating, refining and testing complex programme theories when drawing on multiple data sources simultaneously. This effectively creates a structured track record of the analytical process, which increases its rigour and transparency.","author":[{"dropping-particle":"","family":"Dalkin","given":"Sonia","non-dropping-particle":"","parse-names":false,"suffix":""},{"dropping-particle":"","family":"Forster","given":"Natalie","non-dropping-particle":"","parse-names":false,"suffix":""},{"dropping-particle":"","family":"Hodgson","given":"Philip","non-dropping-particle":"","parse-names":false,"suffix":""},{"dropping-particle":"","family":"Lhussier","given":"Monique","non-dropping-particle":"","parse-names":false,"suffix":""},{"dropping-particle":"","family":"Carr","given":"Susan M.","non-dropping-particle":"","parse-names":false,"suffix":""}],"container-title":"International Journal of Social Research Methodology","id":"ITEM-1","issue":"1","issued":{"date-parts":[["2021"]]},"page":"123-134","publisher":"Routledge","title":"Using computer assisted qualitative data analysis software (CAQDAS; NVivo) to assist in the complex process of realist theory generation, refinement and testing","type":"article-journal","volume":"24"},"uris":["http://www.mendeley.com/documents/?uuid=ed34a917-24df-461e-b8e4-7ebbdd2c035f"]}],"mendeley":{"formattedCitation":"&lt;sup&gt;144&lt;/sup&gt;","plainTextFormattedCitation":"144","previouslyFormattedCitation":"&lt;sup&gt;144&lt;/sup&gt;"},"properties":{"noteIndex":0},"schema":"https://github.com/citation-style-language/schema/raw/master/csl-citation.json"}</w:instrText>
      </w:r>
      <w:r>
        <w:fldChar w:fldCharType="separate"/>
      </w:r>
      <w:r w:rsidR="00E25884" w:rsidRPr="00E25884">
        <w:rPr>
          <w:noProof/>
          <w:vertAlign w:val="superscript"/>
        </w:rPr>
        <w:t>144</w:t>
      </w:r>
      <w:r>
        <w:fldChar w:fldCharType="end"/>
      </w:r>
      <w:r>
        <w:t xml:space="preserve">. </w:t>
      </w:r>
    </w:p>
    <w:p w14:paraId="06AE7088" w14:textId="447F0C5A" w:rsidR="007873A7" w:rsidRDefault="007873A7" w:rsidP="00525BE0">
      <w:pPr>
        <w:spacing w:line="360" w:lineRule="auto"/>
        <w:jc w:val="both"/>
      </w:pPr>
      <w:r>
        <w:t xml:space="preserve">For the collaborative performance analysis, the </w:t>
      </w:r>
      <w:r w:rsidR="00467962">
        <w:t>f</w:t>
      </w:r>
      <w:r>
        <w:t>ramework of</w:t>
      </w:r>
      <w:r w:rsidRPr="003F7EC3">
        <w:t xml:space="preserve"> cultural efficacy, technological effectiveness, and organisational efficiency</w:t>
      </w:r>
      <w:r>
        <w:t xml:space="preserve"> was used as broad codes in the interpretation of the results and the mechanisms identified. As such, higher-order codes for excerpts relating to cultural efficacy, technological effectiveness, and organisational efficiency were created prior to the start of coding. However, within these higher-order categories, we inductively created sub-codes for excerpts that supported various concepts, such as ‘communication’, ‘improved reputation’, etc., as demi-regularities (or semi-predictable CMOC patterns) were identified in the transcripts. Within the codes for these concepts, we then analysed the excerpts for identifiable connections and outcomes to formulate the explicit CMOCs. Transcripts themselves were not anonymised, as the coders were also the interviewers, rather, any information that would identify participants was withheld from this final </w:t>
      </w:r>
      <w:r w:rsidR="00002F10">
        <w:t>report</w:t>
      </w:r>
      <w:r>
        <w:t xml:space="preserve">. </w:t>
      </w:r>
    </w:p>
    <w:p w14:paraId="6D1FD49D" w14:textId="77777777" w:rsidR="007873A7" w:rsidRDefault="007873A7" w:rsidP="00525BE0">
      <w:pPr>
        <w:jc w:val="both"/>
      </w:pPr>
    </w:p>
    <w:p w14:paraId="06CA34C7" w14:textId="77777777" w:rsidR="00871386" w:rsidRDefault="00871386" w:rsidP="00525BE0">
      <w:pPr>
        <w:spacing w:line="360" w:lineRule="auto"/>
        <w:jc w:val="both"/>
        <w:rPr>
          <w:rFonts w:cstheme="minorHAnsi"/>
        </w:rPr>
        <w:sectPr w:rsidR="00871386">
          <w:pgSz w:w="11906" w:h="16838"/>
          <w:pgMar w:top="1440" w:right="1440" w:bottom="1440" w:left="1440" w:header="708" w:footer="708" w:gutter="0"/>
          <w:cols w:space="708"/>
          <w:docGrid w:linePitch="360"/>
        </w:sectPr>
      </w:pPr>
    </w:p>
    <w:p w14:paraId="35429B46" w14:textId="0C0102C9" w:rsidR="00EE501D" w:rsidRDefault="00481C0B" w:rsidP="00525BE0">
      <w:pPr>
        <w:pStyle w:val="Heading1"/>
        <w:jc w:val="both"/>
      </w:pPr>
      <w:bookmarkStart w:id="89" w:name="_Toc85066440"/>
      <w:r>
        <w:t xml:space="preserve">Chapter 4: </w:t>
      </w:r>
      <w:r w:rsidR="00EE501D" w:rsidRPr="008B0E47">
        <w:t>How do inter-organisational collaborations in healthcare work, why, and whom do they benefit? A realist synthesis</w:t>
      </w:r>
      <w:bookmarkEnd w:id="89"/>
    </w:p>
    <w:p w14:paraId="6AD8A483" w14:textId="77777777" w:rsidR="00642806" w:rsidRDefault="00642806" w:rsidP="00525BE0">
      <w:pPr>
        <w:spacing w:line="360" w:lineRule="auto"/>
        <w:jc w:val="both"/>
      </w:pPr>
    </w:p>
    <w:p w14:paraId="0CCBF004" w14:textId="4B3D24FE" w:rsidR="00EE501D" w:rsidRDefault="00EE501D" w:rsidP="00525BE0">
      <w:pPr>
        <w:spacing w:line="360" w:lineRule="auto"/>
        <w:jc w:val="both"/>
      </w:pPr>
      <w:r>
        <w:t>The purpose of this chapter is to present findings from the second and third stage of this realist synthesis (figure 1). Drawing</w:t>
      </w:r>
      <w:r w:rsidRPr="0005366A">
        <w:t xml:space="preserve"> </w:t>
      </w:r>
      <w:r>
        <w:t>on reviews, middle-range theories,</w:t>
      </w:r>
      <w:r w:rsidRPr="0005366A">
        <w:t xml:space="preserve"> </w:t>
      </w:r>
      <w:r>
        <w:t xml:space="preserve">and </w:t>
      </w:r>
      <w:r w:rsidRPr="0005366A">
        <w:t>case stud</w:t>
      </w:r>
      <w:r>
        <w:t>ies</w:t>
      </w:r>
      <w:r w:rsidRPr="0005366A">
        <w:t xml:space="preserve"> and organisational evaluation literature</w:t>
      </w:r>
      <w:r>
        <w:t xml:space="preserve">, we aim to glean initial CMOCs and test these CMOCs against case study literature. </w:t>
      </w:r>
      <w:r w:rsidR="0069225B">
        <w:t>In doing so, t</w:t>
      </w:r>
      <w:r>
        <w:t xml:space="preserve">he </w:t>
      </w:r>
      <w:r w:rsidR="0069225B">
        <w:t>chapter seeks</w:t>
      </w:r>
      <w:r>
        <w:t xml:space="preserve"> to better understand how CMOC configurations of inter-organisational collaboration are chained together causally and how differences between contexts affect their implementation. </w:t>
      </w:r>
      <w:r w:rsidR="000458C5">
        <w:t>It</w:t>
      </w:r>
      <w:r>
        <w:t xml:space="preserve"> will present a refined programme theory explaining how, why</w:t>
      </w:r>
      <w:r w:rsidR="000458C5">
        <w:t>,</w:t>
      </w:r>
      <w:r>
        <w:t xml:space="preserve"> and for whom inter-organisational collaborations in healthcare work.</w:t>
      </w:r>
    </w:p>
    <w:p w14:paraId="06C38C5E" w14:textId="4AB65089" w:rsidR="00EE501D" w:rsidRDefault="004F22C1" w:rsidP="00525BE0">
      <w:pPr>
        <w:spacing w:line="360" w:lineRule="auto"/>
        <w:jc w:val="both"/>
      </w:pPr>
      <w:bookmarkStart w:id="90" w:name="_Hlk104928060"/>
      <w:r>
        <w:t>Excerpts of</w:t>
      </w:r>
      <w:r w:rsidRPr="004F22C1">
        <w:t xml:space="preserve"> th</w:t>
      </w:r>
      <w:r>
        <w:t>e</w:t>
      </w:r>
      <w:r w:rsidRPr="004F22C1">
        <w:t xml:space="preserve"> chapter ha</w:t>
      </w:r>
      <w:r>
        <w:t>ve</w:t>
      </w:r>
      <w:r w:rsidRPr="004F22C1">
        <w:t xml:space="preserve"> been reproduced from </w:t>
      </w:r>
      <w:r>
        <w:t xml:space="preserve">Aunger et al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review","type":"article-journal","volume":"10"},"uris":["http://www.mendeley.com/documents/?uuid=4c2502ce-f262-41ce-80f9-fb7d74555f78"]},{"id":"ITEM-2","itemData":{"DOI":"10.1186/s12913-021-06630-x","author":[{"dropping-particle":"","family":"Aunger","given":"Justin Avery","non-dropping-particle":"","parse-names":false,"suffix":""},{"dropping-particle":"","family":"Millar","given":"Ross","non-dropping-particle":"","parse-names":false,"suffix":""},{"dropping-particle":"","family":"Greenhalgh","given":"Joanne","non-dropping-particle":"","parse-names":false,"suffix":""}],"container-title":"BMC Health Services Research","id":"ITEM-2","issue":"602","issued":{"date-parts":[["2021"]]},"title":"When trust, confidence, and faith collide: refining a realist theory of how and why inter-organisational collaborations in healthcare work","type":"article-journal","volume":"21"},"uris":["http://www.mendeley.com/documents/?uuid=09b12ed0-f45f-442a-9890-205c3566f0e8"]}],"mendeley":{"formattedCitation":"&lt;sup&gt;135,138&lt;/sup&gt;","plainTextFormattedCitation":"135,138","previouslyFormattedCitation":"&lt;sup&gt;135,138&lt;/sup&gt;"},"properties":{"noteIndex":0},"schema":"https://github.com/citation-style-language/schema/raw/master/csl-citation.json"}</w:instrText>
      </w:r>
      <w:r>
        <w:fldChar w:fldCharType="separate"/>
      </w:r>
      <w:r w:rsidR="006A5B59" w:rsidRPr="006A5B59">
        <w:rPr>
          <w:noProof/>
          <w:vertAlign w:val="superscript"/>
        </w:rPr>
        <w:t>135,138</w:t>
      </w:r>
      <w:r>
        <w:fldChar w:fldCharType="end"/>
      </w:r>
      <w:r w:rsidRPr="004F22C1">
        <w:t xml:space="preserve"> published under the Creative Commons Attribution License (CC BY 4.0), which permits unrestricted use, distribution and reproduction in any medium, provided the original work is properly cited (https://creativecommons.org/licenses/by/4.0/).</w:t>
      </w:r>
    </w:p>
    <w:p w14:paraId="16ECAD7F" w14:textId="77777777" w:rsidR="00EE501D" w:rsidRPr="007103B5" w:rsidRDefault="00EE501D" w:rsidP="00525BE0">
      <w:pPr>
        <w:pStyle w:val="Heading3"/>
        <w:jc w:val="both"/>
      </w:pPr>
      <w:bookmarkStart w:id="91" w:name="_Toc85066441"/>
      <w:bookmarkEnd w:id="90"/>
      <w:r>
        <w:t>Paper selection</w:t>
      </w:r>
      <w:bookmarkEnd w:id="91"/>
    </w:p>
    <w:p w14:paraId="10C88F39" w14:textId="77777777" w:rsidR="00EE501D" w:rsidRPr="007103B5" w:rsidRDefault="00EE501D" w:rsidP="00525BE0">
      <w:pPr>
        <w:pStyle w:val="Heading4"/>
        <w:spacing w:line="360" w:lineRule="auto"/>
        <w:jc w:val="both"/>
      </w:pPr>
      <w:r>
        <w:t>Theory gleaning searches</w:t>
      </w:r>
    </w:p>
    <w:p w14:paraId="792B2604" w14:textId="1B9CCA55" w:rsidR="00EE501D" w:rsidRDefault="00EE501D" w:rsidP="00525BE0">
      <w:pPr>
        <w:spacing w:line="360" w:lineRule="auto"/>
        <w:jc w:val="both"/>
      </w:pPr>
      <w:r w:rsidRPr="00BC341A">
        <w:t>From the systematic search, a total of 2769 titles and abstracts were screened, which were filtered down to 117 full texts. The Google Scholar searches conducted on 11.03.20 produced 426,000 results on this specific day, and the first 40 pages of results were screened, resulting in four further papers. At this stage, 52 papers were included (figure 1).</w:t>
      </w:r>
      <w:r>
        <w:t xml:space="preserve"> </w:t>
      </w:r>
      <w:r w:rsidRPr="00BC341A">
        <w:t xml:space="preserve">These were then screened for relevancy, i.e. whether these papers included sufficient descriptive depth regarding contextual factors, mechanisms, and outcomes underlying inter-organisational collaboration, which resulted in 35 included papers. </w:t>
      </w:r>
      <w:r w:rsidRPr="00457B98">
        <w:t>Reference scanning and citation tracking resulted in a further four papers, giving a total of 3</w:t>
      </w:r>
      <w:r>
        <w:t>9</w:t>
      </w:r>
      <w:r w:rsidRPr="00457B98">
        <w:t xml:space="preserve"> papers included in t</w:t>
      </w:r>
      <w:r>
        <w:t xml:space="preserve">he theory gleaning </w:t>
      </w:r>
      <w:r w:rsidRPr="00457B98">
        <w:t>analysis (figure 1)</w:t>
      </w:r>
      <w:r>
        <w:t xml:space="preserve">. </w:t>
      </w:r>
      <w:r w:rsidRPr="00BC341A">
        <w:t xml:space="preserve">Agreement between independent reviewers was 100%. Fourteen purposively identified papers were also drawn upon, which outlined </w:t>
      </w:r>
      <w:r w:rsidR="00F61325">
        <w:t xml:space="preserve">the </w:t>
      </w:r>
      <w:r w:rsidRPr="00BC341A">
        <w:t>MRTs used to elucidate the workings of mechanisms, bringing the total number of papers</w:t>
      </w:r>
      <w:r>
        <w:t xml:space="preserve"> </w:t>
      </w:r>
      <w:r w:rsidRPr="00BC341A">
        <w:t xml:space="preserve">included </w:t>
      </w:r>
      <w:r>
        <w:t>in the gleaning phase</w:t>
      </w:r>
      <w:r w:rsidRPr="00BC341A">
        <w:t xml:space="preserve"> to 53.</w:t>
      </w:r>
    </w:p>
    <w:p w14:paraId="075E5D05" w14:textId="77777777" w:rsidR="00EE501D" w:rsidRDefault="00EE501D" w:rsidP="00525BE0">
      <w:pPr>
        <w:pStyle w:val="Heading4"/>
        <w:jc w:val="both"/>
      </w:pPr>
      <w:r>
        <w:t>Theory refinement searches</w:t>
      </w:r>
    </w:p>
    <w:p w14:paraId="4A233C24" w14:textId="77777777" w:rsidR="00EE501D" w:rsidRDefault="00EE501D" w:rsidP="00525BE0">
      <w:pPr>
        <w:spacing w:line="360" w:lineRule="auto"/>
        <w:jc w:val="both"/>
      </w:pPr>
      <w:r>
        <w:t>For the new systematic search, the Social Policy and Practice database search identified 2144 papers, or 1092 after deduplication against our existing literature library for this project (please see additional file 1 for the full details of this search strategy). Abstracts were then screened for relevance and 104 remained. At this point, papers were most frequently excluded due to not being related to inter-organisational collaborations, or for not being case studies. After full text screening, 48 papers were considered eligible for the review, but, after screening for relevance and rigour, only 13 of these were included. All those removed were due to being insufficiently descriptive (lacking relevance). The searches on the websites of the King’s Fund, the National Institute for Care Excellence, the Nuffield Trust and Health Foundation, and NHS Employers resulted in an additional 15 papers. Thirteen of these were included after two were removed for lack of relevance. Two further studies were identified through citation tracking and a final paper was identified in a department newsletter after the search was completed. Four other papers were also brought over upon rescreening of studies from the Gleaning phase. As a result, 33 total unique papers were included in this theory refinement portion of this realist synthesis.</w:t>
      </w:r>
    </w:p>
    <w:p w14:paraId="44C71B2D" w14:textId="77777777" w:rsidR="00EE501D" w:rsidRDefault="00EE501D" w:rsidP="00525BE0">
      <w:pPr>
        <w:pStyle w:val="Heading3"/>
        <w:jc w:val="both"/>
      </w:pPr>
      <w:bookmarkStart w:id="92" w:name="_Toc85066442"/>
      <w:r>
        <w:t>Literature characteristics</w:t>
      </w:r>
      <w:bookmarkEnd w:id="92"/>
    </w:p>
    <w:p w14:paraId="256A6EFB" w14:textId="545492B0" w:rsidR="00EE501D" w:rsidRDefault="00EE501D" w:rsidP="00525BE0">
      <w:pPr>
        <w:spacing w:line="360" w:lineRule="auto"/>
        <w:jc w:val="both"/>
      </w:pPr>
      <w:r>
        <w:t xml:space="preserve">When the theory gleaning and refinement stages were combined, this brought the total number of studies to 86 (figure </w:t>
      </w:r>
      <w:r w:rsidR="00A15DEF">
        <w:t>1</w:t>
      </w:r>
      <w:r w:rsidR="00002F10">
        <w:t>0</w:t>
      </w:r>
      <w:r>
        <w:t xml:space="preserve">). Papers in the literature covered a wide range of inter-organisational collaboration types, visible in table </w:t>
      </w:r>
      <w:r w:rsidR="003B1A8C">
        <w:t>5</w:t>
      </w:r>
      <w:r>
        <w:t xml:space="preserve">. These included 55 case studies, evaluative reports, or case control studies, 16 reviews, and one briefing </w:t>
      </w:r>
      <w:r>
        <w:fldChar w:fldCharType="begin" w:fldLock="1"/>
      </w:r>
      <w:r w:rsidR="00804189">
        <w:instrText>ADDIN CSL_CITATION {"citationItems":[{"id":"ITEM-1","itemData":{"DOI":"10.1080/15433714.2014.997094","ISSN":"23761415","abstract":"Social work programs are experiencing unprecedented organizational changes due to budget cuts, dwindling resources, global, and technological challenges. However, there is limited information in the literature about the merger experiences of faculty in social work programs. On one hand undergoing merger and reorganization provides the opportunity to reorganize, reprioritize, re-assess, develop strategies, and explore previously untapped opportunities for social work programs. Conversely, merger experiences have caused frustration, intention to quit, confusion, and loss of professional identity for social work faculty. In this article the authors utilize a journaling method and sense-making approach of the merger experiences of some of the faculty members of a social work program in the United States. The authors suggest a framework to understand how the faculty confronted the challenges, overcame the pitfalls, and maximized the opportunities offered during the merger and organizational change process.","author":[{"dropping-particle":"","family":"Adedoyin","given":"A. Christson","non-dropping-particle":"","parse-names":false,"suffix":""},{"dropping-particle":"","family":"Miller","given":"Monte","non-dropping-particle":"","parse-names":false,"suffix":""},{"dropping-particle":"","family":"Jackson","given":"Mary S.","non-dropping-particle":"","parse-names":false,"suffix":""},{"dropping-particle":"","family":"Dodor","given":"Bernice","non-dropping-particle":"","parse-names":false,"suffix":""},{"dropping-particle":"","family":"Hall","given":"Kristen","non-dropping-particle":"","parse-names":false,"suffix":""}],"container-title":"Journal of Evidence-Informed Social Work","id":"ITEM-1","issue":"1","issued":{"date-parts":[["2016"]]},"page":"87-98","title":"Faculty experiences of merger and organizational change in a social work program","type":"article-journal","volume":"13"},"uris":["http://www.mendeley.com/documents/?uuid=0181fc24-2668-431c-b615-38ff14d2497a"]},{"id":"ITEM-2","itemData":{"DOI":"10.1136/bmjopen-2016-011745","ISSN":"20446055","PMID":"28183806","abstract":"Objective: The Health and Social Care Act 2012 ('HSCA 2012') introduced a new, statutory, form of regulation of competition into the National Health Service (NHS), while at the same time recognising that cooperation was necessary. NHS England's policy document, The Five Year Forward View ('5YFV') of 2014 placed less emphasis on competition without altering the legislation. We explored how commissioners and providers understand the complex regulatory framework, and how they behave in relation to competition and cooperation. Design: We carried out detailed case studies in four clinical commissioning groups, using interviews and documentary analysis to explore the commissioners'and providers' understanding and experience of competition and cooperation. Setting/participants: We conducted 42 interviews with senior managers in commissioning organizations and senior managers in NHS and independent provider organisations (acute and community services). Results: Neither commissioners nor providers fully understand the regulatory regime in respect of competition in the NHS, and have not found that the regulatory authorities have provided adequate guidance. Despite the HSCA 2012 promoting competition, commissioners chose mainly to use collaborative strategies to effect major service reconfigurations, which is endorsed as a suitable approach by providers. Nevertheless, commissioners are using competitive tendering in respect of more peripheral services in order to improve quality of care and value for money. Conclusions: Commissioners regard the use of competition and cooperation as appropriate in the NHS currently, although collaborative strategies appear more helpful in respect of large-scale changes. However, the current regulatory framework contained in the HSCA 2012, particularly since the publication of the 5YFV, is not clear. Better guidance should be issued by the regulatory authorities.","author":[{"dropping-particle":"","family":"Allen","given":"Pauline","non-dropping-particle":"","parse-names":false,"suffix":""},{"dropping-particle":"","family":"Osipovič","given":"Dorota","non-dropping-particle":"","parse-names":false,"suffix":""},{"dropping-particle":"","family":"Shepherd","given":"Elizabeth","non-dropping-particle":"","parse-names":false,"suffix":""},{"dropping-particle":"","family":"Coleman","given":"Anna","non-dropping-particle":"","parse-names":false,"suffix":""},{"dropping-particle":"","family":"Perkins","given":"Neil","non-dropping-particle":"","parse-names":false,"suffix":""},{"dropping-particle":"","family":"Garnett","given":"Emma","non-dropping-particle":"","parse-names":false,"suffix":""},{"dropping-particle":"","family":"Williams","given":"Lorraine","non-dropping-particle":"","parse-names":false,"suffix":""}],"container-title":"BMJ Open","id":"ITEM-2","issue":"2","issued":{"date-parts":[["2016"]]},"note":"From Duplicate 1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1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2 (Commissioning through competition and cooperation: final report - Pauline, ALLEN; al, et)\n\nNot relevant to partnerships\n\nFrom Duplicate 2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1 (Commissioning through competition and cooperation: final report - Allen, Pauline)\n\nNot relevant to partnerships\n\nFrom Duplicate 2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1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2 (Commissioning through competition and cooperation: final report - Pauline, ALLEN; al, et)\n\nNot relevant to partnerships","page":"1-13","publisher":"PRUComm","publisher-place":"London","title":"Commissioning through competition and cooperation in the English NHS under the Health and Social Care Act 2012: Evidence from a qualitative study of four clinical commissioning groups","type":"article-journal","volume":"7"},"uris":["http://www.mendeley.com/documents/?uuid=bfb667d3-9d74-4417-b595-f1912c90acd9"]},{"id":"ITEM-3","itemData":{"DOI":"10.5334/ijic.3068","ISSN":"15684156","abstract":"Introduction: In recent years, inter-organisational collaboration between healthcare organisations has become of increasingly vital importance in order to improve the integration of health service delivery. However, different barriers reported in academic literature seem to hinder the formation and development of such collaboration. Theory and methods: This systematic literature review of forty studies summarises and categorises the barriers to integrated care in inter-organisational settings as reported in previous studies. It analyses how these barriers operate. Results: Within these studies, twenty types of barriers have been identified and then categorised in six groups (barriers related to administration and regulation, barriers related to funding, barriers related to the inter-organisational domain, barriers related to the organisational domain, barriers related to service delivery, and barriers related to clinical practices). Not all of these barriers emerge passively, some are set up intentionally. They are not only context-specific, but are also often related and influence each other. Discussion and conclusion: The compilation of these results allows for a better understanding of the characteristics and reasons for the occurrence of barriers that impede collaboration aiming for the integration of care, not only for researchers but also for practitioners. It can help to explain and counteract the slow progress and limited efficiency and effectiveness of some of the inter-organisational collaboration in healthcare settings.","author":[{"dropping-particle":"","family":"Auschra","given":"Carolin","non-dropping-particle":"","parse-names":false,"suffix":""}],"container-title":"International Journal of Integrated Care","id":"ITEM-3","issue":"1","issued":{"date-parts":[["2018"]]},"note":"From Duplicate 2 (Barriers to the integration of care in inter-organisational settings: a literature review - Carolin, AUSCHRA)\n\nUseful review of inter-organisational factors which hinder joint working","page":"1-14","publisher":"International Foundation for Integrated Care","title":"Barriers to the integration of care in inter-organisational settings: a literature review","type":"article-journal","volume":"18"},"uris":["http://www.mendeley.com/documents/?uuid=dbe1602a-b818-4478-808a-1caa27a3d8fa"]},{"id":"ITEM-4","itemData":{"ISSN":"0952-0767","author":[{"dropping-particle":"","family":"Ball","given":"Rob","non-dropping-particle":"","parse-names":false,"suffix":""},{"dropping-particle":"","family":"Forbes","given":"Tom","non-dropping-particle":"","parse-names":false,"suffix":""},{"dropping-particle":"","family":"Parris","given":"Maxine","non-dropping-particle":"","parse-names":false,"suffix":""},{"dropping-particle":"","family":"Forsyth","given":"Lynn","non-dropping-particle":"","parse-names":false,"suffix":""}],"container-title":"Public Policy and Administration","id":"ITEM-4","issue":"4","issued":{"date-parts":[["2010"]]},"page":"387-407","publisher":"SAGE Publications Sage UK: London, England","title":"The evaluation of partnership working in the delivery of health and social care","type":"article-journal","volume":"25"},"uris":["http://www.mendeley.com/documents/?uuid=c39914cc-de3e-4eef-b91f-5f2be69824db"]},{"id":"ITEM-5","itemData":{"DOI":"10.1002/cb.1444/abstract.","abstract":"There has been continued debate regarding competing models with respect to predicting use of social networking services. In this research the authors conceptualize and empirically test a model that combines constructs from the Technology Acceptance Model (TAM) and the Theory of Planned Behavior (TPB) together along with (1) a moderator between the two models, (2) perceived risk, and (3) trust. The empirical results support the hypothesis that perceived ease of use (from TAM theory) significantly amplifies (positively moderates) the effect of perceived behavioral control (from TPB theory) on intention to use the social networks for transactions. In short, there are benefits to integrating concepts from the two models instead of choosing one model over the other in research and practice. The results also indicate that perceived risk and trust play significant roles as antecedents in consumer decision making, and that risk-taking propensity has a direct effect on behavioral intention. Keywords:","author":[{"dropping-particle":"","family":"Billings","given":"Jenny R","non-dropping-particle":"","parse-names":false,"suffix":""},{"dropping-particle":"","family":"Weger","given":"Esther","non-dropping-particle":"De","parse-names":false,"suffix":""}],"container-title":"Journal of Integrated Care","id":"ITEM-5","issue":"3","issued":{"date-parts":[["2015"]]},"page":"153-175","title":"Contracting for integrated health and social care: a critical review of four models","type":"article-journal","volume":"23"},"uris":["http://www.mendeley.com/documents/?uuid=5b01a0ae-117b-44f1-b1bd-a0770cf578f4"]},{"id":"ITEM-6","itemData":{"ISSN":"0966-0410","abstract":"This article reports the results of a review of the research evidence related to joint working in the field of adult health and social care services in the UK. It explores whether recent reforms to joint working have met the objectives set by policy-makers. The review followed an established methodology: electronic databases were searched using predetermined terms, abstracts were screened against inclusion criteria, studies that met the criteria were read in full and assessed for inclusion and data were extracted systematically. The findings of the review suggest that there is some indication that recent developments, in particular the drive to greater integration of services, may have positive benefits for organisations as well as for users and carers of services. However, the evidence consistently reports a lack of understanding about the aims and objectives of integration, suggesting that more work needs to be done if the full potential of the renewed policy agenda on integration is to be realised. Additionally, while the review acknowledges that greater emphasis has been placed on evaluating the outcome of joint working, studies largely report small-scale evaluations of local initiatives and few are comparative in design and therefore differences between 'usual care' and integrated care are not assessed. This makes it difficult to draw firm conclusions about the effectiveness of UK-based integrated health and social care services. [Abstract]","author":[{"dropping-particle":"","family":"Cameron","given":"Ailisa","non-dropping-particle":"","parse-names":false,"suffix":""},{"dropping-particle":"","family":"Lart","given":"Rachel","non-dropping-particle":"","parse-names":false,"suffix":""},{"dropping-particle":"","family":"Bostock","given":"Lisa","non-dropping-particle":"","parse-names":false,"suffix":""}],"container-title":"Health and Social Care in the Community","id":"ITEM-6","issue":"3","issued":{"date-parts":[["2014"]]},"note":"Focused on integration, but covers elements which overlap with partnerships","page":"225-233","publisher":"2014","title":"Factors that promote and hinder joint and integrated working between health and social care services : a review of research literature.","type":"article-journal","volume":"22"},"uris":["http://www.mendeley.com/documents/?uuid=f783fcf6-45d7-4eb8-bd73-10eaa1f92f30"]},{"id":"ITEM-7","itemData":{"DOI":"10.2307/j.ctt1t89ccq.10","author":[{"dropping-particle":"","family":"Care Quality Commission","given":"","non-dropping-particle":"","parse-names":false,"suffix":""}],"id":"ITEM-7","issue":"October","issued":{"date-parts":[["2017"]]},"note":"From Duplicate 1 (Partnership working to deliver health and social care in cornwall - Care Quality Commission)\n\nFrom Duplicate 1 (Partnership working to deliver health and social care in Cornwall. Responding to a risk or priority in an area - COMMISSION, CARE QUALITY)\n\nToo related to integration\n\nFrom Duplicate 2 (Partnership working to deliver health and social care in Cornwall. Responding to a risk or priority in an area - COMMISSION, CARE QUALITY)\n\nToo related to integration","number-of-pages":"1-33","publisher":"Care Quality Commission","publisher-place":"Newcastle upon Tyne","title":"Partnership working to deliver health and social care in cornwall","type":"report"},"uris":["http://www.mendeley.com/documents/?uuid=e2921a29-33aa-4482-93b4-0389a5107b04"]},{"id":"ITEM-8","itemData":{"DOI":"10.1111/j.1365-2934.2007.00771.x","ISSN":"09660429","abstract":"Aim Key factors of successful interorganizational partnerships are applied to the context of nursing and midwifery education. Background Reports in nursing education emphasize the need for more collaborative partnerships between the education and healthcare sectors of nursing and midwifery education. Evaluation There is little research examining the implementation of interorganizational relationships particularly in nursing.Key issues Key success factors are grouped into seven areas of trust and valuing the partner, leadership and managing change, a partnership framework, communication and interaction, equity and involvement in decision making, power and the role of partnership coordinator.Conclusion There is a need for contextual research in relation to implementing partnership in nursing and midwifery. Implications Partnership arrangements are essential for quality nursing and midwifery education. This article adds knowledge by way of application of these factors to organizations that provide nursing and midwifery education. Nurse managers have an important role in determining the quality of learning experience within the health service. It is essential, therefore that both nurse managers and nurse educationalist know the key factors which promote successful interoganizational relationships to ensure these factors are manifest in practice. © 2008 Blackwell Publishing Ltd.","author":[{"dropping-particle":"","family":"Casey","given":"Mary","non-dropping-particle":"","parse-names":false,"suffix":""}],"container-title":"Journal of Nursing Management","id":"ITEM-8","issue":"1","issued":{"date-parts":[["2008"]]},"page":"72-83","title":"Partnership - Success factors of interorganizational relationships","type":"article-journal","volume":"16"},"uris":["http://www.mendeley.com/documents/?uuid=153eb097-365e-4bd0-956f-00473a46ed98"]},{"id":"ITEM-9","itemData":{"DOI":"10.1108/14777260310469283","ISSN":"14777266","abstract":"Since 1990 the National Health Service (NHS) has undergone a sustained period of change. This change has been necessary to prepare the NHS for the task of meeting a demand for services that continues to rise more rapidly than the availability of resources. Anecdotal evidence suggests that one of the most popular ways for trusts to improve their ability to meet demand is through mergers with other trusts. However, little rigorous research has been conducted to assess the extent or effectiveness of this strategy. A research project was, therefore, initiated to better understand the extent and impact of merger activity within the NHS. A questionnaire was developed and distributed to the chief executive, finance director, medical director and human resources director in all the 460 trusts that are currently members of the NHS confederation. In total the survey generated 459 responses out of a possible total of 1,840; an encouraging response rate of 25 per cent. The results of this research provide significant new evidence that “merger mania” has taken hold within the NHS. While 46 per cent of all responding trusts indicated that they had already merged, are actively involved in a merger, proposing to merge or are talking to prospective partners, a further 18.7 per cent of all trusts are forming strategic alliances rather than opting for a full merger. The dominant justification for merging are the beliefs that it will facilitate the reconfiguration of services and ultimately improve patient care. The paper concludes with a discussion of the significance of these results, before making recommendations with regard to their implications for future merger activity within the NHS. © 2003, MCB UP Limited","author":[{"dropping-particle":"","family":"Cereste","given":"Marco","non-dropping-particle":"","parse-names":false,"suffix":""},{"dropping-particle":"","family":"Doherty","given":"Neil F.","non-dropping-particle":"","parse-names":false,"suffix":""},{"dropping-particle":"","family":"Travers","given":"Cheryl J.","non-dropping-particle":"","parse-names":false,"suffix":""}],"container-title":"Journal of Health Organization and Management","id":"ITEM-9","issue":"1","issued":{"date-parts":[["2003"]]},"page":"6-24","title":"An investigation into the level and impact of merger activity amongst hospitals in the UK's National Health Service","type":"article-journal","volume":"17"},"uris":["http://www.mendeley.com/documents/?uuid=429500c3-899a-4ae0-a8d2-0e628e2d6c06"]},{"id":"ITEM-10","itemData":{"author":[{"dropping-particle":"","family":"Community Network","given":"","non-dropping-particle":"","parse-names":false,"suffix":""}],"id":"ITEM-10","issue":"July","issued":{"date-parts":[["2020"]]},"title":"Delivering neighbourhood-level integrated care in Haringey and Islington","type":"article-journal"},"uris":["http://www.mendeley.com/documents/?uuid=c05e582e-81c3-408f-b819-37cac2ef0b84"]},{"id":"ITEM-11","itemData":{"author":[{"dropping-particle":"","family":"Community Network","given":"","non-dropping-particle":"","parse-names":false,"suffix":""}],"id":"ITEM-11","issue":"July","issued":{"date-parts":[["2020"]]},"title":"Delivering neighbourhood-level integrated care in Norfolk","type":"article-journal"},"uris":["http://www.mendeley.com/documents/?uuid=45e1b139-68df-4d37-ad91-9186aee0215b"]},{"id":"ITEM-12","itemData":{"author":[{"dropping-particle":"","family":"Community Network","given":"","non-dropping-particle":"","parse-names":false,"suffix":""}],"id":"ITEM-12","issue":"July","issued":{"date-parts":[["2020"]]},"title":"Delivering neighbourhood-level integrated care in Luton","type":"article-journal"},"uris":["http://www.mendeley.com/documents/?uuid=3fc344f7-3284-40be-a24f-4425ff9f7baf"]},{"id":"ITEM-13","itemData":{"author":[{"dropping-particle":"","family":"Community Network","given":"","non-dropping-particle":"","parse-names":false,"suffix":""}],"id":"ITEM-13","issue":"July","issued":{"date-parts":[["2020"]]},"title":"Delivering integrated care at neighbourhood level","type":"article-journal"},"uris":["http://www.mendeley.com/documents/?uuid=ed5f9976-47e4-4997-9459-f8ccbb0f14ea"]},{"id":"ITEM-14","itemData":{"author":[{"dropping-particle":"","family":"Community Network","given":"","non-dropping-particle":"","parse-names":false,"suffix":""}],"id":"ITEM-14","issue":"July","issued":{"date-parts":[["2020"]]},"title":"Delivering neighbourhood-level integrated care in Leeds","type":"article-journal"},"uris":["http://www.mendeley.com/documents/?uuid=767c4bc3-6045-43d9-9bf6-2dbc84a19352"]},{"id":"ITEM-15","itemData":{"ISSN":"0951-4848","abstract":"The NHS has experienced a significant amount of organisational change and restructuring, which has included numerous mergers and de-mergers, since the Labour party came to power in the UK in 1997. However, to date there has been little in the way of evaluation of such changes, particularly the impact of organisational restructuring on the staff involved. This paper examines the human aspect of a merger, and subsequent de-merger, within a primary care trust (PCT) in the north of England, using a focus group methodology. The findings demonstrate that leadership and management styles have a significant impact on staff experiencing such changes. In addition, the psychological contract can be damaged due to the impact of several factors, inducing exit or intention to leave. Employees experienced a constant cycle of change with little time for stabilisation or adjustment, leading to negativity and lowered motivation at times. 49 refs. [Abstract]","author":[{"dropping-particle":"","family":"Cortvriend","given":"Penny","non-dropping-particle":"","parse-names":false,"suffix":""}],"container-title":"Health Services Management Research","id":"ITEM-15","issue":"3","issued":{"date-parts":[["2004"]]},"note":"Gives info about mental impact of mergers","page":"177-187","publisher":"2004","title":"Change management of mergers : the impact on NHS staff and their psychological contracts.","type":"article-journal","volume":"17"},"uris":["http://www.mendeley.com/documents/?uuid=f135ffd6-e2b6-496a-8541-39eb63670b4e"]},{"id":"ITEM-16","itemData":{"author":[{"dropping-particle":"","family":"Crump","given":"Helen","non-dropping-particle":"","parse-names":false,"suffix":""},{"dropping-particle":"","family":"Edwards","given":"Nigel","non-dropping-particle":"","parse-names":false,"suffix":""}],"id":"ITEM-16","issued":{"date-parts":[["2014"]]},"title":"Provider Chains: Lessons from other sectors","type":"article"},"uris":["http://www.mendeley.com/documents/?uuid=dde75056-46db-4615-8b68-ca64e6207d4e"]},{"id":"ITEM-17","itemData":{"DOI":"10.1136/bmj.b3384","ISSN":"17561833","PMID":"19723709","author":[{"dropping-particle":"","family":"Das-Thompson","given":"Julie","non-dropping-particle":"","parse-names":false,"suffix":""},{"dropping-particle":"","family":"McQuade","given":"Kerry","non-dropping-particle":"","parse-names":false,"suffix":""},{"dropping-particle":"","family":"Pett","given":"William","non-dropping-particle":"","parse-names":false,"suffix":""},{"dropping-particle":"","family":"Ville","given":"Nick","non-dropping-particle":"","parse-names":false,"suffix":""}],"container-title":"NHS Confederation Briefing","id":"ITEM-17","issued":{"date-parts":[["2020"]]},"number-of-pages":"40","title":"The future of integrated care in England","type":"report"},"uris":["http://www.mendeley.com/documents/?uuid=48e38d59-e975-45eb-aa18-359f423c4e2c"]},{"id":"ITEM-18","itemData":{"ISSN":"1476-9018","abstract":"PURPOSE: This paper reports research undertaken into the practices, processes and outcomes of joint commissioning at five English localities. This paper reflects on the implications of this study for the practice of joint commissioning. DESIGN/METHODOLOGY/APPROACH: A case study approach to the research was adopted where the assumptions about what joint commissioning should deliver in five \"best practice\" sites. These hypothesised relationships about organisational processes, services and outcomes were then tested through the collection of primary and secondary data. Methods of data collection included an online tool based on Q methodology, documentary analysis, interviews and focus groups. FINDINGS: Very little of what we found seemed to relate directly to issues of joint commissioning. Respondents often spoke of joint commissioning conflating it with issues of commissioning or joint working more generally. We found a variety of different definitions and meanings of joint commissioning in practice suggesting that this is not a coherent model but varies across localities. Little evidence of improved outcomes was found, due to practical and technical difficulties. RESEARCH LIMITATIONS/IMPLICATIONS: Joint commissioning is not a coherent model and is applied in different ways across different contexts. As such we may need to ask very different questions of joint commissioning to those typically asked. PRACTICAL IMPLICATIONS: It is important that local sites are clear about what they are trying to deliver through joint commissioning or else risk that it becomes an end in itself. Some of the current reforms taking place in health and social care risk pulling apart existing relationships that have taken significant time and resource to develop. ORIGINALITY/VALUE: This is one of the first large-scale studies of joint commissioning conducted in England. [Abstract]","author":[{"dropping-particle":"","family":"Dickinson","given":"Helen","non-dropping-particle":"","parse-names":false,"suffix":""},{"dropping-particle":"","family":"Glasby","given":"Jon","non-dropping-particle":"","parse-names":false,"suffix":""}],"container-title":"Journal of Integrated Care","id":"ITEM-18","issue":"4","issued":{"date-parts":[["2013"]]},"page":"221-232","publisher":"2013","title":"How effective is joint commissioning? A study of five English localities.","type":"article-journal","volume":"21"},"uris":["http://www.mendeley.com/documents/?uuid=6ec42eb0-70b6-40da-a4f5-9e7639723a05"]},{"id":"ITEM-19","itemData":{"ISSN":"1471-9037","author":[{"dropping-particle":"","family":"Dickinson","given":"Helen","non-dropping-particle":"","parse-names":false,"suffix":""},{"dropping-particle":"","family":"Glasby","given":"Jon","non-dropping-particle":"","parse-names":false,"suffix":""}],"container-title":"Public Management Review","id":"ITEM-19","issue":"6","issued":{"date-parts":[["2010"]]},"page":"811-828","publisher":"Taylor &amp; Francis","title":"‘Why Partnership Working Doesn't Work’ Pitfalls, problems and possibilities in English health and social care","type":"article-journal","volume":"12"},"uris":["http://www.mendeley.com/documents/?uuid=6c0a5c3d-f9fa-42ec-80e8-50fdcb45a5cf"]},{"id":"ITEM-20","itemData":{"DOI":"10.1080/13561820701585353","ISBN":"1356182070","ISSN":"13561820","abstract":"This paper describes an action research study which focused on an exploration of the aspirations for and initial achievements of Stratham Mental Health NHS and Social Care Trust. Local leaders perceived that Stratham had a good history of health and social care partnership working and as such, adopted an integrationist view of culture to help shape the context of the new structural form. In doing so, consistency remained a key message to staff throughout this organizational transition and the change did not appear to cause the distraction to core business which the literature suggests it would do so. However, this continuity may have come at a cost, at least initially. In the process of formalizing the previous partnership into a Care Trust, Stratham may not have produced all the beneficial effects of synergy which are usually (albeit eventually) associated with mergers in the private sector. Certainly, local actors could see opportunities that had been missed. By focusing on the structural manifestation of the relationship, the opportunities to broaden informal horizontal linkages may have been underexploited. The study of Stratham serves to confirm that the integrationist conception of culture is limited and that the differentiation of professional groupings and the ambiguity of individual experience will always make contested the meanings that are attributed to organizational change.","author":[{"dropping-particle":"","family":"Dickinson","given":"Helen","non-dropping-particle":"","parse-names":false,"suffix":""},{"dropping-particle":"","family":"Peck","given":"Edward","non-dropping-particle":"","parse-names":false,"suffix":""},{"dropping-particle":"","family":"Davidson","given":"Deborah","non-dropping-particle":"","parse-names":false,"suffix":""}],"container-title":"Journal of Interprofessional Care","id":"ITEM-20","issue":"5","issued":{"date-parts":[["2007"]]},"page":"503-513","title":"Opportunity seized or missed? A case study of leadership and organizational change in the creation of a Care Trust","type":"article-journal","volume":"21"},"uris":["http://www.mendeley.com/documents/?uuid=78fd82fa-19cd-45ef-aa87-73c82532c532"]},{"id":"ITEM-21","itemData":{"author":[{"dropping-particle":"","family":"Douglas","given":"Robin","non-dropping-particle":"","parse-names":false,"suffix":""}],"container-title":"Alliances in Health Promotion","id":"ITEM-21","issued":{"date-parts":[["1998"]]},"page":"3-4","title":"A framework for healthy alliances","type":"article-journal"},"uris":["http://www.mendeley.com/documents/?uuid=5dad604b-a16f-413c-a6d5-cde8d6463fb9"]},{"id":"ITEM-22","itemData":{"DOI":"10.1111/j.1365-2524.2004.00500.x","ISSN":"09660410","abstract":"Partnership working has become a central feature of British social welfare policy since 1997. Although this development is applicable to all areas of public welfare, nowhere is it more evident than in the planning and provision of care that overlaps health and social services. The literature survey described in the present paper focused on research examining the impact of partnership working in these areas to assess the evidence concerning its effects and to investigate how partnership 'success' is conceptualised. The literature conceptualised the success of partnerships in two main ways: (1) process issues, such as how well the partners work together in addressing joint aims and the long-term sustainability of the partnership; and (2) outcome issues, including changes in service delivery, and subsequent effects on the health or well-being of service users. The authors found that research into partnerships has centred heavily on process issues, while much less emphasis has been given to outcome success. If social welfare policy is to be more concerned with improving service delivery and user outcomes than with the internal mechanics of administrative structures and decision-making, this is a knowledge gap that urgently needs to be filled.","author":[{"dropping-particle":"","family":"Dowling","given":"Bernard","non-dropping-particle":"","parse-names":false,"suffix":""},{"dropping-particle":"","family":"Powell","given":"Martin","non-dropping-particle":"","parse-names":false,"suffix":""},{"dropping-particle":"","family":"Glendinning","given":"Caroline","non-dropping-particle":"","parse-names":false,"suffix":""}],"container-title":"Health and Social Care in the Community","id":"ITEM-22","issue":"4","issued":{"date-parts":[["2004"]]},"page":"309-317","title":"Conceptualising successful partnerships","type":"article-journal","volume":"12"},"uris":["http://www.mendeley.com/documents/?uuid=b53b7fb5-8b37-4e2f-93ca-e414db9fd41a"]},{"id":"ITEM-23","itemData":{"DOI":"10.1108/JICA-12-2016-0047","ISSN":"14769018","abstract":"Purpose - Integrating health and social care is a priority in England, although there is little evidence that previous initiatives have reduced hospital admissions or costs. In total, 25 Integrated Care Pioneers have been established to drive change \"at scale and pace\". The early phases of the evaluation (April 2014-June 2016) aimed to identify their objectives, plans and activities, and to assess the extent to which they have overcome barriers to integration. In the longer term, the authors will assess whether integrated care leads to improved outcomes and quality of care and at what cost. The paper aims to discuss these issues. Design/methodology/approach - Mixed methods involving documentary analysis, qualitative interviews and an online key informant survey. Findings - Over time, there was a narrowing of the integration agenda in most Pioneers. The predominant approach was to establish community-based multi-disciplinary teams focussed on (older) people with multiple long-term conditions with extensive needs. Moving from design to delivery proved difficult, as many barriers are outside the control of local actors. There was limited evidence of service change. Research limitations/implications - Because the findings relate to the early stage of the 5+ years of the Pioneer programme (2014-2019), it is not yet possible to detect changes in services or in user experiences and outcomes. Practical implications - The persistence of many barriers to integration highlights the need for greater national support to remove them. Originality/value - The evaluation demonstrates that implementing integrated health and social care is not a short-term process and cannot be achieved without national support in tackling persistent barriers.","author":[{"dropping-particle":"","family":"Erens","given":"Bob","non-dropping-particle":"","parse-names":false,"suffix":""},{"dropping-particle":"","family":"Wistow","given":"Gerald","non-dropping-particle":"","parse-names":false,"suffix":""},{"dropping-particle":"","family":"Mounier-Jack","given":"Sandra","non-dropping-particle":"","parse-names":false,"suffix":""},{"dropping-particle":"","family":"Douglas","given":"Nick","non-dropping-particle":"","parse-names":false,"suffix":""},{"dropping-particle":"","family":"Manacorda","given":"Tommaso","non-dropping-particle":"","parse-names":false,"suffix":""},{"dropping-particle":"","family":"Durand","given":"Mary Alison","non-dropping-particle":"","parse-names":false,"suffix":""},{"dropping-particle":"","family":"Mays","given":"Nicholas","non-dropping-particle":"","parse-names":false,"suffix":""}],"container-title":"Journal of Integrated Care","id":"ITEM-23","issue":"3","issued":{"date-parts":[["2017"]]},"page":"137-149","publisher":"Emerald","title":"Early findings from the evaluation of the Integrated Care and Support Pioneers in England","type":"article-journal","volume":"25"},"uris":["http://www.mendeley.com/documents/?uuid=5cebea46-5b5f-4d98-9d2b-6f7899410f8e"]},{"id":"ITEM-24","itemData":{"DOI":"10.1080/09581590050075899","ISSN":"09581596","abstract":"UK government health policy now strongly supports local partnership working as a key mechanism for tackling health inequalities. There is, however, still a lack of evidence based operational guidance for the development of local partnerships in tackling inequalities in health, as well as continuing evidence of the deep-rooted political, organizational and cultural barriers to partnership working. This paper reports on the evaluation of a two year Health Education Authority programme of demonstration projects designed to test five different models of partnership working in tackling health inequalities. The evaluation drew on Pettigrew et al.'s (1992) concepts of receptive and non-receptive contexts for change as well as the 'realistic evaluation' of Pawson &amp; Tilley (1997). Data were collected using a range of qualitative methods including semi-structured interviews with key stakeholders and non-participant observation. Six key themes were identified from the case studies: shared strategic vision, leadership and management, relations and local ownership, accountability, organizational readiness and responsiveness to a changing environment. The importance of understanding how project mechanisms worked in the context of national and local policy change is emphasized, and lessons are identified for UK Health Improvement Programmes, Health Action Zones and Primary Care Groups.","author":[{"dropping-particle":"","family":"Evans","given":"David","non-dropping-particle":"","parse-names":false,"suffix":""},{"dropping-particle":"","family":"Killoran","given":"Amanda","non-dropping-particle":"","parse-names":false,"suffix":""}],"container-title":"Critical Public Health","id":"ITEM-24","issue":"2","issued":{"date-parts":[["2000"]]},"page":"125-140","title":"Tackling health inequalities through partnership working: Learning from a realistic evaluation","type":"article-journal","volume":"10"},"uris":["http://www.mendeley.com/documents/?uuid=4ab8b66c-0f69-466d-b9de-d562283dce45"]},{"id":"ITEM-25","itemData":{"DOI":"10.1097/EDE.0b013e3181","ISBN":"0305624042000","author":[{"dropping-particle":"","family":"Ferrier","given":"G D","non-dropping-particle":"","parse-names":false,"suffix":""},{"dropping-particle":"","family":"Valdmanis","given":"V G","non-dropping-particle":"","parse-names":false,"suffix":""}],"container-title":"The Journal of the Operational Research Society","id":"ITEM-25","issue":"10","issued":{"date-parts":[["2004"]]},"page":"1071-1080","title":"Do Mergers Improve Hospital Productivity?","type":"article-journal","volume":"55"},"uris":["http://www.mendeley.com/documents/?uuid=15f51b94-93a2-458b-8831-aa12e45de7b5"]},{"id":"ITEM-26","itemData":{"author":[{"dropping-particle":"","family":"Findlay","given":"Patricia","non-dropping-particle":"","parse-names":false,"suffix":""}],"id":"ITEM-26","issue":"January","issued":{"date-parts":[["2019"]]},"title":"Review of Partnership Working in NHS Scotland","type":"article-journal"},"uris":["http://www.mendeley.com/documents/?uuid=775dd8e1-5331-43cf-b92c-176d93ed9731"]},{"id":"ITEM-27","itemData":{"DOI":"10.1080/01442871003615968","ISSN":"01442872","abstract":"This article explores the implementation of health and social care policy designed to improve partnership working between the health and social care sectors in the UK. Devolution has allowed Scotland to develop its own policies in several key areas. Given the potential for policy divergence, health and social care policy in England and Scotland is compared and contrasted. Using four partnership case studies, similar issues were apparent in both countries. Policy was dominated by the National Health Service at the expense of local authority partners and each partnership found the implementation of policy challenging, often due to inadequate policy guidance and difficult working relationships between the health and social care sectors. A key finding was that devolution had allowed Scotland more freedom to experiment with policy and the policy process became more readily influenced and challenged by local practitioners. Implications for policy implementation in similar devolved and decentralised contexts are considered. © 2010 Taylor &amp; Francis.","author":[{"dropping-particle":"","family":"Forbes","given":"Tom","non-dropping-particle":"","parse-names":false,"suffix":""},{"dropping-particle":"","family":"Evans","given":"Debbie","non-dropping-particle":"","parse-names":false,"suffix":""},{"dropping-particle":"","family":"Scott","given":"Niccola","non-dropping-particle":"","parse-names":false,"suffix":""}],"container-title":"Policy Studies","id":"ITEM-27","issue":"6","issued":{"date-parts":[["2010"]]},"page":"591-611","publisher":"Taylor and Francis","publisher-place":"Philadelphia, USA","title":"Implementing health and social care policy - England and Scotland compared","type":"article-journal","volume":"31"},"uris":["http://www.mendeley.com/documents/?uuid=8952d69a-8f59-4b55-b28b-301ddf33bf83"]},{"id":"ITEM-28","itemData":{"author":[{"dropping-particle":"","family":"Foundation Trust Network","given":"","non-dropping-particle":"","parse-names":false,"suffix":""}],"id":"ITEM-28","issue":"September","issued":{"date-parts":[["2014"]]},"number-of-pages":"1-15","publisher-place":"London","title":"Review of buddying arrangements, with a focus on trusts in special measures and their partnering organisations","type":"report"},"uris":["http://www.mendeley.com/documents/?uuid=edb6537b-8318-4e71-88a6-eecaa3b7ef44"]},{"id":"ITEM-29","itemData":{"DOI":"10.1136/bmjopen-2019-029174","ISSN":"20446055","PMID":"32152152","abstract":"NHS vanguards, under-pressure to perform, required better contracting and data management arrangements with evaluation teams, to ensure that integrated service outcomes could be reported effectively. This communication reflects the experience of evaluating an NHS vanguard and suggests how academic teams can improve capacity for complex programme evaluation of rapid improvements in integrated services. This should be based on a shared commitment to data collection and management. Also, robust knowledge exchange processes can enable systems change and sustainability. The identifying features of the particular site have been withheld.","author":[{"dropping-particle":"","family":"Fowler Davis","given":"Sally","non-dropping-particle":"","parse-names":false,"suffix":""},{"dropping-particle":"","family":"Hinde","given":"Sebastian","non-dropping-particle":"","parse-names":false,"suffix":""},{"dropping-particle":"","family":"Ariss","given":"Steven","non-dropping-particle":"","parse-names":false,"suffix":""}],"container-title":"BMJ open","id":"ITEM-29","issue":"3","issued":{"date-parts":[["2020"]]},"page":"e029174","title":"Complex programme evaluation of a 'new care model' vanguard: a shared commitment to quality improvement in an integrated health and care context","type":"article-journal","volume":"10"},"uris":["http://www.mendeley.com/documents/?uuid=430a43c7-44f7-4b6c-a39d-d75abb24ddd4"]},{"id":"ITEM-30","itemData":{"DOI":"10.1136/bmj.325.7358.246","ISSN":"09598146","abstract":"Objective: To study the processes involved in and impact of mergers between NHS trusts, including the effect on management costs. Design: Cross sectional study involving in depth interviews and documentary analysis; case study to compare savings in management costs between case trusts and control trusts. Setting: Nine trusts (cross sectional study) and four trusts (case study) in London. Participants: 96 interviews with trust board members, other senior managers, clinicians, service managers, and representatives of health authorities, regional office, community health councils, local authorities, other trusts in the area, and primary care groups and trusts. Main outcome measures: Stated and unstated drivers, and impact of merger on delivery and development of services, management structures, and staff recruitment, retention, and morale. Effects of difference in trust size before and after the merger. Savings in management costs two years after merger. Results: Some important drivers for merger are not publicly stated. Mergers had a negative effect on delivery of services because of a loss of managerial focus on services. Planned developments in services were delayed by at least 18 months. Trusts' larger sizes after mergers had unintended negative consequences, as well as predicted advantages. The tendency for one trust's management team to dominate over the other resulted in tension. No improvement in recruitment or retention of clinical and managerial staff was reported. Perceived differences in organisational culture were an important barrier to bringing together two or more organisations. Two years after merger, merged trusts had not achieved the objective of saving £500 000 a year in management costs. Conclusions: Important unintended consequences need to be accounted for when mergers are planned. Mergers can cause considerable disruptions to services, and require greater management support than previously acknowledged. Other organisations undergoing restructuring, such as primary care groups developing into primary care trusts and health authorities merging into strategic health authorities, should take these findings into account.","author":[{"dropping-particle":"","family":"Fulop","given":"Naomi","non-dropping-particle":"","parse-names":false,"suffix":""},{"dropping-particle":"","family":"Protopsaltis","given":"Gerasimos","non-dropping-particle":"","parse-names":false,"suffix":""},{"dropping-particle":"","family":"Hutchings","given":"Andrew","non-dropping-particle":"","parse-names":false,"suffix":""},{"dropping-particle":"","family":"King","given":"Annette","non-dropping-particle":"","parse-names":false,"suffix":""},{"dropping-particle":"","family":"Allen","given":"Pauline","non-dropping-particle":"","parse-names":false,"suffix":""},{"dropping-particle":"","family":"Normand","given":"Charles","non-dropping-particle":"","parse-names":false,"suffix":""},{"dropping-particle":"","family":"Walters","given":"Rhiannon","non-dropping-particle":"","parse-names":false,"suffix":""}],"container-title":"British Medical Journal","id":"ITEM-30","issue":"7358","issued":{"date-parts":[["2002"]]},"page":"246-249","title":"Process and impact of mergers of NHS trusts: Multicentre case study and management cost analysis","type":"article-journal","volume":"325"},"uris":["http://www.mendeley.com/documents/?uuid=f9213f97-3906-4651-9340-5411de66b628"]},{"id":"ITEM-31","itemData":{"DOI":"10.1080/13561820600890235","ISSN":"13561820","abstract":"The need to provide more joined services in health and social care is now recognized by governments as a major objective, and technology is increasingly seen as the key to achieving it. This paper is based upon the authors' experience as research partners in a national project in England known as FrAmework for Multi-agency Environments (FAME). In the first phase of FAME (April 2003-October 2004) six local \"strands\" led by local authorities worked in partnership with service providers and IT suppliers. Each partnership aimed to support collaboration and interaction between professions in a particular set of services (for example, to vulnerable older people or disabled children) through effective and appropriate exchange of information. This paper examines the literature on partnership and collaboration in public services in order to contextualize and reflect upon IT-enabled multi-agency partnerships.","author":[{"dropping-particle":"","family":"Gannon-Leary","given":"Pat","non-dropping-particle":"","parse-names":false,"suffix":""},{"dropping-particle":"","family":"Baines","given":"Sue","non-dropping-particle":"","parse-names":false,"suffix":""},{"dropping-particle":"","family":"Wilson","given":"Rob","non-dropping-particle":"","parse-names":false,"suffix":""}],"container-title":"Journal of Interprofessional Care","id":"ITEM-31","issue":"6","issued":{"date-parts":[["2006"]]},"page":"665-674","title":"Collaboration and partnership: A review and reflections on a national project to join up local services in England","type":"article-journal","volume":"20"},"uris":["http://www.mendeley.com/documents/?uuid=ab96d496-f09b-4fb3-acd2-0455dc254ba8"]},{"id":"ITEM-32","itemData":{"ISSN":"1473-625X","abstract":"The literature on mergers between private hospitals suggests that such mergers often produce little benefit. Despite this, the UK government has pursued an active policy of hospital mergers, arguing that such consolidations will bring improvements for patients. We examine whether this promise is met. We exploit the fact that between 1997 and 2006 in England around half the short term general hospitals were involved in a merger, but that politics means that selection for a merger may be random with respect to future performance. We examine the impact of mergers on a large set of outcomes including financial performance, productivity, waiting times and clinical quality and find little evidence that mergers achieved gains other than a reduction in activity. Given that mergers reduce the scope for competition between hospitals the findings suggest that further merger activity may not be the appropriate way of dealing with poorly performing hospitals.","author":[{"dropping-particle":"","family":"Gaynor","given":"Martin","non-dropping-particle":"","parse-names":false,"suffix":""},{"dropping-particle":"","family":"Laudicella","given":"Mauro","non-dropping-particle":"","parse-names":false,"suffix":""},{"dropping-particle":"","family":"Propper","given":"Carol","non-dropping-particle":"","parse-names":false,"suffix":""}],"collection-title":"Working Paper","editor":[{"dropping-particle":"","family":"Organisation","given":"University of Bristol. Centre for Market and Public","non-dropping-particle":"","parse-names":false,"suffix":""}],"id":"ITEM-32","issued":{"date-parts":[["2012"]]},"publisher":"Bristol: CMPO, 2012","title":"Can governments do it better? Merger mania and hospital outcomes in the English NHS.","type":"article-journal"},"uris":["http://www.mendeley.com/documents/?uuid=ceefede5-822a-4c4b-bc47-4c1aa4db17cc"]},{"id":"ITEM-33","itemData":{"ISBN":"9781405167437","author":[{"dropping-particle":"","family":"Glasby","given":"Jon","non-dropping-particle":"","parse-names":false,"suffix":""},{"dropping-particle":"","family":"Dickinson","given":"Helen","non-dropping-particle":"","parse-names":false,"suffix":""}],"container-title":"Health (San Francisco)","id":"ITEM-33","issued":{"date-parts":[["2009"]]},"title":"International Perspectives on Health and Social Care: Partnership Working in Action","type":"book"},"uris":["http://www.mendeley.com/documents/?uuid=416ef8b5-a5ff-49ee-92dd-cae04237828f"]},{"id":"ITEM-34","itemData":{"ISSN":"1361-9322","abstract":"This case study compares two approaches to joint commissioning and describes the lessons learnt. The first is an example of joint commissioning at the level of the community mental health team and the second describes joint commissioning by an NHS trust and social services department.","author":[{"dropping-particle":"","family":"Gulliver","given":"Pauline","non-dropping-particle":"","parse-names":false,"suffix":""}],"container-title":"Mental Health Review","id":"ITEM-34","issue":"3","issued":{"date-parts":[["1999"]]},"page":"21-23","publisher":"Pier Professional","title":"Two Approaches to the Joint Commissioning of Mental Health Services","type":"article-journal","volume":"4"},"uris":["http://www.mendeley.com/documents/?uuid=be1f94af-ec15-4b35-b4b5-3d917e35d04d"]},{"id":"ITEM-35","itemData":{"DOI":"10.1108/14769018200100004","ISSN":"1461-5436","abstract":"This paper presents the second set of results from the evaluation of the implementation of joint commissioning and combined provision of mental health services in Somerset. Comparisons with baseline data are made and key emerging questions are identified. © 2001, MCB UP Limited","author":[{"dropping-particle":"","family":"Gulliver","given":"Pauline","non-dropping-particle":"","parse-names":false,"suffix":""},{"dropping-particle":"","family":"Peck","given":"Edward","non-dropping-particle":"","parse-names":false,"suffix":""},{"dropping-particle":"","family":"Towell","given":"David","non-dropping-particle":"","parse-names":false,"suffix":""}],"container-title":"Journal of Integrated Care","id":"ITEM-35","issue":"1","issued":{"date-parts":[["2001"]]},"page":"14-22","publisher":"Pavilion","title":"Evaluation of the Implementation of the Mental Health Review in Somerset: Results after Fifteen Months of Data Collection","type":"article-journal","volume":"9"},"uris":["http://www.mendeley.com/documents/?uuid=3ce4633d-07d5-42e4-9787-41576695d0e1"]},{"id":"ITEM-36","itemData":{"ISSN":"0361-6274","abstract":"BACKGROUND: Collaborative forms of organizations such as multisectoral health care alliances play an increasingly prominent role in the U.S. health care system. A key feature of these organizations highlighted in previous research is leadership, yet little research has examined what happens when there is a change in leadership. PURPOSE: The aim of this study was to examine the relationship between leadership transitions in an alliance and member assessments of the benefits and costs of participation, indicators of the value that members derive from their involvement in the alliance. METHODOLOGY/APPROACH: The study used quantitative data collected from three rounds of surveys of alliance members participating in the Robert Wood Johnson Foundation's Aligning Forces for Quality Program. Qualitative interview data supplemented this analysis by providing examples of why leadership transitions may affect participation benefits and costs. FINDINGS: Quantitative analysis indicated that alliance members who experienced a change in leadership reported both higher and lower levels of participation benefits and costs, depending on the type of leadership change (i.e., alliance leader vs. programmatic leader). Qualitative analysis suggested that the scope of responsibilities of different types of leaders plays an important role in how members perceive changes. Likewise, interviews indicated that timing influences how disruptive a leadership transition is and whether it is perceived positively or negatively. PRACTICE IMPLICATIONS: Leadership transitions present both challenges and opportunities; whether the effects are felt positively or negatively depends on when a transition occurs and how it is handled by incoming leaders and remaining members. Furthermore, different types of members report higher levels of participation benefits and lower levels of participation costs, suggesting that efforts to maintain a sense of alliance value during times of transitions may be able to target certain types of individuals. [Abstract]","author":[{"dropping-particle":"","family":"Hearld","given":"Larry","non-dropping-particle":"","parse-names":false,"suffix":""},{"dropping-particle":"","family":"Alexander","given":"Jeffrey","non-dropping-particle":"","parse-names":false,"suffix":""},{"dropping-particle":"","family":"Shi","given":"Yunfeng","non-dropping-particle":"","parse-names":false,"suffix":""}],"container-title":"Health Care Management Review","id":"ITEM-36","issue":"4","issued":{"date-parts":[["2015"]]},"note":"Perspectives on leadership in US alliances","page":"185-274","publisher":"2015","title":"Leadership transitions in multisectoral health care alliances : implications for member perceptions of participation value.","type":"article-journal","volume":"40"},"uris":["http://www.mendeley.com/documents/?uuid=f89a782e-8deb-4186-b5d0-2ca5fcb6f755"]},{"id":"ITEM-37","itemData":{"DOI":"10.1111/hsc.12953","ISSN":"13652524","PMID":"32052531","abstract":"Partnering across health clinics and community organisations, while worthwhile for improving health and well-being, is challenging and time consuming. Even partnerships that have essential elements for success in place face inevitable challenges. To better understand how cross-organisational partnerships work in practice, this paper examines collaborations between six primary care clinics and community-based organisations in the United States that were part of an initiative to address late-life depression using an enhanced collaborative care model (Archstone Foundation Care Partners Project). As part of an evaluation of the Care Partners Project, 54 key informant interviews and 10 focus groups were conducted from 2015 to 2017. Additionally, more than 80 project-related documents were reviewed. Qualitative thematic analysis was used to code the transcripts and identify prominent themes in the data. Examining clinic and community organisation partnerships in practice highlighted their inherent complexity. The partnerships were fluid and constantly evolving, shaped by a multiplicity of perspectives and values, and vulnerable to unpredictability. Care Partners sites negotiated the complexity of their partnerships drawing upon three main strategies: adaptation (allowing for flexibility and rapid change); integration (providing opportunities for multi-level partnerships within and across organisations) and cultivation (fostering a commitment to the partnership and its value). These strategies provided opportunities for Care Partners collaborators to work with the inherent complexity of partnering. Intentionally acknowledging and embracing such complexity rather than trying to reduce or avoid it, may allow clinic and community collaborators to strengthen and sustain their partnerships.","author":[{"dropping-particle":"","family":"Henderson","given":"Stuart","non-dropping-particle":"","parse-names":false,"suffix":""},{"dropping-particle":"","family":"Wagner","given":"Jenny L.","non-dropping-particle":"","parse-names":false,"suffix":""},{"dropping-particle":"","family":"Gosdin","given":"Melissa M.","non-dropping-particle":"","parse-names":false,"suffix":""},{"dropping-particle":"","family":"Hoeft","given":"Theresa J.","non-dropping-particle":"","parse-names":false,"suffix":""},{"dropping-particle":"","family":"Unützer","given":"Jürgen","non-dropping-particle":"","parse-names":false,"suffix":""},{"dropping-particle":"","family":"Rath","given":"Laura","non-dropping-particle":"","parse-names":false,"suffix":""},{"dropping-particle":"","family":"Hinton","given":"Ladson","non-dropping-particle":"","parse-names":false,"suffix":""}],"container-title":"Health and Social Care in the Community","id":"ITEM-37","issue":"4","issued":{"date-parts":[["2020"]]},"page":"1199-1208","title":"Complexity in partnerships: A qualitative examination of collaborative depression care in primary care clinics and community-based organisations in California, United States","type":"article-journal","volume":"28"},"uris":["http://www.mendeley.com/documents/?uuid=aaf32efb-2135-4ea7-9214-01ebc21544d4"]},{"id":"ITEM-38","itemData":{"DOI":"10.1080/14719039900000005","ISBN":"1471903990","ISSN":"1461-667X","abstract":"Althougn long seen as desirable, interagency collaboration has remained conceptually elusive and difficult to achieve. Whilst recognising that there are other positions, this article takes the normative position that collaboratlon is generally a 'good thing'. It brings together strands of theoretical, concaptual and empirical literature from diverse disciplines in order to better understand inter-agency collaboration as a concept and as a process. This is developed into a sequentially structured framework capable of being customised to a range of organisational and policy contexts.","author":[{"dropping-particle":"","family":"Hudson","given":"Bob","non-dropping-particle":"","parse-names":false,"suffix":""},{"dropping-particle":"","family":"Hardy","given":"Brian","non-dropping-particle":"","parse-names":false,"suffix":""},{"dropping-particle":"","family":"Henwood","given":"Melanie","non-dropping-particle":"","parse-names":false,"suffix":""},{"dropping-particle":"","family":"Wistow","given":"Gerald","non-dropping-particle":"","parse-names":false,"suffix":""}],"container-title":"Public Management: An International Journal of Research and Theory","id":"ITEM-38","issue":"2","issued":{"date-parts":[["1999"]]},"page":"235-260","title":"In Pursuit of Inter-Agency Collaboration In The Public Sector","type":"article-journal","volume":"1"},"uris":["http://www.mendeley.com/documents/?uuid=c55cbc32-c293-40a6-aa3b-16bcff2c1b72"]},{"id":"ITEM-39","itemData":{"DOI":"10.1258/jhsrp.2012.011127","ISSN":"13558196","abstract":"Objectives: Most of the research on partnerships has centred on health and social care, and while many of the findings remain relevant, public health partnerships concerned with 'wicked issues' give rise to a different and more complex set of issues which merit exploration. The study aimed to identify those factors promoting effective partnership working for health improvement; to assess the extent to which partnership governance and incentive arrangements were commensurate with the complexities of the problem; and to explore how far local partnerships contributed to better outcomes for individuals and populations. Methods: A three-year study of public health partnerships (2007-10) in nine localities across England involving semi-structured interviews at strategic and operational levels. Results: Successful partnerships shared a number of characteristics: they were clear about goals and purpose; they were aware of partners' roles and responsibilities; and they had a clear strategic overview of performance through robust monitoring and evaluation. In many cases, partnerships were facades with a 'silo mentality'prevailing - there was an unwillingness to share information or resources, or to accord partnership working sufficient priority or support. Despite enthusiasm for partnerships and an insistence that they were essential, it was impossible to establish evidence of their impact on health outcomes. While the focus on partnerships tends to be on structures, relational factors, including high levels of trust and goodwill, were important ingredients of a well-functioning partnership. Less formal and more organic, operational partnerships were more effective than more formal, strategic level ones which were driven by targets. Finally, partnerships were, in part, shaped by the national policy context, with constant policy and organizational churn making it difficult to sustain long-term relationships. Conclusions: Future partnerships might be undertaken differently, adopting a complex adaptive systems perspective. This advocates an approach to partnership working that is less focused on rigid structures and much more on relational factors like trust and goodwill. © The Royal Society of Medicine Press Ltd 2012.","author":[{"dropping-particle":"","family":"Hunter","given":"David","non-dropping-particle":"","parse-names":false,"suffix":""},{"dropping-particle":"","family":"Perkins","given":"Neil","non-dropping-particle":"","parse-names":false,"suffix":""}],"container-title":"Journal of Health Services Research and Policy","id":"ITEM-39","issue":"SUPPL. 2","issued":{"date-parts":[["2012"]]},"page":"45-52","title":"Partnership working in public health: The implications for governance of a systems approach","type":"article-journal","volume":"17"},"uris":["http://www.mendeley.com/documents/?uuid=fa7a49a0-3382-4076-bcbf-8eb103723054"]},{"id":"ITEM-40","itemData":{"DOI":"10.1080/1471903032000146964","ISSN":"14719045","abstract":"This article provides an overview of the theory of collaborative advantage. This is a practice-oriented theory concerned with enhancing practical understanding of the management isssues involved in joint working across organizations. Two contrasting concepts are central to it: collaborative advantage which is concerned with the potential for synergy from working collaboratively; and, collaborative inertia which relates to the often disappointing output in reality. The theory is structured as a set of overlapping themes, which are predominantly issues that practitioners see as causing pain and reward in collaborative situations. Five example themes are discussed: common aims; power; trust; membership structures; and, leadership. It is argued that the theory captures the complexity that underlies collaborative situations and conveys it in a way that seems real to those involved. It aims to empower those involved through legitimising experienced frustration and providing conceptual handles to help address the practical issues involved. © 2003 Taylor &amp; Francis.","author":[{"dropping-particle":"","family":"Huxham","given":"Chris","non-dropping-particle":"","parse-names":false,"suffix":""}],"container-title":"Public Management Review","id":"ITEM-40","issue":"3","issued":{"date-parts":[["2003"]]},"page":"401-423","title":"Theorizing collaboration practice","type":"article-journal","volume":"5"},"uris":["http://www.mendeley.com/documents/?uuid=6f1d7224-e228-45ef-8795-2b9f48aadd33"]},{"id":"ITEM-41","itemData":{"ISSN":"0966-0429","abstract":"The influence of the merger of two major medical centres on the emotional well-being of nurses was investigated by use of a questionnaire on emotional distress, perception of threat, self-efficacy and emotional reactivity. Evaluations were carried out one month prior to the merger at the official announcement, and again half a year after the merger took place. Before the merger, threat perception was higher in the transferring nurses, but the difference was of borderline significance (P = 0.05). There was a significant positive correlation between threat perception and both emotional reactivity and emotional distress, and a significant negative correlation between self-efficacy and both threat perception and emotional distress (P &lt; 0.001 for all). After the merger, the transferring nurses showed more emotional distress (P = 0.009). There was a significant positive correlation between threat perception, emotional distress and negative outcome variables such as burnout and stress (P &lt; 0.001), and a significant negative correlation between threat perception and positive outcome variables such as growth (P &lt; 0.01). This study identifies some personal characteristics that can affect the way nurses deal with hospital mergers and need to be considered during organisational changes in order to maintain job satisfaction. 30 refs. [Abstract]","author":[{"dropping-particle":"","family":"Idel","given":"Menucha","non-dropping-particle":"","parse-names":false,"suffix":""}],"container-title":"Journal of Nursing Management","id":"ITEM-41","issue":"1","issued":{"date-parts":[["2003"]]},"note":"Useful for workforce","page":"59-63","title":"Influence of a merger on nurses' emotional well-being : the importance of self-efficacy and emotional reactivity.","type":"article-journal","volume":"11"},"uris":["http://www.mendeley.com/documents/?uuid=ddac9754-6b82-426f-a705-0c24f86442b3"]},{"id":"ITEM-42","itemData":{"DOI":"10.12968/bjcn.2020.25.7.353","ISSN":"20522207","PMID":"32614668","abstract":"In order to meet the unique needs of local populations, health and care providers need to come together as a collective. A model of integration in line with the NHS Long Term Plan will support transformation, sustainability and meeting the increasing demands on the NHS. Due the complexity and variety of services in care communities, it is vital that organisations and the third sector acknowledge and understand one another with greater depth. Primary care networks (PCNs) support this by dissolving organisational boundaries, with services wrapping around each other and moving forward as one system. This article describes how one PCN in Wirral committed to appreciating each service's roles. By engaging regularly in different ways, members of the PCN were able build on professional relationships. The refocusing and reconnecting regularly as a collective team enabled a more streamlined approach to proactive, place-based patient care while providing professionals with improved working relationships, skill-sharing and increased job satisfaction.","author":[{"dropping-particle":"","family":"Jones","given":"Caroline","non-dropping-particle":"","parse-names":false,"suffix":""}],"container-title":"British Journal of Community Nursing","id":"ITEM-42","issue":"7","issued":{"date-parts":[["2020"]]},"page":"353-355","title":"The working of a primary care network in Wirral: Experiences thus far","type":"article-journal","volume":"25"},"uris":["http://www.mendeley.com/documents/?uuid=b61d6bb2-53fe-4ec5-942d-3feb2fddcc54"]},{"id":"ITEM-43","itemData":{"DOI":"https://dx.doi.org/10.1097/PHH.0b013e31823a815c","ISSN":"1550-5022","abstract":"Partnerships among multiple organizations across a range of sectors that bring together multiple perspectives are a common way of addressing community health and building capacity. To function successfully, partnerships depend on the careful orchestration of a collaborative culture and the facilitation of collective action. Using a systematic method, we developed a synthesis of evidence about collaborative capacity building, integrating this diverse knowledge base into a usable framework. Seventeen published models of collaborative capacity building met the inclusion criteria and were combined to derive a matrix that could guide the actions of those responsible for partnership management. This matrix may make the process of developing partnerships less complicated in future.","author":[{"dropping-particle":"","family":"Kendall","given":"Elizabeth","non-dropping-particle":"","parse-names":false,"suffix":""},{"dropping-particle":"","family":"Muenchberger","given":"Heidi","non-dropping-particle":"","parse-names":false,"suffix":""},{"dropping-particle":"","family":"Sunderland","given":"Naomi","non-dropping-particle":"","parse-names":false,"suffix":""},{"dropping-particle":"","family":"Harris","given":"Michelle","non-dropping-particle":"","parse-names":false,"suffix":""},{"dropping-particle":"","family":"Cowan","given":"Deborah","non-dropping-particle":"","parse-names":false,"suffix":""}],"container-title":"Journal of Public Health Management and Practice","id":"ITEM-43","issue":"5","issued":{"date-parts":[["2012"]]},"note":"Useful for theorybuilding","page":"E1-13","publisher-place":"United States","title":"Collaborative capacity building in complex community-based health partnerships: a model for translating knowledge into action.","type":"article-journal","volume":"18"},"uris":["http://www.mendeley.com/documents/?uuid=058c50c5-9363-4f82-bf55-e5c1fec792e8"]},{"id":"ITEM-44","itemData":{"ISBN":"964-7445-88-1","author":[{"dropping-particle":"","family":"Kershaw","given":"Matthew","non-dropping-particle":"","parse-names":false,"suffix":""},{"dropping-particle":"","family":"McKenna","given":"Helen","non-dropping-particle":"","parse-names":false,"suffix":""},{"dropping-particle":"","family":"Charles","given":"Anna","non-dropping-particle":"","parse-names":false,"suffix":""},{"dropping-particle":"","family":"Ewbank","given":"Leo","non-dropping-particle":"","parse-names":false,"suffix":""},{"dropping-particle":"","family":"Ham","given":"Chris","non-dropping-particle":"","parse-names":false,"suffix":""}],"id":"ITEM-44","issued":{"date-parts":[["2018"]]},"number-of-pages":"66","title":"Sustainability and transformation partnerships in London","type":"report"},"uris":["http://www.mendeley.com/documents/?uuid=ede5a165-6ade-4a57-b6a9-b5672552cc46"]},{"id":"ITEM-45","itemData":{"DOI":"10.1136/bmjopen-2017-020930","ISSN":"20446055","PMID":"29627818","abstract":"Objectives This study explores the barriers and facilitators that impact on the motivation of practitioners to participate in a quality improvement collaborative. Design A qualitative and formative evaluation using a participatory approach, the researcher-in-residence model which embraces the concept of 'coproducing' knowledge between researchers and practitioners using a range of research methods such as participant observation, interviews and documentary analysis. The design, creation and application of newly generated evidence are facilitated by the researcher through negotiation and compromise with team members. Participants Senior and middle managers, doctors and nurses. Setting Two hospitals in Southeast England participating in a Patient Safety Improvement Collaborative and the facilitator (host) of the collaborative, based in Central London. Results The evaluation has revealed facilitators and barriers to motivation categorised under two main themes: (1) inherent motivation and (2) factors that influence motivation, interorganisational and intraorganisational features as well as external factors. Facilitators included collaborative 'champions,' individuals who drove the quality improvement agenda at a local level, raising awareness and inspiring colleagues. The collaborative itself acted as a facilitator, promoting shared learning as well as building motivation for participation. A key barrier was the lack of board engagement in the participating National Health Service organisations which may have affected motivation among front-line staff. Conclusions Collaboratives maybe an important way of engaging practitioners in quality improvement initiatives. This study highlights that despite a challenging healthcare environment in the UK, there remains motivation among individuals to participate in quality improvement programmes as they recognise that improvement approaches may facilitate positive change in local clinical processes and systems. Collaboratives can harness this individual motivation to facilitate spread and adoption of improvement methodology and build engagement across their membership.","author":[{"dropping-particle":"","family":"Lalani","given":"Mirza","non-dropping-particle":"","parse-names":false,"suffix":""},{"dropping-particle":"","family":"Hall","given":"Kate","non-dropping-particle":"","parse-names":false,"suffix":""},{"dropping-particle":"","family":"Skrypak","given":"Mirek","non-dropping-particle":"","parse-names":false,"suffix":""},{"dropping-particle":"","family":"Laing","given":"Chris","non-dropping-particle":"","parse-names":false,"suffix":""},{"dropping-particle":"","family":"Welch","given":"John","non-dropping-particle":"","parse-names":false,"suffix":""},{"dropping-particle":"","family":"Toohey","given":"Peter","non-dropping-particle":"","parse-names":false,"suffix":""},{"dropping-particle":"","family":"Seaholme","given":"Sarah","non-dropping-particle":"","parse-names":false,"suffix":""},{"dropping-particle":"","family":"Weijburg","given":"Thomas","non-dropping-particle":"","parse-names":false,"suffix":""},{"dropping-particle":"","family":"Eyre","given":"Laura","non-dropping-particle":"","parse-names":false,"suffix":""},{"dropping-particle":"","family":"Marshall","given":"Martin","non-dropping-particle":"","parse-names":false,"suffix":""}],"container-title":"BMJ Open","id":"ITEM-45","issue":"4","issued":{"date-parts":[["2018"]]},"page":"1-8","title":"Building motivation to participate in a quality improvement collaborative in NHS hospital trusts in Southeast England: A qualitative participatory evaluation","type":"article-journal","volume":"8"},"uris":["http://www.mendeley.com/documents/?uuid=5e4fe4d2-b00b-45e0-899a-09aa9b7d9585"]},{"id":"ITEM-46","itemData":{"DOI":"https://dx.doi.org/10.7861/futurehosp.6-1-67","ISSN":"2514-6645","abstract":"Increased NHS regulation has identified many healthcare organisations with operational and/or financial difficulties. Although the causes are often complex, most cases are effectively managed internally with limited input from external agencies. How best to support the few organisations needing additional support has not been established. 'Buddying', in which senior clinical and managerial teams from a well performing organisation work with colleagues from an organisation in difficulty has been proposed as a potential solution. Previous reports suggest that these partnerships are generally valued by the organisation in difficulty but there is a paucity of measured operational benefit. In this article we present our experience of a 'buddying agreement' and its impact on the introduction of a new 'whole system' medical pathway (ie rotas, staffing, process) at an organisation in difficulty. We describe the process, problems, effect on operational performance, staff survey feedback six months post-implementation and the lessons learned. Factors critical to success were good communication; clear responsibilities, common values and strong governance; incorporation into an effective local improvement programme; targeting of specific issues; ability to influence people and foster relationships; adequate 'manpower' and gradual transition to local 'ownership'.","author":[{"dropping-particle":"","family":"Leach","given":"Richard","non-dropping-particle":"","parse-names":false,"suffix":""},{"dropping-particle":"","family":"Banerjee","given":"Sandip","non-dropping-particle":"","parse-names":false,"suffix":""},{"dropping-particle":"","family":"Beer","given":"Gail","non-dropping-particle":"","parse-names":false,"suffix":""},{"dropping-particle":"","family":"Tencheva","given":"Svetka","non-dropping-particle":"","parse-names":false,"suffix":""},{"dropping-particle":"","family":"Conn","given":"Deidre","non-dropping-particle":"","parse-names":false,"suffix":""},{"dropping-particle":"","family":"Waterman","given":"Ashley","non-dropping-particle":"","parse-names":false,"suffix":""},{"dropping-particle":"","family":"Parrott","given":"Jackie","non-dropping-particle":"","parse-names":false,"suffix":""},{"dropping-particle":"","family":"Gifford","given":"Julie","non-dropping-particle":"","parse-names":false,"suffix":""},{"dropping-particle":"","family":"Steddon","given":"Simon","non-dropping-particle":"","parse-names":false,"suffix":""},{"dropping-particle":"","family":"Abbs","given":"Ian","non-dropping-particle":"","parse-names":false,"suffix":""},{"dropping-particle":"","family":"Pritchard","given":"Amanda","non-dropping-particle":"","parse-names":false,"suffix":""},{"dropping-particle":"","family":"Kerr","given":"Ron","non-dropping-particle":"","parse-names":false,"suffix":""},{"dropping-particle":"","family":"Dwyer","given":"Lesley","non-dropping-particle":"","parse-names":false,"suffix":""},{"dropping-particle":"","family":"Hamilton-Fairley","given":"Diana","non-dropping-particle":"","parse-names":false,"suffix":""}],"container-title":"Future healthcare journal","id":"ITEM-46","issue":"1","issued":{"date-parts":[["2019"]]},"page":"67-75","publisher-place":"England","title":"QUALITY IMPROVEMENT: Supporting a hospital in difficulty: -experience of a '-buddying' agreement to implement a new medical pathway.","type":"article-journal","volume":"6"},"uris":["http://www.mendeley.com/documents/?uuid=104b95db-03a3-4575-80c5-934c35187a13"]},{"id":"ITEM-47","itemData":{"DOI":"10.1186/1743-8462-2-22","ISSN":"17438462","abstract":"Background: The last decade has witnessed a significant move towards new modes of governing that are based on coordination and collaboration. In particular, local level partnerships have been widely introduced around the world. There are few comprehensive approaches for researching the effects of these partnerships. The aim of this paper is to outline a network approach that combines structure and agency based explanations to research partnerships in health. Network research based on two Primary Care Partnerships (PCPs) in Victoria is used to demonstrate the utility of this approach. The paper examines multiple types of ties between people (structure), and the use and value of relationships to partners (agency), using interviews with the people involved in two PCPs - one in metropolitan Melbourne and one in a rural area. Results: Network maps of ties based on work, strategic information and policy advice, show that there are many strong connections in both PCPs. Not surprisingly, PCP staff are central and highly connected. Of more interest are the ties that are dependent on these dedicated partnership staff, as they reveal which actors become weakly linked or disconnected without them. Network measures indicate that work ties are the most dispersed and strategic information ties are the most concentrated around fewer people. Divisions of general practice are weakly linked, while local government officials and Department of Human Services (DHS) regional staff appear to play important bridging roles. Finally, the relationships between partners have changed and improved, and most of those interviewed value their new or improved links with partners. Conclusion: Improving service coordination and health promotion planning requires engaging people and building strong relationships. Mapping ties is a useful means for assessing the strengths and weaknesses of partnerships, and network analysis indicates concentration and dispersion, the importance of particular individuals, and the points at which they will fragment. A narrative approach adds an assessment of whether the partnerships are being used and valued. The approach outlined here, which examines structure and agency as separate but related explanations, has much to offer in examining partnerships. © 2005 Lewis; licensee BioMed Central Ltd.","author":[{"dropping-particle":"","family":"Lewis","given":"Jenny M.","non-dropping-particle":"","parse-names":false,"suffix":""}],"container-title":"Australia and New Zealand Health Policy","id":"ITEM-47","issue":"1","issued":{"date-parts":[["2005"]]},"page":"1-11","title":"A network approach for researching partnerships in health","type":"article-journal","volume":"2"},"uris":["http://www.mendeley.com/documents/?uuid=edc98b1d-b6e5-4d0e-9cbf-4d38aca4e7ae"]},{"id":"ITEM-48","itemData":{"ISSN":"1478-4491","abstract":"BACKGROUND: Hospital mergers began in the UK in the late 1990s to deal with underperformance. Despite their prevalence, there is a lack of research on how such organizational changes affect the staff morale. This study aims to assess the impact of NHS hospital mergers between financial years 2009/10 and 2011/12 on staff job satisfaction and to identify factors contributing to satisfaction. METHODS: Data on staff job satisfaction were obtained from the annual NHS Staff Survey. A list of mergers was compiled using data provided by the Cooperation and Competition Panel and the Department of Health. Other sources of data included the NHS Hospital Estates and Facilities Statistics, the NHS 'Quarter' publication, official reports from health service regulators, individual hospitals' annual accounts, data from the NHS Information Centre and the NHS Recurrent Revenue Allocations Exposition Book. Only full mergers of acute and mental health hospitals were analyzed. Propensity scores were generated using observable factors likely to affect merger decision to select three comparable hospitals for every constituent hospital in a merger to act as a control group. A difference-in-difference was estimated between baseline (3 years before merger approval) and each subsequent year up to 4 years post-merger, controlling for work environment, drivers of job satisfaction, data year, type of hospital and occupation group. RESULTS: There were nine mergers during the study period. Only job satisfaction scores 1 to 2 years before (0.03 to 0.04 point) and 1 year after merger approval (0.06 point) were higher (P&lt;0.01) than baseline. Robustness testing produced consistent findings. Assuming other conditions were equal, an increase in autonomy, staff support, perceived quality and job clarity ratings would increase job satisfaction scores. Higher job satisfaction scores were also associated with being classified as medical, dental, management or administrative staff and working in a mental health trust. CONCLUSION: Hospital mergers have a small, transient positive impact on staff job satisfaction in the year immediately before and after merger approval. Continuous staff support and management of staff expectations throughout a merger may help to increase staff job satisfaction during the challenging period of merger. [Abstract]","author":[{"dropping-particle":"","family":"Lim","given":"Ka","non-dropping-particle":"","parse-names":false,"suffix":""}],"container-title":"Human Resources for Health","id":"ITEM-48","issue":"70","issued":{"date-parts":[["2014"]]},"publisher":"2014","title":"Impact of hospital mergers on staff job satisfaction : a quantitative study.","type":"article-journal","volume":"12"},"uris":["http://www.mendeley.com/documents/?uuid=0e62caa5-f4cd-4b45-9a6a-c7ba4f0fb127"]},{"id":"ITEM-49","itemData":{"DOI":"10.1080/1461667032000066417","ISSN":"14719045","abstract":"There has been increasing interest in collaborations, partnerships and networks as they have emerged as interorganizational innovations to address the integrated nature of complex policy problems. Understanding the variation in how these innovations work, as well as what they do, is an important step in allowing managers to understand better the implications and applications of these arrangements. This article provides a descriptive and functional analysis of the diverse types of interorganizational innovations with an eye toward achieving a more universal typology of the variations that exist. The article details the various applications for which these different variants can be used and the contextual factors that affect them. The typology and functional analysis is useful for decision makers to assess the types of interorganizational innovations they might want to adopt in a given situation. © 2003 Taylor &amp; Francis.","author":[{"dropping-particle":"","family":"Mandell","given":"Myrna","non-dropping-particle":"","parse-names":false,"suffix":""},{"dropping-particle":"","family":"Steelman","given":"Toddi","non-dropping-particle":"","parse-names":false,"suffix":""}],"container-title":"Public Management Review","id":"ITEM-49","issue":"2","issued":{"date-parts":[["2003"]]},"page":"197-224","title":"Understanding what can be accomplished through interorganizational innovations the importance of typologies, context and management strategies","type":"article-journal","volume":"5"},"uris":["http://www.mendeley.com/documents/?uuid=2b55baf4-07bb-4276-8b35-4aaa7d74c17c"]},{"id":"ITEM-50","itemData":{"author":[{"dropping-particle":"","family":"Maniatopoulos","given":"Gregory","non-dropping-particle":"","parse-names":false,"suffix":""},{"dropping-particle":"","family":"Hunter","given":"David J","non-dropping-particle":"","parse-names":false,"suffix":""},{"dropping-particle":"","family":"Erskine","given":"Jonathan","non-dropping-particle":"","parse-names":false,"suffix":""},{"dropping-particle":"","family":"Hudson","given":"Bob","non-dropping-particle":"","parse-names":false,"suffix":""}],"container-title":"Transitions and Boundaries in the Coordination and Reform of Health Services","id":"ITEM-50","issued":{"date-parts":[["2020"]]},"page":"3-27","publisher":"Palgrave Macmillan","title":"Implementing the New Care Models in the NHS: Reconfiguring the Multilevel Nature of Context to Make It Happen","type":"chapter"},"uris":["http://www.mendeley.com/documents/?uuid=39abc5ef-6e24-46f0-b382-e9337d5943e6"]},{"id":"ITEM-51","itemData":{"DOI":"https://doi.org/10.1108/IJOA-05-2018-1415","author":[{"dropping-particle":"","family":"Mervyn","given":"K","non-dropping-particle":"","parse-names":false,"suffix":""},{"dropping-particle":"","family":"Amoo","given":"N A","non-dropping-particle":"","parse-names":false,"suffix":""},{"dropping-particle":"","family":"Malby","given":"R","non-dropping-particle":"","parse-names":false,"suffix":""}],"container-title":"International Journal of Organizational Analysis","id":"ITEM-51","issue":"4","issued":{"date-parts":[["2019"]]},"page":"875-902","title":"Challenges and Insights in Inter-Organizational Collaborative Healthcare Networks: An Empirical Case Study of a Place-Based Network","type":"article-journal","volume":"27"},"uris":["http://www.mendeley.com/documents/?uuid=aa6dd05a-caa5-4fee-9d38-0a4cd50fa898"]},{"id":"ITEM-52","itemData":{"DOI":"10.1111/1468-0009.12356","ISSN":"14680009","abstract":"Policy Points Accountable care organizations (ACOs) form alliances with management partners to access financial, technical, and managerial support. Alliances between ACOs and management partners are subject to destabilizing tension around decision-making authority, distribution of shared savings, and conflicting goals and values. Management partners may serve either as trainers, ultimately breaking off from the ACO, or as central drivers of the ACO. Management partner participation in ACOs is currently unregulated, and management partners may receive a significant portion (in some cases, majority) of shared savings. Context: Accountable care organizations (ACOs) are a prominent payment and delivery model. Though ACOs are often described as groups of health care providers, nearly 4 in 10 ACOs partner with a management company for services such as financial investment, contracting, data analytics, and care management, according to recent research. However, we know little about how and why these partnerships form. This article aims to understand the reasons providers seek partners, the nature of these relationships, and factors critical to the success or failure of these alliances. Methods: We used qualitative data collected longitudinally from 2012 to 2017 at 2 ACOs to understand relationships between management partners and ACO providers. The data include 115 semistructured interviews and observational data from 7 site visits. Two coders applied 48 codes to the data. We reviewed coded data for emergent themes in the context of alliance life cycle theory. Findings: Qualitative data revealed that management partners brought specific skills and services and also gave providers confidence in pursuing an ACO. Over time, tension between providers and management partners arose around decision-making authority, distribution of shared savings, and conflicting goals and values. We observed 2 outcomes of partnerships: cemented partnerships and dissolution. Key factors distinguishing alliance outcome in these 2 cases include degree of trust between organizations in the alliance; approach to conflict resolution; distribution of power in the alliance; skills and confidence acquired by the ACO over the life of the alliance; continuity of management partner delivery on promised resources; and proportion of savings going to the management partner. Conclusions: The diverging paths for ACOs with management partners suggest 2 different roles that management partners may pla…","author":[{"dropping-particle":"","family":"Murray","given":"Genevra F.","non-dropping-particle":"","parse-names":false,"suffix":""},{"dropping-particle":"","family":"D'Aunno","given":"Thomas","non-dropping-particle":"","parse-names":false,"suffix":""},{"dropping-particle":"","family":"Lewis","given":"Valerie A.","non-dropping-particle":"","parse-names":false,"suffix":""}],"container-title":"Milbank Quarterly","id":"ITEM-52","issue":"4","issued":{"date-parts":[["2018"]]},"page":"755-781","title":"Trust, Money, and Power: Life Cycle Dynamics in Alliances Between Management Partners and Accountable Care Organizations","type":"article-journal","volume":"96"},"uris":["http://www.mendeley.com/documents/?uuid=87ed0673-8dc6-4539-95b4-fffb3d412316"]},{"id":"ITEM-53","itemData":{"ISBN":"9781909029","abstract":"A core part of the vision laid out in the NHS five year forward view (Forward View) involves acute hospitals becoming more closely integrated with other forms of care. If the health and social care system is to respond to the changing needs of the population, and also address the financial challenges it faces, acute hospitals will need to play a fundamentally different role within local health economies. This will involve: • moving from an organisational focus to a system-wide perspective • working more closely with local partners, including primary care, social care and community services • developing integrated service models that span organisational boundaries • providing services through horizontal networks with other acute hospitals. This report explores the role that acute hospitals can play in integrated care, drawing on learning from five case study sites in England where acute hospital providers have engaged actively with the integration agenda.","author":[{"dropping-particle":"","family":"Naylor","given":"Chris","non-dropping-particle":"","parse-names":false,"suffix":""},{"dropping-particle":"","family":"Alderwick","given":"Hugh","non-dropping-particle":"","parse-names":false,"suffix":""},{"dropping-particle":"","family":"Honeyman","given":"Matthew","non-dropping-particle":"","parse-names":false,"suffix":""}],"container-title":"King's Fund (revista electrónica)","id":"ITEM-53","issue":"March","issued":{"date-parts":[["2015"]]},"page":"1-90","title":"Acute hospitals and integrated care. From hospitals to health systems.","type":"article-journal"},"uris":["http://www.mendeley.com/documents/?uuid=934e1f78-de81-450c-9f54-205563a3bb17"]},{"id":"ITEM-54","itemData":{"author":[{"dropping-particle":"","family":"NHS Employers","given":"","non-dropping-particle":"","parse-names":false,"suffix":""}],"id":"ITEM-54","issued":{"date-parts":[["2017"]]},"page":"1-56","title":"Trustworthy Collaboration","type":"article-journal"},"uris":["http://www.mendeley.com/documents/?uuid=419502eb-b01f-41ca-aec3-bc02a63dec92"]},{"id":"ITEM-55","itemData":{"author":[{"dropping-particle":"","family":"NHS Professionals","given":"","non-dropping-particle":"","parse-names":false,"suffix":""}],"id":"ITEM-55","issue":"June","issued":{"date-parts":[["2019"]]},"title":"Understanding the key success factors in collaborative working","type":"report"},"uris":["http://www.mendeley.com/documents/?uuid=4ba4d775-b915-4e8b-9eb2-9842459bda19"]},{"id":"ITEM-56","itemData":{"ISSN":"03630277","author":[{"dropping-particle":"","family":"NHS Providers","given":"","non-dropping-particle":"","parse-names":false,"suffix":""}],"id":"ITEM-56","issued":{"date-parts":[["2019"]]},"title":"A place to work: system approaches to workforce challenges in the NHS","type":"report"},"uris":["http://www.mendeley.com/documents/?uuid=345744db-5d57-4ec4-988d-71ae78fe0e66"]},{"id":"ITEM-57","itemData":{"author":[{"dropping-particle":"","family":"NHS Providers","given":"","non-dropping-particle":"","parse-names":false,"suffix":""}],"container-title":"NHS Providers","id":"ITEM-57","issue":"November","issued":{"date-parts":[["2018"]]},"title":"Collaborative working: tackling governance challenges in practice","type":"article-journal"},"uris":["http://www.mendeley.com/documents/?uuid=0c4ec821-3dba-4131-99a5-692997a9c94a"]},{"id":"ITEM-58","itemData":{"ISSN":"09678638","author":[{"dropping-particle":"","family":"NHS Providers","given":"","non-dropping-particle":"","parse-names":false,"suffix":""},{"dropping-particle":"","family":"NHS Clinical Commissioners","given":"","non-dropping-particle":"","parse-names":false,"suffix":""}],"container-title":"NHS Providers","id":"ITEM-58","issued":{"date-parts":[["2018"]]},"title":"Driving forward system working: a snapshot of early progress in collaborative commissioning","type":"report"},"uris":["http://www.mendeley.com/documents/?uuid=b34cd3cf-2571-4d34-a9b8-e8eebde5cb2a"]},{"id":"ITEM-59","itemData":{"DOI":"10.1080/13561820120080454","ISSN":"13561820","PMID":"11725579","abstract":"On the 1st of April 1999 Somerset Health Authority and Somerset County Council established a Joint Commissioning Board (JCB) to commission mental health services. Simultaneously, the Somerset Partnerships Health and Social Care NHS Trust was set-up as a combined health and social care services provider; for the first time in England, the majority of social services mental health staff transferred their employment to this Trust. The JCB commissioned an evaluation of the impact of these innovations on users and carers, staff and senior officers and members in the organisations concerned. In the course of the research, one concept frequently recurred as a source of both optimism and concern: 'culture'. However, the meanings attributed to this term varied significantly between stakeholders. After summarising the methodology and the results to date of the evaluation, this paper briefly reviews the conceptions of culture in the literature on organisations, and introduces a taxonomy for discussing culture. That taxonomy is then deployed to explore the ways in which the notion of 'culture' is being applied to and within the combined Trust in Somerset, and the implications of those applications for local practice and national policy around partnership.","author":[{"dropping-particle":"","family":"Peck","given":"E.","non-dropping-particle":"","parse-names":false,"suffix":""},{"dropping-particle":"","family":"Towell","given":"D.","non-dropping-particle":"","parse-names":false,"suffix":""},{"dropping-particle":"","family":"Gulliver","given":"P.","non-dropping-particle":"","parse-names":false,"suffix":""}],"container-title":"Journal of Interprofessional Care","id":"ITEM-59","issue":"4","issued":{"date-parts":[["2001"]]},"page":"319-327","title":"The meanings of 'culture' in health and social care: A case study of the combined Trust in Somerset","type":"article-journal","volume":"15"},"uris":["http://www.mendeley.com/documents/?uuid=05594aaf-6703-4eea-a503-148c06567ff0"]},{"id":"ITEM-60","itemData":{"ISSN":"1461-5436","abstract":"This local case study reviews progress in joint working in adult services in a country which has been developing innovative partnership arrangements for some years. It is a follow-up to an article in this journal in Issue 10.2 April 2002 (The road to integration in Hertfordshire) and focuses particularly on practical issues which have now arisen from the work of the county-wide joint commissioning board. This will be of interest to other localities where complex collaborative arrangements are needed because several PCTs are working with one local authority. 1 table [Abstract]","author":[{"dropping-particle":"","family":"Pickup","given":"Sarah","non-dropping-particle":"","parse-names":false,"suffix":""}],"container-title":"Journal of Integrated Care","id":"ITEM-60","issue":"2","issued":{"date-parts":[["2004"]]},"note":"From Duplicate 1 (Partnership and governance : the Hertfordshire experience. - Pickup, Sarah)\n\nNot very relevant\n\nFrom Duplicate 2 (Partnership and governance : the Hertfordshire experience. - Pickup, Sarah)\n\nFrom Duplicate 1 (Partnership and governance : the Hertfordshire experience. - Pickup, Sarah)\n\nNot very relevant","page":"14-19","publisher":"2004","title":"Partnership and governance : the Hertfordshire experience.","type":"article-journal","volume":"12"},"uris":["http://www.mendeley.com/documents/?uuid=9c27c2f7-259b-44ae-ad2f-e4a3e284f1af"]},{"id":"ITEM-61","itemData":{"DOI":"10.1108/JICA-02-2018-0020","ISSN":"14769018","abstract":"Purpose: A well-funded, four-year integrated care programme was implemented in south London. The programme attempted to integrate care across primary, acute, community, mental health and social care. The purpose of this paper is to reduce hospital admissions and nursing home placements. Programme evaluation aimed to identify what worked well and what did not; lessons learnt; the value of integrated care investment. Design/methodology/approach: Qualitative data were obtained from documentary analysis, stakeholder interviews, focus groups and observational data from programme meetings. Framework analysis was applied to stakeholder interview and focus group data in order to generate themes. Findings: The integrated care project had not delivered expected radical reductions in hospital or nursing home utilisation. In response, the scheme was reformulated to focus on feasible service integration. Other benefits emerged, particularly system transformation. Nine themes emerged: shared vision/case for change; interventions; leadership; relationships; organisational structures and governance; citizens and patients; evaluation and monitoring; macro level. Each theme was interpreted in terms of “successes”, “challenges” and “lessons learnt”. Research limitations/implications: Evaluation was hampered by lack of a clear evaluation strategy from programme inception to conclusion, and of the evidence required to corroborate claims of benefit. Practical implications: Key lessons learnt included: importance of strong clinical leadership, shared ownership and inbuilt evaluation. Originality/value: Primary care was a key player in the integrated care programme. Initial resistance delayed implementation and related to concerns about vertical integration and scepticism about unrealistic goals. A focus on clinical care and shared ownership contributed to eventual system transformation.","author":[{"dropping-particle":"","family":"Round","given":"Thomas","non-dropping-particle":"","parse-names":false,"suffix":""},{"dropping-particle":"","family":"Ashworth","given":"Mark","non-dropping-particle":"","parse-names":false,"suffix":""},{"dropping-particle":"","family":"Crilly","given":"Tessa","non-dropping-particle":"","parse-names":false,"suffix":""},{"dropping-particle":"","family":"Ferlie","given":"Ewan","non-dropping-particle":"","parse-names":false,"suffix":""},{"dropping-particle":"","family":"Wolfe","given":"Charles","non-dropping-particle":"","parse-names":false,"suffix":""}],"container-title":"Journal of Integrated Care","id":"ITEM-61","issue":"4","issued":{"date-parts":[["2018"]]},"page":"296-308","title":"An integrated care programme in London: qualitative evaluation","type":"article-journal","volume":"26"},"uris":["http://www.mendeley.com/documents/?uuid=e263ee79-2190-410e-9e91-e6e67fc0ccb3"]},{"id":"ITEM-62","itemData":{"DOI":"10.1258/095148402320589019","ISSN":"09514848","abstract":"Research in two recently merged teaching hospitals has studied the effects of merger on the organizational culture of the hospitals and individual staff. Organizational culture is both a tool for managers introducing change and also an observable indicator of change, and hospitals have particularly strong cultures. After reviewing different approaches to analysing culture, and adopting Hofstede's six-dimensional model, the researchers describe one hospital as an aggressive, entrepreneurial, results-oriented organization, with a loosely controlled, devolved management, high expectations of staff and limited participation in decision making. The other is described as a tightly controlled, centralized and paternalistic organization, concerned for its staff and open to dialogue, with a principled commitment to partnership. The management's vision for the new trust combines elements of both cultures. In studying the effects of the merger on staff, the research documents individuals' journey through the merger experience, using Stuart's 'map' of the processes of change. The principal experiences are categorized as sensing, worry work, positioning, shock, hoping and sharing, holding on, letting go, moving, and moving on or away. Individuals' perceptions of the changing hospital cultures show a slow convergence but with new 'fault lines' opening up in the organization.","author":[{"dropping-particle":"","family":"Shaw","given":"Jane","non-dropping-particle":"","parse-names":false,"suffix":""}],"container-title":"Health Services Management Research","id":"ITEM-62","issue":"4","issued":{"date-parts":[["2002"]]},"page":"211-222","title":"Tracking the merger: The human experience","type":"article-journal","volume":"15"},"uris":["http://www.mendeley.com/documents/?uuid=8c60ed4f-7bed-45c2-92f3-af1e6119713d"]},{"id":"ITEM-63","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-63","issue":"November","issued":{"date-parts":[["2020"]]},"title":"HS &amp; DR Rapid Evaluation Centre Topic Report Early evidence of the development of primary care networks in England: a rapid evaluation study","type":"report"},"uris":["http://www.mendeley.com/documents/?uuid=d8ac51e3-1c56-426a-b71e-68e97e21b386"]},{"id":"ITEM-64","itemData":{"DOI":"10.1111/hsc.12538","ISSN":"13652524","PMID":"29327484","abstract":"Collaborative working between general practice (GP) and voluntary and community sector (VCS) organisations is increasingly championed as a means of primary care doing more with less and of addressing patients’ “wicked problems”. This paper aims to add to the knowledge base around collaborative practice between GPs and VCS organisations by examining the factors that aid or inhibit such collaboration. A case study design was used to examine the lived-experience of GPs and VCS organisations working collaboratively. Four cases, each consisting of a GP and a VCS organisation with whom they work collaboratively, were identified. Interviews (n = 18) and a focus group (n = 1) were conducted with staff within each organisation. Transcribed data were analysed thematically. Whilet there are similarities across cases in their use of, for example, Health Trainers and social prescribing, the form and function of GP-VCS collaborations were unique to their local context. The identified factors affecting GP-VCS collaboration reflect those found in previous service evaluations and the broader literature on partnership working; shared understanding, time and resources, trust, strong leadership, operational systems and governance and the “negotiation” of professional boundaries. While the current political environment may represent an opportunity for collaborations to develop, there are issues yet to be resolved before collaboration—especially more holistic and integrated approaches—becomes systematically embedded into practice.","author":[{"dropping-particle":"","family":"Southby","given":"Kris","non-dropping-particle":"","parse-names":false,"suffix":""},{"dropping-particle":"","family":"Gamsu","given":"Mark","non-dropping-particle":"","parse-names":false,"suffix":""}],"container-title":"Health and Social Care in the Community","id":"ITEM-64","issue":"3","issued":{"date-parts":[["2018"]]},"page":"e360-e369","publisher":"Wiley","title":"Factors affecting general practice collaboration with voluntary and community sector organisations","type":"article-journal","volume":"26"},"uris":["http://www.mendeley.com/documents/?uuid=f0d15fce-3c5c-4526-ba00-52c75ddf0021"]},{"id":"ITEM-65","itemData":{"author":[{"dropping-particle":"","family":"Southwark and Lambeth Integrated Care","given":"","non-dropping-particle":"","parse-names":false,"suffix":""}],"id":"ITEM-65","issued":{"date-parts":[["2016"]]},"title":"Integrating Care in Southwark and Lambeth: What we did and how we did it","type":"report"},"uris":["http://www.mendeley.com/documents/?uuid=fbf3cca7-ffcb-4e8f-8ade-b8b08d58e8b0"]},{"id":"ITEM-66","itemData":{"ISSN":"2053-4345","abstract":"In 2014, the body that leads the National Health Service in England published a new strategic vision for the National Health Service. A major part of this strategy was a three-year-long national programme to develop new care models to coordinate care across primary care, community services and hospitals that could be replicated across the country. Local 'vanguard sites' were selected to develop five types of new care model with support from a national team. The new care models programme provided support for local leaders to enable them to collaborate to improve care for their local populations. We interviewed leaders in the vanguard sites to better understand how they made changes to care locally. Drawing on the insights from these interviews and the literature on cross-organisational change and improvement we devised a framework of ten lessons for health and care leaders seeking to develop and implement new models of care. The framework emphasises the importance of developing relationships and building capability locally to enable areas to continuously develop and test new ideas. [Abstract]","author":[{"dropping-particle":"","family":"Starling","given":"Anna","non-dropping-particle":"","parse-names":false,"suffix":""}],"container-title":"International Journal of Care Coordination","editor":[{"dropping-particle":"","family":"Foundation","given":"The Health","non-dropping-particle":"","parse-names":false,"suffix":""}],"id":"ITEM-66","issue":"1-2","issued":{"date-parts":[["2018"]]},"note":"Useful contextual factors and diagrams","page":"50-54","publisher":"2018","title":"Implementing new models of care : lessons from the new care models programme in England.","type":"article-journal","volume":"21"},"uris":["http://www.mendeley.com/documents/?uuid=cdc384a1-937e-4c4c-93d3-7ab93407c602"]},{"id":"ITEM-67","itemData":{"ISSN":"1879-8365","abstract":"In 2016, a new university hospital merged from three former independent Austrian hospitals started its operation. This paper presents a process model developed to coordinate the IT migration after the merger, using five phases to meet the requirements of the specific setting. A methodological mix of interviews, surveys and workshops was applied during the IT migration process. High stakeholder participation and a transparent methodical approach led to a broad agreement on success factors, migration objectives, and evaluation results. Thus, acceptance for the finally selected migration scenario was very high among employees, which is known to be crucial for the success of migration projects.","author":[{"dropping-particle":"","family":"Steininger","given":"Katharina","non-dropping-particle":"","parse-names":false,"suffix":""},{"dropping-particle":"","family":"Kempinger","given":"Birgit","non-dropping-particle":"","parse-names":false,"suffix":""},{"dropping-particle":"","family":"Schiffer","given":"Stefan","non-dropping-particle":"","parse-names":false,"suffix":""},{"dropping-particle":"","family":"Pomberger","given":"Gustav","non-dropping-particle":"","parse-names":false,"suffix":""}],"container-title":"Studies in health technology and informatics","id":"ITEM-67","issued":{"date-parts":[["2016"]]},"note":"Useful for integration of IT systems","page":"182-190","publisher-place":"Netherlands","title":"A Process Model for IT Migrations in the Context of a Hospital Merger - Results from an Austrian Case Study.","type":"article-journal","volume":"223"},"uris":["http://www.mendeley.com/documents/?uuid=7d55ef9f-e7ae-422f-98e5-796759f3a3f1"]},{"id":"ITEM-68","itemData":{"abstract":"This report was commissioned by the King's Fund as part of the process of evaluating the impact and effectiveness of their work in the five development sites of the project. The two questions the report attempted to answer were: to what extent the sites had met the service change targets they set themselves for joint commissioning activities, and the likelihood that these activities would lead to significant and sustainable changes in services; and how useful and effective the development sites have found the support received from the project. [SMD]","author":[{"dropping-particle":"","family":"The King's Fund","given":"","non-dropping-particle":"","parse-names":false,"suffix":""}],"editor":[{"dropping-particle":"","family":"Associates","given":"Rob Greig and","non-dropping-particle":"","parse-names":false,"suffix":""}],"id":"ITEM-68","issued":{"date-parts":[["2005"]]},"note":"Relates to success factors with joint commissioning","publisher":"Bath : Rob Greig &amp; Associates, 1996?","title":"Distilling the lessons : a review of the King's Fund Joint Community Care Commissioning Project.","type":"article-journal"},"uris":["http://www.mendeley.com/documents/?uuid=039ce719-caa1-406c-bfc8-0d58865783f9"]},{"id":"ITEM-69","itemData":{"ISBN":"978 1 909029 95 8","author":[{"dropping-particle":"","family":"Timmins","given":"Nicholas","non-dropping-particle":"","parse-names":false,"suffix":""}],"id":"ITEM-69","issue":"November","issued":{"date-parts":[["2019"]]},"page":"3-25","title":"Leading for integrated care: 'If you think competition is hard, you should try collaboration'","type":"article-journal"},"uris":["http://www.mendeley.com/documents/?uuid=5a8583bf-e072-46b5-b3cd-6d247894e29e"]},{"id":"ITEM-70","itemData":{"abstract":"What Works Scotland aims to improve the way local areas in Scotland use evidence to make decisions about public service development and reform. What Works Scotland is working with Community Planning Partnerships (CPPs) and stakeholder partners to achieve its aims, namely to: • Identify service delivery in Scotland, and how we can translate knowledge from setting to setting • Contribute brings about transformational change for people living in different places across Scotland What Works Scotland (2014-2017) is a collaborative between The Scottish Government, the Economic and Social Research Council (ESRC), the","author":[{"dropping-particle":"","family":"What Works Scotland","given":"","non-dropping-particle":"","parse-names":false,"suffix":""}],"id":"ITEM-70","issue":"December","issued":{"date-parts":[["2015"]]},"page":"26","title":"Partnership working across UK public services","type":"article-journal"},"uris":["http://www.mendeley.com/documents/?uuid=95d3afd7-8627-4bf6-8657-11b29b89e7f8"]},{"id":"ITEM-71","itemData":{"author":[{"dropping-particle":"","family":"Wildridge","given":"Valerie","non-dropping-particle":"","parse-names":false,"suffix":""},{"dropping-particle":"","family":"Childs","given":"Sue","non-dropping-particle":"","parse-names":false,"suffix":""},{"dropping-particle":"","family":"Cawthra","given":"Lynette","non-dropping-particle":"","parse-names":false,"suffix":""},{"dropping-particle":"","family":"Madge","given":"Bruce","non-dropping-particle":"","parse-names":false,"suffix":""}],"container-title":"Health Information and Libraries Journal","id":"ITEM-71","issued":{"date-parts":[["2004"]]},"page":"3-19","title":"How to create successful partnerships — a review","type":"article-journal","volume":"21"},"uris":["http://www.mendeley.com/documents/?uuid=e65d4c51-e465-4f39-8c1e-2a76e6726578"]},{"id":"ITEM-72","itemData":{"author":[{"dropping-particle":"","family":"Zuckerman","given":"Howard S","non-dropping-particle":"","parse-names":false,"suffix":""},{"dropping-particle":"","family":"Kaluzny","given":"Arnold D","non-dropping-particle":"","parse-names":false,"suffix":""},{"dropping-particle":"","family":"Ricketts","given":"Thomas C","non-dropping-particle":"","parse-names":false,"suffix":""}],"container-title":"Health Care Management Review","id":"ITEM-72","issue":"1","issued":{"date-parts":[["1995"]]},"page":"54-64","title":"Alliances in health care: What we know, what we think we know, and what we should know","type":"article-journal","volume":"20"},"uris":["http://www.mendeley.com/documents/?uuid=721f4610-2490-4818-9304-d00b8ddc0273"]}],"mendeley":{"formattedCitation":"&lt;sup&gt;15,17,21,22,32,37,44,47,60,84,85,94,100,102,113,119,145–200&lt;/sup&gt;","plainTextFormattedCitation":"15,17,21,22,32,37,44,47,60,84,85,94,100,102,113,119,145–200","previouslyFormattedCitation":"&lt;sup&gt;15,17,21,22,32,37,44,47,60,84,85,94,100,102,113,119,145–200&lt;/sup&gt;"},"properties":{"noteIndex":0},"schema":"https://github.com/citation-style-language/schema/raw/master/csl-citation.json"}</w:instrText>
      </w:r>
      <w:r>
        <w:fldChar w:fldCharType="separate"/>
      </w:r>
      <w:r w:rsidR="00C4603E" w:rsidRPr="00C4603E">
        <w:rPr>
          <w:noProof/>
          <w:vertAlign w:val="superscript"/>
        </w:rPr>
        <w:t>15,17,21,22,32,37,44,47,60,84,85,94,100,102,113,119,145–200</w:t>
      </w:r>
      <w:r>
        <w:fldChar w:fldCharType="end"/>
      </w:r>
      <w:r>
        <w:t xml:space="preserve">. </w:t>
      </w:r>
    </w:p>
    <w:p w14:paraId="7F3060A8" w14:textId="7B4CDA03" w:rsidR="00EE501D" w:rsidRPr="00672261" w:rsidRDefault="00EE501D" w:rsidP="00525BE0">
      <w:pPr>
        <w:spacing w:line="360" w:lineRule="auto"/>
        <w:jc w:val="both"/>
      </w:pPr>
      <w:r>
        <w:t>Additionally, fourteen th</w:t>
      </w:r>
      <w:r w:rsidRPr="00672261">
        <w:t xml:space="preserve">eoretical papers </w:t>
      </w:r>
      <w:r>
        <w:t xml:space="preserve">were </w:t>
      </w:r>
      <w:r w:rsidRPr="00672261">
        <w:t>included</w:t>
      </w:r>
      <w:r>
        <w:t xml:space="preserve">. These encompassed </w:t>
      </w:r>
      <w:r w:rsidRPr="00672261">
        <w:t xml:space="preserve">one paper for partnership synergy </w:t>
      </w:r>
      <w:r w:rsidRPr="00672261">
        <w:fldChar w:fldCharType="begin" w:fldLock="1"/>
      </w:r>
      <w:r w:rsidR="00EA4B53">
        <w:instrText>ADDIN CSL_CITATION {"citationItems":[{"id":"ITEM-1","itemData":{"DOI":"10.1186/s12939-018-0814-0","ISSN":"14759276","abstract":"Background: Current policy priorities to strengthen the nursing sector in India have focused on increasing the number of nurses in the health system. However, the nursing sector is afflicted by other, significant problems including the low status of nurses in the hierarchy of health care professionals, low salaries, and out-dated systems of professional governance, all affecting nurses' leadership potential and ability to perform. Stronger nurse leadership has the potential to support the achievement of health system goals, especially for strengthening of primary health care, which has been recognised and addressed in several other country contexts. This research study explores the process of policy agenda-setting for nurse leadership in India, and aims to identify the structural and systemic constraints in setting the agenda for policy reforms on the issue. Methods: Our methods included policy document review and expert interviews. We identified policy reforms proposed by different government appointed committees on issues concerning nurses' leadership and its progress. Experts' accounts were used to understand lack of progress in several nursing reform proposals and analysed using deductive thematic analysis for 'legitimacy', 'feasibility' and 'support', in line with Hall's agenda setting model. Results: The absence of quantifiable evidence on the nurse leadership crisis and treatment of nursing reforms as a 'second class' issue were found to negatively influence perceptions of the legitimacy of nurse leadership reform. Feasibility is affected by the lack of representation of nurses in key positions and the absence of a nurse-specific institution, which is seen as essential for creating visibility of the issues facing the profession, their processing and planning for policy solutions. Finally, participants noted the lack of strong support from nurses themselves for these policy reforms, which they attributed to social disempowerment, and lack of professional autonomy. Conclusions: The study emphasises that the nursing empowerment needs institutional reforms to facilitate nurse's distributed leadership across the health system and to enable their collective advocacy that questions the status quo and the structures that uphold it.","author":[{"dropping-particle":"","family":"Lasker","given":"Roz D","non-dropping-particle":"","parse-names":false,"suffix":""},{"dropping-particle":"","family":"Weiss","given":"Elisa S","non-dropping-particle":"","parse-names":false,"suffix":""},{"dropping-particle":"","family":"Miller","given":"Rebecca","non-dropping-particle":"","parse-names":false,"suffix":""}],"container-title":"The Milbank Quartlerly","id":"ITEM-1","issue":"2","issued":{"date-parts":[["2001"]]},"page":"179-205","title":"Partnership Synergy: A Practical Framework for Studying and Strengthening the Collaborative Advantage","type":"article-journal","volume":"79"},"uris":["http://www.mendeley.com/documents/?uuid=ae45cdd7-c520-4101-973e-97a60a59ff2f"]}],"mendeley":{"formattedCitation":"&lt;sup&gt;115&lt;/sup&gt;","plainTextFormattedCitation":"115","previouslyFormattedCitation":"&lt;sup&gt;115&lt;/sup&gt;"},"properties":{"noteIndex":0},"schema":"https://github.com/citation-style-language/schema/raw/master/csl-citation.json"}</w:instrText>
      </w:r>
      <w:r w:rsidRPr="00672261">
        <w:fldChar w:fldCharType="separate"/>
      </w:r>
      <w:r w:rsidR="00E25884" w:rsidRPr="00E25884">
        <w:rPr>
          <w:noProof/>
          <w:vertAlign w:val="superscript"/>
        </w:rPr>
        <w:t>115</w:t>
      </w:r>
      <w:r w:rsidRPr="00672261">
        <w:fldChar w:fldCharType="end"/>
      </w:r>
      <w:r w:rsidRPr="00672261">
        <w:t xml:space="preserve">, one for trust </w:t>
      </w:r>
      <w:r w:rsidRPr="00672261">
        <w:fldChar w:fldCharType="begin" w:fldLock="1"/>
      </w:r>
      <w:r w:rsidR="00EA4B53">
        <w:instrText>ADDIN CSL_CITATION {"citationItems":[{"id":"ITEM-1","itemData":{"DOI":"10.1177/0021886303253179","abstract":"Many organizations aspire to gain collaborative advantage by working in partnerships across organizational, sectoral, and even national boundaries. Such collaborations, however , are difficult to manage, and the likelihood of disappointing outputs is high. To create advantage, practitioners need to engage in a continuous process of nurturing the collabo-rative processes. One issue that appears significant in the nurturing process is trust. This article incorporates a synthesis of research on trust with research on other aspects of collaboration. It develops a trust-building loop and examines its validity to inform practice. It argues that trust building is problematic and that management of trust implies both the ability to cope in situations where trust is lacking and the ability to build trust in situations where this is possible. It summarizes pragmatic implications in a tool for thinking about and addressing trust management in different collaborative situations.","author":[{"dropping-particle":"","family":"Vangen","given":"Siv","non-dropping-particle":"","parse-names":false,"suffix":""},{"dropping-particle":"","family":"Huxham","given":"Chris","non-dropping-particle":"","parse-names":false,"suffix":""}],"container-title":"Journal of Applied Behavioral Science","id":"ITEM-1","issue":"1","issued":{"date-parts":[["2003"]]},"page":"5-31","title":"Nurturing collaborative relations: Building Trust in Interorganizational Collaboration","type":"article-journal","volume":"39"},"uris":["http://www.mendeley.com/documents/?uuid=b9ed2b75-5dea-48de-9b1c-9679832ee22f"]}],"mendeley":{"formattedCitation":"&lt;sup&gt;14&lt;/sup&gt;","plainTextFormattedCitation":"14","previouslyFormattedCitation":"&lt;sup&gt;14&lt;/sup&gt;"},"properties":{"noteIndex":0},"schema":"https://github.com/citation-style-language/schema/raw/master/csl-citation.json"}</w:instrText>
      </w:r>
      <w:r w:rsidRPr="00672261">
        <w:fldChar w:fldCharType="separate"/>
      </w:r>
      <w:r w:rsidR="00E25884" w:rsidRPr="00E25884">
        <w:rPr>
          <w:noProof/>
          <w:vertAlign w:val="superscript"/>
        </w:rPr>
        <w:t>14</w:t>
      </w:r>
      <w:r w:rsidRPr="00672261">
        <w:fldChar w:fldCharType="end"/>
      </w:r>
      <w:r w:rsidRPr="00672261">
        <w:t xml:space="preserve">, two for conflict </w:t>
      </w:r>
      <w:r w:rsidRPr="00672261">
        <w:fldChar w:fldCharType="begin" w:fldLock="1"/>
      </w:r>
      <w:r w:rsidR="00EA4B53">
        <w:instrText>ADDIN CSL_CITATION {"citationItems":[{"id":"ITEM-1","itemData":{"ISSN":"0143-2095","author":[{"dropping-particle":"","family":"Mohr","given":"Jakki","non-dropping-particle":"","parse-names":false,"suffix":""},{"dropping-particle":"","family":"Spekman","given":"Robert","non-dropping-particle":"","parse-names":false,"suffix":""}],"container-title":"Strategic Management Journal","id":"ITEM-1","issue":"2","issued":{"date-parts":[["1994"]]},"page":"135-152","publisher":"Wiley Online Library","title":"Characteristics of partnership success: partnership attributes, communication behavior, and conflict resolution techniques","type":"article-journal","volume":"15"},"uris":["http://www.mendeley.com/documents/?uuid=cc7ffa4b-b6a9-4e2d-a160-0d68859b7488","http://www.mendeley.com/documents/?uuid=4b0b859b-461c-478f-9d89-f240f910a6c8"]},{"id":"ITEM-2","itemData":{"DOI":"10.1177/2055563614568493","ISBN":"2055563614568","ISSN":"2055-5636","abstract":"While inter-personal conflicts have attracted much attention from scholars and practitioners over the last two decades, our understanding of inter-organizational conflicts remains limited. This paper critically assesses current literature on inter-organizational conflicts. We first discuss the specific features of conflicts at the inter-organizational level. Second, we provide an overview of both qualitative and quantitative research conducted in the field. Third, we make suggestions for future research on inter-organizational conflicts. We specifically suggest opportunities to develop theoretical bridges with other streams of literature and to build multi-level models of conflict management. We then discuss important empirical issues associated with doing research on conflicts between organizations and provide recommendations to overcome these challenges.","author":[{"dropping-particle":"","family":"Lumineau","given":"Fabrice","non-dropping-particle":"","parse-names":false,"suffix":""},{"dropping-particle":"","family":"Eckerd","given":"Stephanie","non-dropping-particle":"","parse-names":false,"suffix":""},{"dropping-particle":"","family":"Handley","given":"Sean","non-dropping-particle":"","parse-names":false,"suffix":""}],"container-title":"Journal of Strategic Contracting and Negotiation","id":"ITEM-2","issue":"1","issued":{"date-parts":[["2015"]]},"page":"42-64","title":"Inter-organizational conflicts: research overview, challenges, and opportunities","type":"article-journal","volume":"1"},"uris":["http://www.mendeley.com/documents/?uuid=392b5ad5-983a-43e7-85ee-fc43c99dde0f","http://www.mendeley.com/documents/?uuid=561ef0cd-465a-406f-a4eb-2b0dda9d1a1f"]}],"mendeley":{"formattedCitation":"&lt;sup&gt;201,202&lt;/sup&gt;","plainTextFormattedCitation":"201,202","previouslyFormattedCitation":"&lt;sup&gt;201,202&lt;/sup&gt;"},"properties":{"noteIndex":0},"schema":"https://github.com/citation-style-language/schema/raw/master/csl-citation.json"}</w:instrText>
      </w:r>
      <w:r w:rsidRPr="00672261">
        <w:fldChar w:fldCharType="separate"/>
      </w:r>
      <w:r w:rsidR="00E25884" w:rsidRPr="00E25884">
        <w:rPr>
          <w:noProof/>
          <w:vertAlign w:val="superscript"/>
        </w:rPr>
        <w:t>201,202</w:t>
      </w:r>
      <w:r w:rsidRPr="00672261">
        <w:fldChar w:fldCharType="end"/>
      </w:r>
      <w:r w:rsidRPr="00672261">
        <w:t xml:space="preserve">, one for power </w:t>
      </w:r>
      <w:r w:rsidRPr="00672261">
        <w:fldChar w:fldCharType="begin" w:fldLock="1"/>
      </w:r>
      <w:r w:rsidR="00EA4B53">
        <w:instrText>ADDIN CSL_CITATION {"citationItems":[{"id":"ITEM-1","itemData":{"DOI":"10.1080/14719037.2012.744426","ISSN":"14719045","abstract":"Collaborative networks in the public and non-profit sector face challenges that are typical for their institutional context. The typical characteristics that might impede the functioning of networks and, in particular, the development of trust and network effectiveness, are related to type of instigation, network flexibility, and power in the form of unbalanced influence and the vertical character of networks. In a sample of 52 networks, the effects of network flexibility, mandatory and vertical networks, and influence on trust and network effectiveness were studied. Findings indicated that particularly flexibility in networks was important and that cognition-based trust played a central role in obtaining effective networks. © 2014 Copyright Taylor &amp; Francis Group, LLC.","author":[{"dropping-particle":"","family":"Willem","given":"Annick","non-dropping-particle":"","parse-names":false,"suffix":""},{"dropping-particle":"","family":"Lucidarme","given":"Steffie","non-dropping-particle":"","parse-names":false,"suffix":""}],"container-title":"Public Management Review","id":"ITEM-1","issue":"5","issued":{"date-parts":[["2014"]]},"page":"733-760","title":"Pitfalls and Challenges for Trust and Effectiveness in Collaborative Networks","type":"article-journal","volume":"16"},"uris":["http://www.mendeley.com/documents/?uuid=7a335d1b-0fee-4981-93f5-a4dd634f190a","http://www.mendeley.com/documents/?uuid=51ddec5b-645c-406c-ad5e-cad4d7d44c80"]}],"mendeley":{"formattedCitation":"&lt;sup&gt;203&lt;/sup&gt;","plainTextFormattedCitation":"203","previouslyFormattedCitation":"&lt;sup&gt;203&lt;/sup&gt;"},"properties":{"noteIndex":0},"schema":"https://github.com/citation-style-language/schema/raw/master/csl-citation.json"}</w:instrText>
      </w:r>
      <w:r w:rsidRPr="00672261">
        <w:fldChar w:fldCharType="separate"/>
      </w:r>
      <w:r w:rsidR="00E25884" w:rsidRPr="00E25884">
        <w:rPr>
          <w:noProof/>
          <w:vertAlign w:val="superscript"/>
        </w:rPr>
        <w:t>203</w:t>
      </w:r>
      <w:r w:rsidRPr="00672261">
        <w:fldChar w:fldCharType="end"/>
      </w:r>
      <w:r w:rsidRPr="00672261">
        <w:t xml:space="preserve">, one for coordination </w:t>
      </w:r>
      <w:r w:rsidRPr="00672261">
        <w:fldChar w:fldCharType="begin" w:fldLock="1"/>
      </w:r>
      <w:r w:rsidR="00EA4B53">
        <w:instrText>ADDIN CSL_CITATION {"citationItems":[{"id":"ITEM-1","itemData":{"DOI":"10.1002/hpm.826","ISSN":"07496753","PMID":"16604850","abstract":"With the increasing differentiation of organisations involved in the pursuit of public health, there is also a growing need for inter-organisational integration. Starting from the concepts of differentiation and integration, this article is attempting a theoretical reconstruction based on published research on inter-organisational integration in public health and related welfare services. Different forms of integration are defined and related to each other in a conceptual framework, which is in itself an integration of different theoretical perspectives. According to this framework, integration in the field of public health requires inter-organisational collaboration across different sectors of the society. Such intersectoral collaboration can be organised mainly in the form of multidisciplinary team across the boundaries of different organisations and sectors. Such an organisation is fragile and volatile, however, which means that it needs a lot of management support in order to survive. Copyright © 2006 John Wiley &amp; Sons, Ltd.","author":[{"dropping-particle":"","family":"Axelsson","given":"Runo","non-dropping-particle":"","parse-names":false,"suffix":""},{"dropping-particle":"","family":"Axelsson","given":"Susanna Bihari","non-dropping-particle":"","parse-names":false,"suffix":""}],"container-title":"International Journal of Health Planning and Management","id":"ITEM-1","issue":"1","issued":{"date-parts":[["2006"]]},"page":"75-88","title":"Integration and collaboration in public health - A conceptual framework","type":"article-journal","volume":"21"},"uris":["http://www.mendeley.com/documents/?uuid=773a2dfd-384e-4a30-9a3a-ad0a2164a016"]}],"mendeley":{"formattedCitation":"&lt;sup&gt;125&lt;/sup&gt;","plainTextFormattedCitation":"125","previouslyFormattedCitation":"&lt;sup&gt;125&lt;/sup&gt;"},"properties":{"noteIndex":0},"schema":"https://github.com/citation-style-language/schema/raw/master/csl-citation.json"}</w:instrText>
      </w:r>
      <w:r w:rsidRPr="00672261">
        <w:fldChar w:fldCharType="separate"/>
      </w:r>
      <w:r w:rsidR="00E25884" w:rsidRPr="00E25884">
        <w:rPr>
          <w:noProof/>
          <w:vertAlign w:val="superscript"/>
        </w:rPr>
        <w:t>125</w:t>
      </w:r>
      <w:r w:rsidRPr="00672261">
        <w:fldChar w:fldCharType="end"/>
      </w:r>
      <w:r w:rsidRPr="00672261">
        <w:t xml:space="preserve">, one for leadership </w:t>
      </w:r>
      <w:r w:rsidRPr="00672261">
        <w:fldChar w:fldCharType="begin" w:fldLock="1"/>
      </w:r>
      <w:r w:rsidR="00EA4B53">
        <w:instrText>ADDIN CSL_CITATION {"citationItems":[{"id":"ITEM-1","itemData":{"ISBN":"9781909029385","abstract":"This paper seeks to identify the skills, knowledge and behaviours required of new system leaders and to learn from systems attempting to combine strong organisational leadership with collaborative system-level leadership approaches. The paper draws on three years' development work with leaders in health care systems in north-west England, undertaken by the Advancing Quality Alliance (AQuA) and The King's Fund which has adopted a 'discovery' approach to developing integrated care and the leadership capabilities supporting it.","author":[{"dropping-particle":"","family":"Fillingham","given":"David","non-dropping-particle":"","parse-names":false,"suffix":""},{"dropping-particle":"","family":"Weir","given":"Belinda","non-dropping-particle":"","parse-names":false,"suffix":""}],"container-title":"The King's Fund","id":"ITEM-1","issue":"October","issued":{"date-parts":[["2014"]]},"title":"System leadership: Lessons and learning from AQuA's Integrated Care Discovery Communities","type":"article-journal"},"uris":["http://www.mendeley.com/documents/?uuid=e430153f-7dc7-48c4-91cd-37d70cb259c6"]}],"mendeley":{"formattedCitation":"&lt;sup&gt;204&lt;/sup&gt;","plainTextFormattedCitation":"204","previouslyFormattedCitation":"&lt;sup&gt;204&lt;/sup&gt;"},"properties":{"noteIndex":0},"schema":"https://github.com/citation-style-language/schema/raw/master/csl-citation.json"}</w:instrText>
      </w:r>
      <w:r w:rsidRPr="00672261">
        <w:fldChar w:fldCharType="separate"/>
      </w:r>
      <w:r w:rsidR="00E25884" w:rsidRPr="00E25884">
        <w:rPr>
          <w:noProof/>
          <w:vertAlign w:val="superscript"/>
        </w:rPr>
        <w:t>204</w:t>
      </w:r>
      <w:r w:rsidRPr="00672261">
        <w:fldChar w:fldCharType="end"/>
      </w:r>
      <w:r w:rsidRPr="00672261">
        <w:t xml:space="preserve">, two for organisational flexibility </w:t>
      </w:r>
      <w:r w:rsidRPr="00672261">
        <w:fldChar w:fldCharType="begin" w:fldLock="1"/>
      </w:r>
      <w:r w:rsidR="00EA4B53">
        <w:instrText>ADDIN CSL_CITATION {"citationItems":[{"id":"ITEM-1","itemData":{"DOI":"10.1504/IJASS.2013.053349","ISSN":"17510589","abstract":"The objective of this paper is to clarify the complex notion of flexibility and to explore the impact of inter-organisational information systems (IOS) on the flexibility of the interaction between organisations. Based on previous research and on Vickers's appreciative systems thinking, the paper examines flexibility as a multidimensional concept, influenced by the inter-organisational context. Following an interpretive approach and a multiple case design, it analyses the flexibility of the interaction of two retailers and two suppliers. Based on the empirical findings, it shows that the use of IOS can constrain even competent organisations. It also shows how different organisational contexts affect the flexibility of inter-organisational collaboration. It finally discusses the socio-technical and dynamic nature of flexibility, as well as examining the relationships between its different dimensions. Copyright © 2013 Inderscience Enterprises Ltd.","author":[{"dropping-particle":"","family":"Kopanaki","given":"Evangelia","non-dropping-particle":"","parse-names":false,"suffix":""},{"dropping-particle":"","family":"Smithson","given":"Steve","non-dropping-particle":"","parse-names":false,"suffix":""}],"container-title":"International Journal of Applied Systemic Studies","id":"ITEM-1","issue":"1-2","issued":{"date-parts":[["2013"]]},"page":"92-113","title":"The issue of flexibility in inter-organisational collaboration: An appreciative systems thinking perspective","type":"article-journal","volume":"5"},"uris":["http://www.mendeley.com/documents/?uuid=ef15b953-2c69-48fb-9208-8731daf56bc7","http://www.mendeley.com/documents/?uuid=b549405c-fcc7-4dd7-9908-979a72404b18"]},{"id":"ITEM-2","itemData":{"DOI":"10.1080/14719037.2012.744426","ISSN":"14719045","abstract":"Collaborative networks in the public and non-profit sector face challenges that are typical for their institutional context. The typical characteristics that might impede the functioning of networks and, in particular, the development of trust and network effectiveness, are related to type of instigation, network flexibility, and power in the form of unbalanced influence and the vertical character of networks. In a sample of 52 networks, the effects of network flexibility, mandatory and vertical networks, and influence on trust and network effectiveness were studied. Findings indicated that particularly flexibility in networks was important and that cognition-based trust played a central role in obtaining effective networks. © 2014 Copyright Taylor &amp; Francis Group, LLC.","author":[{"dropping-particle":"","family":"Willem","given":"Annick","non-dropping-particle":"","parse-names":false,"suffix":""},{"dropping-particle":"","family":"Lucidarme","given":"Steffie","non-dropping-particle":"","parse-names":false,"suffix":""}],"container-title":"Public Management Review","id":"ITEM-2","issue":"5","issued":{"date-parts":[["2014"]]},"page":"733-760","title":"Pitfalls and Challenges for Trust and Effectiveness in Collaborative Networks","type":"article-journal","volume":"16"},"uris":["http://www.mendeley.com/documents/?uuid=51ddec5b-645c-406c-ad5e-cad4d7d44c80","http://www.mendeley.com/documents/?uuid=7a335d1b-0fee-4981-93f5-a4dd634f190a"]}],"mendeley":{"formattedCitation":"&lt;sup&gt;203,205&lt;/sup&gt;","plainTextFormattedCitation":"203,205","previouslyFormattedCitation":"&lt;sup&gt;203,205&lt;/sup&gt;"},"properties":{"noteIndex":0},"schema":"https://github.com/citation-style-language/schema/raw/master/csl-citation.json"}</w:instrText>
      </w:r>
      <w:r w:rsidRPr="00672261">
        <w:fldChar w:fldCharType="separate"/>
      </w:r>
      <w:r w:rsidR="00E25884" w:rsidRPr="00E25884">
        <w:rPr>
          <w:noProof/>
          <w:vertAlign w:val="superscript"/>
        </w:rPr>
        <w:t>203,205</w:t>
      </w:r>
      <w:r w:rsidRPr="00672261">
        <w:fldChar w:fldCharType="end"/>
      </w:r>
      <w:r w:rsidRPr="00672261">
        <w:t xml:space="preserve">, one for task complexity </w:t>
      </w:r>
      <w:r w:rsidRPr="00672261">
        <w:fldChar w:fldCharType="begin" w:fldLock="1"/>
      </w:r>
      <w:r w:rsidR="00EA4B53">
        <w:instrText>ADDIN CSL_CITATION {"citationItems":[{"id":"ITEM-1","itemData":{"DOI":"10.1016/j.ergon.2012.09.001","ISSN":"01698141","abstract":"Task complexity has been recognized as an important task characteristic that influences and predicts human performance and behaviors. However, currently there is still limited consensus on how to understand this concept. This study aims at providing a clear, systematic understanding of task complexity. Task complexity definitions and models in the literature are reviewed from structuralist, resource requirement, and interaction viewpoints. Various existing task complexity definitions are summarized. Confusing terms related to task complexity are then clarified. From an objective and broad sense, task complexity is conceptualized following a task-component-factor-dimension framework. A six-component task model is proposed for identifying salient complexity contributory factors. Task complexity is then structured with ten dimensions. Finally, the proposed task complexity model was compared with other models. Relevance to industry: The review and conceptualization of task complexity are helpful for better understanding of task complexity, its measurement and management, and in-depth analysis of various tasks in industries. © 2012 Elsevier B.V.","author":[{"dropping-particle":"","family":"Liu","given":"Peng","non-dropping-particle":"","parse-names":false,"suffix":""},{"dropping-particle":"","family":"Li","given":"Zhizhong","non-dropping-particle":"","parse-names":false,"suffix":""}],"container-title":"International Journal of Industrial Ergonomics","id":"ITEM-1","issue":"6","issued":{"date-parts":[["2012"]]},"page":"553-568","publisher":"Elsevier Ltd","title":"Task complexity: A review and conceptualization framework","type":"article-journal","volume":"42"},"uris":["http://www.mendeley.com/documents/?uuid=e8afcf3a-e0d6-42ed-8c2e-a8d74c4c00ee","http://www.mendeley.com/documents/?uuid=bc648ca4-e67e-445b-9e43-a170fd84a217"]}],"mendeley":{"formattedCitation":"&lt;sup&gt;206&lt;/sup&gt;","plainTextFormattedCitation":"206","previouslyFormattedCitation":"&lt;sup&gt;206&lt;/sup&gt;"},"properties":{"noteIndex":0},"schema":"https://github.com/citation-style-language/schema/raw/master/csl-citation.json"}</w:instrText>
      </w:r>
      <w:r w:rsidRPr="00672261">
        <w:fldChar w:fldCharType="separate"/>
      </w:r>
      <w:r w:rsidR="00E25884" w:rsidRPr="00E25884">
        <w:rPr>
          <w:noProof/>
          <w:vertAlign w:val="superscript"/>
        </w:rPr>
        <w:t>206</w:t>
      </w:r>
      <w:r w:rsidRPr="00672261">
        <w:fldChar w:fldCharType="end"/>
      </w:r>
      <w:r w:rsidRPr="00672261">
        <w:t xml:space="preserve">, two for confidence and formalisation </w:t>
      </w:r>
      <w:r w:rsidRPr="00672261">
        <w:fldChar w:fldCharType="begin" w:fldLock="1"/>
      </w:r>
      <w:r w:rsidR="00EA4B53">
        <w:instrText>ADDIN CSL_CITATION {"citationItems":[{"id":"ITEM-1","itemData":{"DOI":"10.1111/j.1468-5930.2005.00312.x","ISSN":"14685930","PMID":"16453947","abstract":"Trusting agents characteristically anticipate beneficial outcomes, under conditions of uncertainty, in their engagement with others. However, debates about trust incorporate different interpretations of risk, uncertainty, calculation, affect, morality and motivation in explaining when trust is appropriate and how it operates. This article argues that discussions about trust have produced a concept without coherent boundaries and with little operational value. Two paradigms are identified, which distinguish the characteristics of trust and confidence. It is argued that a reliance on confidence in human affairs makes trust redundant and that this has undesirable moral consequences. Discussion is illustrated by the UK Government’s ‘modernisation’ policy in health and social care, which privileges confidence in systems over trust in moral agents.","author":[{"dropping-particle":"","family":"Smith","given":"Carole","non-dropping-particle":"","parse-names":false,"suffix":""}],"container-title":"Journal of Applied Philosophy","id":"ITEM-1","issue":"3","issued":{"date-parts":[["2005"]]},"page":"299-316","title":"Understanding trust and confidence: Two paradigms and their significance for health and social care","type":"article-journal","volume":"22"},"uris":["http://www.mendeley.com/documents/?uuid=ce15a128-adbe-41e2-9a5b-7bce9f5b8a06"]},{"id":"ITEM-2","itemData":{"author":[{"dropping-particle":"","family":"McNamara","given":"M","non-dropping-particle":"","parse-names":false,"suffix":""}],"container-title":"Advancing collaboration theory: Models, typologies, and evidence","id":"ITEM-2","issued":{"date-parts":[["2016"]]},"page":"65-86","publisher":"Routledge New York, NY","title":"Unraveling the characteristics of mandated collaboration","type":"chapter"},"uris":["http://www.mendeley.com/documents/?uuid=35deb489-754e-4a07-854d-85599455bfd8"]}],"mendeley":{"formattedCitation":"&lt;sup&gt;207,208&lt;/sup&gt;","plainTextFormattedCitation":"207,208","previouslyFormattedCitation":"&lt;sup&gt;207,208&lt;/sup&gt;"},"properties":{"noteIndex":0},"schema":"https://github.com/citation-style-language/schema/raw/master/csl-citation.json"}</w:instrText>
      </w:r>
      <w:r w:rsidRPr="00672261">
        <w:fldChar w:fldCharType="separate"/>
      </w:r>
      <w:r w:rsidR="00E25884" w:rsidRPr="00E25884">
        <w:rPr>
          <w:noProof/>
          <w:vertAlign w:val="superscript"/>
        </w:rPr>
        <w:t>207,208</w:t>
      </w:r>
      <w:r w:rsidRPr="00672261">
        <w:fldChar w:fldCharType="end"/>
      </w:r>
      <w:r w:rsidRPr="00672261">
        <w:t xml:space="preserve">, and two for proximity theory </w:t>
      </w:r>
      <w:r w:rsidRPr="00672261">
        <w:fldChar w:fldCharType="begin" w:fldLock="1"/>
      </w:r>
      <w:r w:rsidR="00EA4B53">
        <w:instrText>ADDIN CSL_CITATION {"citationItems":[{"id":"ITEM-1","itemData":{"DOI":"10.1111/j.1468-2370.2006.00121.x","ISSN":"14608545","abstract":"The proximity concept is used in many different ways in the literature. These dimensions of proximity are, however, defined and measured in many different (sometimes even contradictory) ways, show large amounts of overlap, and often are under- or over-specified. The goal of this paper is to specify the different dimensions of proximity relevant in inter-organizational collaboration more precisely and to provide definitions of these dimensions. The research presented contributes to reducing the ambiguity of the proximity concept as used in the literature. Based on the above, the following research question is addressed in this paper: 'Which dimensions of proximity are relevant in inter-organizational collaboration and how are they defined?' A systematic literature review is presented in order to disentangle the dimensions of the proximity concept. Based on this literature review, three dimensions of proximity relevant in inter-organizational collaboration are distinguished: geographical proximity, organizational proximity and technological proximity. Examples (case studies) from the literature are used to illustrate the current conceptual ambiguity as well as to clarify how the proposed dimensions of proximity reduce this conceptual ambiguity. © Blackwell Publishing Ltd 2006.","author":[{"dropping-particle":"","family":"Knoben","given":"J.","non-dropping-particle":"","parse-names":false,"suffix":""},{"dropping-particle":"","family":"Oerlemans","given":"L. A.G.","non-dropping-particle":"","parse-names":false,"suffix":""}],"container-title":"International Journal of Management Reviews","id":"ITEM-1","issue":"2","issued":{"date-parts":[["2006"]]},"page":"71-89","title":"Proximity and inter-organizational collaboration: A literature review","type":"article-journal","volume":"8"},"uris":["http://www.mendeley.com/documents/?uuid=6a994531-0acb-4ff0-bd8e-818fdbe18de4","http://www.mendeley.com/documents/?uuid=ab8c22ce-b1cd-4bc2-bb06-dd4d41e4c3e8"]},{"id":"ITEM-2","itemData":{"author":[{"dropping-particle":"","family":"Torre","given":"André","non-dropping-particle":"","parse-names":false,"suffix":""},{"dropping-particle":"","family":"Gallaud","given":"Delphine","non-dropping-particle":"","parse-names":false,"suffix":""},{"dropping-particle":"","family":"Paper","given":"Conference","non-dropping-particle":"","parse-names":false,"suffix":""}],"id":"ITEM-2","issued":{"date-parts":[["2004"]]},"publisher":"Louvain-la-Neuve: European Regional Science Association (ERSA)","title":"Geographical proximity and circulation of knowledge through inter-firm cooperation","type":"article-journal"},"uris":["http://www.mendeley.com/documents/?uuid=16c74fc4-8ace-4e63-9ec3-d65f5bd7ac47","http://www.mendeley.com/documents/?uuid=f8357187-33a8-4e6c-a144-29bdc4b9777e"]}],"mendeley":{"formattedCitation":"&lt;sup&gt;209,210&lt;/sup&gt;","plainTextFormattedCitation":"209,210","previouslyFormattedCitation":"&lt;sup&gt;209,210&lt;/sup&gt;"},"properties":{"noteIndex":0},"schema":"https://github.com/citation-style-language/schema/raw/master/csl-citation.json"}</w:instrText>
      </w:r>
      <w:r w:rsidRPr="00672261">
        <w:fldChar w:fldCharType="separate"/>
      </w:r>
      <w:r w:rsidR="00E25884" w:rsidRPr="00E25884">
        <w:rPr>
          <w:noProof/>
          <w:vertAlign w:val="superscript"/>
        </w:rPr>
        <w:t>209,210</w:t>
      </w:r>
      <w:r w:rsidRPr="00672261">
        <w:fldChar w:fldCharType="end"/>
      </w:r>
      <w:r w:rsidRPr="00672261">
        <w:t>.</w:t>
      </w:r>
    </w:p>
    <w:p w14:paraId="7DF90630" w14:textId="77777777" w:rsidR="00EE501D" w:rsidRPr="00A80DEB" w:rsidRDefault="00EE501D" w:rsidP="00525BE0">
      <w:pPr>
        <w:spacing w:line="360" w:lineRule="auto"/>
        <w:jc w:val="both"/>
        <w:sectPr w:rsidR="00EE501D" w:rsidRPr="00A80DEB">
          <w:headerReference w:type="default" r:id="rId25"/>
          <w:footerReference w:type="default" r:id="rId26"/>
          <w:pgSz w:w="11906" w:h="16838"/>
          <w:pgMar w:top="1440" w:right="1440" w:bottom="1440" w:left="1440" w:header="708" w:footer="708" w:gutter="0"/>
          <w:cols w:space="708"/>
          <w:docGrid w:linePitch="360"/>
        </w:sectPr>
      </w:pPr>
    </w:p>
    <w:p w14:paraId="556F54B3" w14:textId="77777777" w:rsidR="00EE501D" w:rsidRDefault="00EE501D" w:rsidP="00525BE0">
      <w:pPr>
        <w:keepNext/>
        <w:spacing w:line="360" w:lineRule="auto"/>
        <w:jc w:val="both"/>
      </w:pPr>
      <w:r>
        <w:rPr>
          <w:noProof/>
          <w:lang w:eastAsia="en-GB"/>
        </w:rPr>
        <w:drawing>
          <wp:inline distT="0" distB="0" distL="0" distR="0" wp14:anchorId="0396CD0E" wp14:editId="4B4548EF">
            <wp:extent cx="7925121" cy="5393146"/>
            <wp:effectExtent l="0" t="0" r="0" b="444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7925121" cy="5393146"/>
                    </a:xfrm>
                    <a:prstGeom prst="rect">
                      <a:avLst/>
                    </a:prstGeom>
                  </pic:spPr>
                </pic:pic>
              </a:graphicData>
            </a:graphic>
          </wp:inline>
        </w:drawing>
      </w:r>
    </w:p>
    <w:p w14:paraId="2B113B35" w14:textId="25884DAE" w:rsidR="00EE501D" w:rsidRDefault="00EE501D" w:rsidP="00525BE0">
      <w:pPr>
        <w:pStyle w:val="Caption"/>
        <w:spacing w:line="360" w:lineRule="auto"/>
        <w:jc w:val="both"/>
      </w:pPr>
      <w:bookmarkStart w:id="93" w:name="_Toc106181616"/>
      <w:r>
        <w:t xml:space="preserve">Figure </w:t>
      </w:r>
      <w:fldSimple w:instr=" SEQ Figure \* ARABIC ">
        <w:r w:rsidR="009175EA">
          <w:rPr>
            <w:noProof/>
          </w:rPr>
          <w:t>11</w:t>
        </w:r>
      </w:fldSimple>
      <w:r>
        <w:t>. PRISMA diagram reflecting all papers included in this realist synthesis.</w:t>
      </w:r>
      <w:bookmarkEnd w:id="93"/>
    </w:p>
    <w:p w14:paraId="4F193479" w14:textId="0C3B78DD" w:rsidR="00EE501D" w:rsidRDefault="00EE501D" w:rsidP="00525BE0">
      <w:pPr>
        <w:pStyle w:val="Caption"/>
        <w:keepNext/>
        <w:spacing w:line="360" w:lineRule="auto"/>
        <w:jc w:val="both"/>
      </w:pPr>
      <w:bookmarkStart w:id="94" w:name="_Toc106181509"/>
      <w:r>
        <w:t xml:space="preserve">Table </w:t>
      </w:r>
      <w:r w:rsidR="008802A5">
        <w:fldChar w:fldCharType="begin"/>
      </w:r>
      <w:r w:rsidR="008802A5">
        <w:instrText xml:space="preserve"> SEQ Table \* ARABIC </w:instrText>
      </w:r>
      <w:r w:rsidR="008802A5">
        <w:fldChar w:fldCharType="separate"/>
      </w:r>
      <w:r w:rsidR="003B1A8C">
        <w:rPr>
          <w:noProof/>
        </w:rPr>
        <w:t>5</w:t>
      </w:r>
      <w:r w:rsidR="008802A5">
        <w:rPr>
          <w:noProof/>
        </w:rPr>
        <w:fldChar w:fldCharType="end"/>
      </w:r>
      <w:r>
        <w:t xml:space="preserve">. Characteristics of included literature (not including theoretical papers). Adapted from both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review","type":"article-journal","volume":"10"},"uris":["http://www.mendeley.com/documents/?uuid=4c2502ce-f262-41ce-80f9-fb7d74555f78"]},{"id":"ITEM-2","itemData":{"DOI":"10.1186/s12913-021-06630-x","author":[{"dropping-particle":"","family":"Aunger","given":"Justin Avery","non-dropping-particle":"","parse-names":false,"suffix":""},{"dropping-particle":"","family":"Millar","given":"Ross","non-dropping-particle":"","parse-names":false,"suffix":""},{"dropping-particle":"","family":"Greenhalgh","given":"Joanne","non-dropping-particle":"","parse-names":false,"suffix":""}],"container-title":"BMC Health Services Research","id":"ITEM-2","issue":"602","issued":{"date-parts":[["2021"]]},"title":"When trust, confidence, and faith collide: refining a realist theory of how and why inter-organisational collaborations in healthcare work","type":"article-journal","volume":"21"},"uris":["http://www.mendeley.com/documents/?uuid=09b12ed0-f45f-442a-9890-205c3566f0e8"]}],"mendeley":{"formattedCitation":"&lt;sup&gt;135,138&lt;/sup&gt;","manualFormatting":"J. A. Aunger, Millar, &amp; Greenhalgh (2021) and J. A. Aunger, Millar, Greenhalgh, et al. (2021)","plainTextFormattedCitation":"135,138","previouslyFormattedCitation":"&lt;sup&gt;135,138&lt;/sup&gt;"},"properties":{"noteIndex":0},"schema":"https://github.com/citation-style-language/schema/raw/master/csl-citation.json"}</w:instrText>
      </w:r>
      <w:r>
        <w:fldChar w:fldCharType="separate"/>
      </w:r>
      <w:r w:rsidRPr="007C4DC2">
        <w:rPr>
          <w:i w:val="0"/>
          <w:noProof/>
        </w:rPr>
        <w:t>J. A. Aunger, Millar, &amp; Greenhalgh</w:t>
      </w:r>
      <w:r>
        <w:rPr>
          <w:i w:val="0"/>
          <w:noProof/>
        </w:rPr>
        <w:t xml:space="preserve"> (</w:t>
      </w:r>
      <w:r w:rsidRPr="007C4DC2">
        <w:rPr>
          <w:i w:val="0"/>
          <w:noProof/>
        </w:rPr>
        <w:t>2021</w:t>
      </w:r>
      <w:r>
        <w:rPr>
          <w:i w:val="0"/>
          <w:noProof/>
        </w:rPr>
        <w:t xml:space="preserve">) and </w:t>
      </w:r>
      <w:r w:rsidRPr="007C4DC2">
        <w:rPr>
          <w:i w:val="0"/>
          <w:noProof/>
        </w:rPr>
        <w:t>J. A. Aunger, Millar, Greenhalgh, et al</w:t>
      </w:r>
      <w:r>
        <w:rPr>
          <w:i w:val="0"/>
          <w:noProof/>
        </w:rPr>
        <w:t>.</w:t>
      </w:r>
      <w:r w:rsidRPr="007C4DC2">
        <w:rPr>
          <w:i w:val="0"/>
          <w:noProof/>
        </w:rPr>
        <w:t xml:space="preserve"> </w:t>
      </w:r>
      <w:r>
        <w:rPr>
          <w:i w:val="0"/>
          <w:noProof/>
        </w:rPr>
        <w:t>(</w:t>
      </w:r>
      <w:r w:rsidRPr="007C4DC2">
        <w:rPr>
          <w:i w:val="0"/>
          <w:noProof/>
        </w:rPr>
        <w:t>2021)</w:t>
      </w:r>
      <w:r>
        <w:fldChar w:fldCharType="end"/>
      </w:r>
      <w:r>
        <w:t>.</w:t>
      </w:r>
      <w:bookmarkEnd w:id="94"/>
    </w:p>
    <w:tbl>
      <w:tblPr>
        <w:tblStyle w:val="TableGrid"/>
        <w:tblW w:w="5000" w:type="pct"/>
        <w:tblLook w:val="04A0" w:firstRow="1" w:lastRow="0" w:firstColumn="1" w:lastColumn="0" w:noHBand="0" w:noVBand="1"/>
      </w:tblPr>
      <w:tblGrid>
        <w:gridCol w:w="2143"/>
        <w:gridCol w:w="938"/>
        <w:gridCol w:w="2253"/>
        <w:gridCol w:w="1783"/>
        <w:gridCol w:w="5353"/>
        <w:gridCol w:w="1478"/>
      </w:tblGrid>
      <w:tr w:rsidR="00EE501D" w:rsidRPr="00C6520A" w14:paraId="065A9017" w14:textId="77777777" w:rsidTr="00A77C56">
        <w:trPr>
          <w:trHeight w:val="236"/>
        </w:trPr>
        <w:tc>
          <w:tcPr>
            <w:tcW w:w="768" w:type="pct"/>
          </w:tcPr>
          <w:p w14:paraId="14FEE618" w14:textId="77777777" w:rsidR="00EE501D" w:rsidRPr="00C6520A" w:rsidRDefault="00EE501D" w:rsidP="00525BE0">
            <w:pPr>
              <w:spacing w:line="360" w:lineRule="auto"/>
              <w:jc w:val="both"/>
              <w:rPr>
                <w:b/>
                <w:bCs/>
                <w:sz w:val="20"/>
                <w:szCs w:val="20"/>
              </w:rPr>
            </w:pPr>
            <w:r>
              <w:rPr>
                <w:b/>
                <w:bCs/>
                <w:sz w:val="20"/>
                <w:szCs w:val="20"/>
              </w:rPr>
              <w:t>S</w:t>
            </w:r>
            <w:r w:rsidRPr="00C6520A">
              <w:rPr>
                <w:b/>
                <w:bCs/>
                <w:sz w:val="20"/>
                <w:szCs w:val="20"/>
              </w:rPr>
              <w:t>tudy</w:t>
            </w:r>
          </w:p>
        </w:tc>
        <w:tc>
          <w:tcPr>
            <w:tcW w:w="336" w:type="pct"/>
          </w:tcPr>
          <w:p w14:paraId="11CDDBEC" w14:textId="77777777" w:rsidR="00EE501D" w:rsidRPr="00C6520A" w:rsidRDefault="00EE501D" w:rsidP="00525BE0">
            <w:pPr>
              <w:spacing w:line="360" w:lineRule="auto"/>
              <w:jc w:val="both"/>
              <w:rPr>
                <w:b/>
                <w:bCs/>
                <w:sz w:val="20"/>
                <w:szCs w:val="20"/>
              </w:rPr>
            </w:pPr>
            <w:r>
              <w:rPr>
                <w:b/>
                <w:bCs/>
                <w:sz w:val="20"/>
                <w:szCs w:val="20"/>
              </w:rPr>
              <w:t>Country</w:t>
            </w:r>
          </w:p>
        </w:tc>
        <w:tc>
          <w:tcPr>
            <w:tcW w:w="807" w:type="pct"/>
          </w:tcPr>
          <w:p w14:paraId="217A9EDD" w14:textId="77777777" w:rsidR="00EE501D" w:rsidRPr="00C6520A" w:rsidRDefault="00EE501D" w:rsidP="00525BE0">
            <w:pPr>
              <w:spacing w:line="360" w:lineRule="auto"/>
              <w:jc w:val="both"/>
              <w:rPr>
                <w:b/>
                <w:bCs/>
                <w:sz w:val="20"/>
                <w:szCs w:val="20"/>
              </w:rPr>
            </w:pPr>
            <w:r w:rsidRPr="00C6520A">
              <w:rPr>
                <w:b/>
                <w:bCs/>
                <w:sz w:val="20"/>
                <w:szCs w:val="20"/>
              </w:rPr>
              <w:t>Partnership type</w:t>
            </w:r>
          </w:p>
        </w:tc>
        <w:tc>
          <w:tcPr>
            <w:tcW w:w="639" w:type="pct"/>
          </w:tcPr>
          <w:p w14:paraId="782D4B9D" w14:textId="77777777" w:rsidR="00EE501D" w:rsidRPr="00C6520A" w:rsidRDefault="00EE501D" w:rsidP="00525BE0">
            <w:pPr>
              <w:spacing w:line="360" w:lineRule="auto"/>
              <w:jc w:val="both"/>
              <w:rPr>
                <w:b/>
                <w:bCs/>
                <w:sz w:val="20"/>
                <w:szCs w:val="20"/>
              </w:rPr>
            </w:pPr>
            <w:r>
              <w:rPr>
                <w:b/>
                <w:bCs/>
                <w:sz w:val="20"/>
                <w:szCs w:val="20"/>
              </w:rPr>
              <w:t>Sector</w:t>
            </w:r>
          </w:p>
        </w:tc>
        <w:tc>
          <w:tcPr>
            <w:tcW w:w="1919" w:type="pct"/>
          </w:tcPr>
          <w:p w14:paraId="7CBAC33D" w14:textId="77777777" w:rsidR="00EE501D" w:rsidRPr="00C6520A" w:rsidRDefault="00EE501D" w:rsidP="00525BE0">
            <w:pPr>
              <w:spacing w:line="360" w:lineRule="auto"/>
              <w:jc w:val="both"/>
              <w:rPr>
                <w:b/>
                <w:bCs/>
                <w:sz w:val="20"/>
                <w:szCs w:val="20"/>
              </w:rPr>
            </w:pPr>
            <w:r>
              <w:rPr>
                <w:b/>
                <w:bCs/>
                <w:sz w:val="20"/>
                <w:szCs w:val="20"/>
              </w:rPr>
              <w:t>Methods and sample (where applicable)</w:t>
            </w:r>
          </w:p>
        </w:tc>
        <w:tc>
          <w:tcPr>
            <w:tcW w:w="530" w:type="pct"/>
          </w:tcPr>
          <w:p w14:paraId="23E0E915" w14:textId="77777777" w:rsidR="00EE501D" w:rsidRDefault="00EE501D" w:rsidP="00525BE0">
            <w:pPr>
              <w:spacing w:line="360" w:lineRule="auto"/>
              <w:jc w:val="both"/>
              <w:rPr>
                <w:b/>
                <w:bCs/>
                <w:sz w:val="20"/>
                <w:szCs w:val="20"/>
              </w:rPr>
            </w:pPr>
            <w:r>
              <w:rPr>
                <w:b/>
                <w:bCs/>
                <w:sz w:val="20"/>
                <w:szCs w:val="20"/>
              </w:rPr>
              <w:t>Phase of use in synthesis</w:t>
            </w:r>
          </w:p>
        </w:tc>
      </w:tr>
      <w:tr w:rsidR="00EE501D" w:rsidRPr="00C6520A" w14:paraId="79BF620E" w14:textId="77777777" w:rsidTr="00A77C56">
        <w:trPr>
          <w:trHeight w:val="236"/>
        </w:trPr>
        <w:tc>
          <w:tcPr>
            <w:tcW w:w="768" w:type="pct"/>
          </w:tcPr>
          <w:p w14:paraId="5B568471" w14:textId="05B91C39"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{"citationItems":[{"id":"ITEM-1","itemData":{"DOI":"10.1080/15433714.2014.997094","ISSN":"23761415","abstract":"Social work programs are experiencing unprecedented organizational changes due to budget cuts, dwindling resources, global, and technological challenges. However, there is limited information in the literature about the merger experiences of faculty in social work programs. On one hand undergoing merger and reorganization provides the opportunity to reorganize, reprioritize, re-assess, develop strategies, and explore previously untapped opportunities for social work programs. Conversely, merger experiences have caused frustration, intention to quit, confusion, and loss of professional identity for social work faculty. In this article the authors utilize a journaling method and sense-making approach of the merger experiences of some of the faculty members of a social work program in the United States. The authors suggest a framework to understand how the faculty confronted the challenges, overcame the pitfalls, and maximized the opportunities offered during the merger and organizational change process.","author":[{"dropping-particle":"","family":"Adedoyin","given":"A. Christson","non-dropping-particle":"","parse-names":false,"suffix":""},{"dropping-particle":"","family":"Miller","given":"Monte","non-dropping-particle":"","parse-names":false,"suffix":""},{"dropping-particle":"","family":"Jackson","given":"Mary S.","non-dropping-particle":"","parse-names":false,"suffix":""},{"dropping-particle":"","family":"Dodor","given":"Bernice","non-dropping-particle":"","parse-names":false,"suffix":""},{"dropping-particle":"","family":"Hall","given":"Kristen","non-dropping-particle":"","parse-names":false,"suffix":""}],"container-title":"Journal of Evidence-Informed Social Work","id":"ITEM-1","issue":"1","issued":{"date-parts":[["2016"]]},"page":"87-98","title":"Faculty experiences of merger and organizational change in a social work program","type":"article-journal","volume":"13"},"uris":["http://www.mendeley.com/documents/?uuid=0181fc24-2668-431c-b615-38ff14d2497a"]}],"mendeley":{"formattedCitation":"&lt;sup&gt;145&lt;/sup&gt;","manualFormatting":"Adedoyin et al. (2016)","plainTextFormattedCitation":"145","previouslyFormattedCitation":"&lt;sup&gt;145&lt;/sup&gt;"},"properties":{"noteIndex":0},"schema":"https://github.com/citation-style-language/schema/raw/master/csl-citation.json"}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Adedoyin </w:t>
            </w:r>
            <w:r w:rsidRPr="00E4022F">
              <w:rPr>
                <w:i/>
                <w:noProof/>
                <w:sz w:val="20"/>
                <w:szCs w:val="20"/>
              </w:rPr>
              <w:t>et al.</w:t>
            </w:r>
            <w:r>
              <w:rPr>
                <w:i/>
                <w:noProof/>
                <w:sz w:val="20"/>
                <w:szCs w:val="20"/>
              </w:rPr>
              <w:t xml:space="preserve"> (</w:t>
            </w:r>
            <w:r w:rsidRPr="00E4022F">
              <w:rPr>
                <w:noProof/>
                <w:sz w:val="20"/>
                <w:szCs w:val="20"/>
              </w:rPr>
              <w:t>2016)</w:t>
            </w:r>
            <w:r w:rsidRPr="00C6520A">
              <w:rPr>
                <w:sz w:val="20"/>
                <w:szCs w:val="20"/>
              </w:rPr>
              <w:fldChar w:fldCharType="end"/>
            </w:r>
          </w:p>
        </w:tc>
        <w:tc>
          <w:tcPr>
            <w:tcW w:w="336" w:type="pct"/>
          </w:tcPr>
          <w:p w14:paraId="2123C4D6" w14:textId="77777777" w:rsidR="00EE501D" w:rsidRPr="00C6520A" w:rsidRDefault="00EE501D" w:rsidP="00525BE0">
            <w:pPr>
              <w:spacing w:line="360" w:lineRule="auto"/>
              <w:jc w:val="both"/>
              <w:rPr>
                <w:sz w:val="20"/>
                <w:szCs w:val="20"/>
              </w:rPr>
            </w:pPr>
            <w:r>
              <w:rPr>
                <w:sz w:val="20"/>
                <w:szCs w:val="20"/>
              </w:rPr>
              <w:t>USA</w:t>
            </w:r>
          </w:p>
        </w:tc>
        <w:tc>
          <w:tcPr>
            <w:tcW w:w="807" w:type="pct"/>
          </w:tcPr>
          <w:p w14:paraId="7442FACA" w14:textId="77777777" w:rsidR="00EE501D" w:rsidRPr="00C6520A" w:rsidRDefault="00EE501D" w:rsidP="00525BE0">
            <w:pPr>
              <w:spacing w:line="360" w:lineRule="auto"/>
              <w:jc w:val="both"/>
              <w:rPr>
                <w:sz w:val="20"/>
                <w:szCs w:val="20"/>
              </w:rPr>
            </w:pPr>
            <w:r w:rsidRPr="00C6520A">
              <w:rPr>
                <w:sz w:val="20"/>
                <w:szCs w:val="20"/>
              </w:rPr>
              <w:t>Merger</w:t>
            </w:r>
          </w:p>
        </w:tc>
        <w:tc>
          <w:tcPr>
            <w:tcW w:w="639" w:type="pct"/>
          </w:tcPr>
          <w:p w14:paraId="489C084D" w14:textId="77777777" w:rsidR="00EE501D" w:rsidRPr="00C6520A" w:rsidRDefault="00EE501D" w:rsidP="00525BE0">
            <w:pPr>
              <w:spacing w:line="360" w:lineRule="auto"/>
              <w:jc w:val="both"/>
              <w:rPr>
                <w:sz w:val="20"/>
                <w:szCs w:val="20"/>
              </w:rPr>
            </w:pPr>
            <w:r>
              <w:rPr>
                <w:sz w:val="20"/>
                <w:szCs w:val="20"/>
              </w:rPr>
              <w:t>Social work programmes</w:t>
            </w:r>
          </w:p>
        </w:tc>
        <w:tc>
          <w:tcPr>
            <w:tcW w:w="1919" w:type="pct"/>
          </w:tcPr>
          <w:p w14:paraId="24F741A0" w14:textId="77777777" w:rsidR="00EE501D" w:rsidRPr="00C6520A" w:rsidRDefault="00EE501D" w:rsidP="00525BE0">
            <w:pPr>
              <w:spacing w:line="360" w:lineRule="auto"/>
              <w:jc w:val="both"/>
              <w:rPr>
                <w:sz w:val="20"/>
                <w:szCs w:val="20"/>
              </w:rPr>
            </w:pPr>
            <w:r>
              <w:rPr>
                <w:sz w:val="20"/>
                <w:szCs w:val="20"/>
              </w:rPr>
              <w:t>Journaling to report personal experiences and retrospective descriptions of the merger process</w:t>
            </w:r>
          </w:p>
        </w:tc>
        <w:tc>
          <w:tcPr>
            <w:tcW w:w="530" w:type="pct"/>
          </w:tcPr>
          <w:p w14:paraId="3C9D4DD3"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710D3894" w14:textId="77777777" w:rsidTr="00A77C56">
        <w:trPr>
          <w:trHeight w:val="236"/>
        </w:trPr>
        <w:tc>
          <w:tcPr>
            <w:tcW w:w="768" w:type="pct"/>
          </w:tcPr>
          <w:p w14:paraId="3E219B16" w14:textId="6202F255" w:rsidR="00EE501D" w:rsidRPr="00C6520A" w:rsidRDefault="00412F8B" w:rsidP="00525BE0">
            <w:pPr>
              <w:spacing w:line="360" w:lineRule="auto"/>
              <w:jc w:val="both"/>
              <w:rPr>
                <w:sz w:val="20"/>
                <w:szCs w:val="20"/>
              </w:rPr>
            </w:pPr>
            <w:r>
              <w:rPr>
                <w:sz w:val="20"/>
                <w:szCs w:val="20"/>
              </w:rPr>
              <w:t xml:space="preserve">Auschra (2018) </w:t>
            </w:r>
            <w:r w:rsidR="00EE501D">
              <w:rPr>
                <w:sz w:val="20"/>
                <w:szCs w:val="20"/>
              </w:rPr>
              <w:fldChar w:fldCharType="begin" w:fldLock="1"/>
            </w:r>
            <w:r w:rsidR="00EA4B53">
              <w:rPr>
                <w:sz w:val="20"/>
                <w:szCs w:val="20"/>
              </w:rPr>
              <w:instrText>ADDIN CSL_CITATION {"citationItems":[{"id":"ITEM-1","itemData":{"DOI":"10.5334/ijic.3068","ISSN":"15684156","abstract":"Introduction: In recent years, inter-organisational collaboration between healthcare organisations has become of increasingly vital importance in order to improve the integration of health service delivery. However, different barriers reported in academic literature seem to hinder the formation and development of such collaboration. Theory and methods: This systematic literature review of forty studies summarises and categorises the barriers to integrated care in inter-organisational settings as reported in previous studies. It analyses how these barriers operate. Results: Within these studies, twenty types of barriers have been identified and then categorised in six groups (barriers related to administration and regulation, barriers related to funding, barriers related to the inter-organisational domain, barriers related to the organisational domain, barriers related to service delivery, and barriers related to clinical practices). Not all of these barriers emerge passively, some are set up intentionally. They are not only context-specific, but are also often related and influence each other. Discussion and conclusion: The compilation of these results allows for a better understanding of the characteristics and reasons for the occurrence of barriers that impede collaboration aiming for the integration of care, not only for researchers but also for practitioners. It can help to explain and counteract the slow progress and limited efficiency and effectiveness of some of the inter-organisational collaboration in healthcare settings.","author":[{"dropping-particle":"","family":"Auschra","given":"Carolin","non-dropping-particle":"","parse-names":false,"suffix":""}],"container-title":"International Journal of Integrated Care","id":"ITEM-1","issue":"1","issued":{"date-parts":[["2018"]]},"note":"From Duplicate 2 (Barriers to the integration of care in inter-organisational settings: a literature review - Carolin, AUSCHRA)\n\nUseful review of inter-organisational factors which hinder joint working","page":"1-14","publisher":"International Foundation for Integrated Care","title":"Barriers to the integration of care in inter-organisational settings: a literature review","type":"article-journal","volume":"18"},"uris":["http://www.mendeley.com/documents/?uuid=dbe1602a-b818-4478-808a-1caa27a3d8fa"]}],"mendeley":{"formattedCitation":"&lt;sup&gt;15&lt;/sup&gt;","plainTextFormattedCitation":"15","previouslyFormattedCitation":"&lt;sup&gt;15&lt;/sup&gt;"},"properties":{"noteIndex":0},"schema":"https://github.com/citation-style-language/schema/raw/master/csl-citation.json"}</w:instrText>
            </w:r>
            <w:r w:rsidR="00EE501D">
              <w:rPr>
                <w:sz w:val="20"/>
                <w:szCs w:val="20"/>
              </w:rPr>
              <w:fldChar w:fldCharType="separate"/>
            </w:r>
            <w:r w:rsidR="00E25884" w:rsidRPr="00E25884">
              <w:rPr>
                <w:noProof/>
                <w:sz w:val="20"/>
                <w:szCs w:val="20"/>
                <w:vertAlign w:val="superscript"/>
              </w:rPr>
              <w:t>15</w:t>
            </w:r>
            <w:r w:rsidR="00EE501D">
              <w:rPr>
                <w:sz w:val="20"/>
                <w:szCs w:val="20"/>
              </w:rPr>
              <w:fldChar w:fldCharType="end"/>
            </w:r>
          </w:p>
        </w:tc>
        <w:tc>
          <w:tcPr>
            <w:tcW w:w="336" w:type="pct"/>
          </w:tcPr>
          <w:p w14:paraId="2A477954" w14:textId="77777777" w:rsidR="00EE501D" w:rsidRDefault="00EE501D" w:rsidP="00525BE0">
            <w:pPr>
              <w:spacing w:line="360" w:lineRule="auto"/>
              <w:jc w:val="both"/>
              <w:rPr>
                <w:sz w:val="20"/>
                <w:szCs w:val="20"/>
              </w:rPr>
            </w:pPr>
            <w:r>
              <w:rPr>
                <w:sz w:val="20"/>
                <w:szCs w:val="20"/>
              </w:rPr>
              <w:t>n/a</w:t>
            </w:r>
          </w:p>
        </w:tc>
        <w:tc>
          <w:tcPr>
            <w:tcW w:w="807" w:type="pct"/>
          </w:tcPr>
          <w:p w14:paraId="1306594B" w14:textId="77777777" w:rsidR="00EE501D" w:rsidRPr="00C6520A" w:rsidRDefault="00EE501D" w:rsidP="00525BE0">
            <w:pPr>
              <w:spacing w:line="360" w:lineRule="auto"/>
              <w:jc w:val="both"/>
              <w:rPr>
                <w:sz w:val="20"/>
                <w:szCs w:val="20"/>
              </w:rPr>
            </w:pPr>
            <w:r>
              <w:rPr>
                <w:sz w:val="20"/>
                <w:szCs w:val="20"/>
              </w:rPr>
              <w:t xml:space="preserve">Partnerships (mixed) </w:t>
            </w:r>
          </w:p>
        </w:tc>
        <w:tc>
          <w:tcPr>
            <w:tcW w:w="639" w:type="pct"/>
          </w:tcPr>
          <w:p w14:paraId="759C5A8D" w14:textId="77777777" w:rsidR="00EE501D" w:rsidRDefault="00EE501D" w:rsidP="00525BE0">
            <w:pPr>
              <w:spacing w:line="360" w:lineRule="auto"/>
              <w:jc w:val="both"/>
              <w:rPr>
                <w:sz w:val="20"/>
                <w:szCs w:val="20"/>
              </w:rPr>
            </w:pPr>
            <w:r>
              <w:rPr>
                <w:sz w:val="20"/>
                <w:szCs w:val="20"/>
              </w:rPr>
              <w:t>Healthcare</w:t>
            </w:r>
          </w:p>
        </w:tc>
        <w:tc>
          <w:tcPr>
            <w:tcW w:w="1919" w:type="pct"/>
          </w:tcPr>
          <w:p w14:paraId="0A4AB7EE" w14:textId="77777777" w:rsidR="00EE501D" w:rsidRDefault="00EE501D" w:rsidP="00525BE0">
            <w:pPr>
              <w:spacing w:line="360" w:lineRule="auto"/>
              <w:jc w:val="both"/>
              <w:rPr>
                <w:sz w:val="20"/>
                <w:szCs w:val="20"/>
              </w:rPr>
            </w:pPr>
            <w:r>
              <w:rPr>
                <w:sz w:val="20"/>
                <w:szCs w:val="20"/>
              </w:rPr>
              <w:t>Review</w:t>
            </w:r>
          </w:p>
        </w:tc>
        <w:tc>
          <w:tcPr>
            <w:tcW w:w="530" w:type="pct"/>
          </w:tcPr>
          <w:p w14:paraId="6F7EDDBB" w14:textId="77777777" w:rsidR="00EE501D" w:rsidRDefault="00EE501D" w:rsidP="00525BE0">
            <w:pPr>
              <w:spacing w:line="360" w:lineRule="auto"/>
              <w:jc w:val="both"/>
              <w:rPr>
                <w:sz w:val="20"/>
                <w:szCs w:val="20"/>
              </w:rPr>
            </w:pPr>
            <w:r>
              <w:rPr>
                <w:sz w:val="20"/>
                <w:szCs w:val="20"/>
              </w:rPr>
              <w:t>Gleaning</w:t>
            </w:r>
          </w:p>
        </w:tc>
      </w:tr>
      <w:tr w:rsidR="00EE501D" w:rsidRPr="00C6520A" w14:paraId="6BAD8A0B" w14:textId="77777777" w:rsidTr="00A77C56">
        <w:trPr>
          <w:trHeight w:val="236"/>
        </w:trPr>
        <w:tc>
          <w:tcPr>
            <w:tcW w:w="768" w:type="pct"/>
          </w:tcPr>
          <w:p w14:paraId="23408A77" w14:textId="227B4F23"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{"citationItems":[{"id":"ITEM-1","itemData":{"DOI":"10.1136/bmjopen-2016-011745","ISSN":"20446055","PMID":"28183806","abstract":"Objective: The Health and Social Care Act 2012 ('HSCA 2012') introduced a new, statutory, form of regulation of competition into the National Health Service (NHS), while at the same time recognising that cooperation was necessary. NHS England's policy document, The Five Year Forward View ('5YFV') of 2014 placed less emphasis on competition without altering the legislation. We explored how commissioners and providers understand the complex regulatory framework, and how they behave in relation to competition and cooperation. Design: We carried out detailed case studies in four clinical commissioning groups, using interviews and documentary analysis to explore the commissioners'and providers' understanding and experience of competition and cooperation. Setting/participants: We conducted 42 interviews with senior managers in commissioning organizations and senior managers in NHS and independent provider organisations (acute and community services). Results: Neither commissioners nor providers fully understand the regulatory regime in respect of competition in the NHS, and have not found that the regulatory authorities have provided adequate guidance. Despite the HSCA 2012 promoting competition, commissioners chose mainly to use collaborative strategies to effect major service reconfigurations, which is endorsed as a suitable approach by providers. Nevertheless, commissioners are using competitive tendering in respect of more peripheral services in order to improve quality of care and value for money. Conclusions: Commissioners regard the use of competition and cooperation as appropriate in the NHS currently, although collaborative strategies appear more helpful in respect of large-scale changes. However, the current regulatory framework contained in the HSCA 2012, particularly since the publication of the 5YFV, is not clear. Better guidance should be issued by the regulatory authorities.","author":[{"dropping-particle":"","family":"Allen","given":"Pauline","non-dropping-particle":"","parse-names":false,"suffix":""},{"dropping-particle":"","family":"Osipovič","given":"Dorota","non-dropping-particle":"","parse-names":false,"suffix":""},{"dropping-particle":"","family":"Shepherd","given":"Elizabeth","non-dropping-particle":"","parse-names":false,"suffix":""},{"dropping-particle":"","family":"Coleman","given":"Anna","non-dropping-particle":"","parse-names":false,"suffix":""},{"dropping-particle":"","family":"Perkins","given":"Neil","non-dropping-particle":"","parse-names":false,"suffix":""},{"dropping-particle":"","family":"Garnett","given":"Emma","non-dropping-particle":"","parse-names":false,"suffix":""},{"dropping-particle":"","family":"Williams","given":"Lorraine","non-dropping-particle":"","parse-names":false,"suffix":""}],"container-title":"BMJ Open","id":"ITEM-1","issue":"2","issued":{"date-parts":[["2016"]]},"note":"From Duplicate 1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1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2 (Commissioning through competition and cooperation: final report - Pauline, ALLEN; al, et)\n\nNot relevant to partnerships\n\nFrom Duplicate 2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1 (Commissioning through competition and cooperation: final report - Allen, Pauline)\n\nNot relevant to partnerships\n\nFrom Duplicate 2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1 (Commissioning through competition and cooperation in the English NHS under the Health and Social Care Act 2012: Evidence from a qualitative study of four clinical commissioning groups - Allen, Pauline; Osipovič, Dorota; Shepherd, Elizabeth; Coleman, Anna; Perkins, Neil; Garnett, Emma; Williams, Lorraine)\n\nFrom Duplicate 2 (Commissioning through competition and cooperation: final report - Pauline, ALLEN; al, et)\n\nNot relevant to partnerships","page":"1-13","publisher":"PRUComm","publisher-place":"London","title":"Commissioning through competition and cooperation in the English NHS under the Health and Social Care Act 2012: Evidence from a qualitative study of four clinical commissioning groups","type":"article-journal","volume":"7"},"uris":["http://www.mendeley.com/documents/?uuid=bfb667d3-9d74-4417-b595-f1912c90acd9"]}],"mendeley":{"formattedCitation":"&lt;sup&gt;32&lt;/sup&gt;","manualFormatting":"Allen et al. (2016)","plainTextFormattedCitation":"32","previouslyFormattedCitation":"&lt;sup&gt;32&lt;/sup&gt;"},"properties":{"noteIndex":0},"schema":"https://github.com/citation-style-language/schema/raw/master/csl-citation.json"}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Allen </w:t>
            </w:r>
            <w:r w:rsidRPr="00E4022F">
              <w:rPr>
                <w:i/>
                <w:noProof/>
                <w:sz w:val="20"/>
                <w:szCs w:val="20"/>
              </w:rPr>
              <w:t>et al.</w:t>
            </w:r>
            <w:r>
              <w:rPr>
                <w:i/>
                <w:noProof/>
                <w:sz w:val="20"/>
                <w:szCs w:val="20"/>
              </w:rPr>
              <w:t xml:space="preserve"> </w:t>
            </w:r>
            <w:r>
              <w:rPr>
                <w:noProof/>
                <w:sz w:val="20"/>
                <w:szCs w:val="20"/>
              </w:rPr>
              <w:t>(</w:t>
            </w:r>
            <w:r w:rsidRPr="00E4022F">
              <w:rPr>
                <w:noProof/>
                <w:sz w:val="20"/>
                <w:szCs w:val="20"/>
              </w:rPr>
              <w:t>2016)</w:t>
            </w:r>
            <w:r w:rsidRPr="00C6520A">
              <w:rPr>
                <w:sz w:val="20"/>
                <w:szCs w:val="20"/>
              </w:rPr>
              <w:fldChar w:fldCharType="end"/>
            </w:r>
          </w:p>
        </w:tc>
        <w:tc>
          <w:tcPr>
            <w:tcW w:w="336" w:type="pct"/>
          </w:tcPr>
          <w:p w14:paraId="7E0CC514"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4AF185E7" w14:textId="77777777" w:rsidR="00EE501D" w:rsidRPr="00C6520A" w:rsidRDefault="00EE501D" w:rsidP="00525BE0">
            <w:pPr>
              <w:spacing w:line="360" w:lineRule="auto"/>
              <w:jc w:val="both"/>
              <w:rPr>
                <w:sz w:val="20"/>
                <w:szCs w:val="20"/>
              </w:rPr>
            </w:pPr>
            <w:r w:rsidRPr="00C6520A">
              <w:rPr>
                <w:sz w:val="20"/>
                <w:szCs w:val="20"/>
              </w:rPr>
              <w:t>Joint commissioning</w:t>
            </w:r>
          </w:p>
        </w:tc>
        <w:tc>
          <w:tcPr>
            <w:tcW w:w="639" w:type="pct"/>
          </w:tcPr>
          <w:p w14:paraId="2EAACFA7" w14:textId="77777777" w:rsidR="00EE501D" w:rsidRPr="00C6520A" w:rsidRDefault="00EE501D" w:rsidP="00525BE0">
            <w:pPr>
              <w:spacing w:line="360" w:lineRule="auto"/>
              <w:jc w:val="both"/>
              <w:rPr>
                <w:sz w:val="20"/>
                <w:szCs w:val="20"/>
              </w:rPr>
            </w:pPr>
            <w:r>
              <w:rPr>
                <w:sz w:val="20"/>
                <w:szCs w:val="20"/>
              </w:rPr>
              <w:t>Healthcare</w:t>
            </w:r>
          </w:p>
        </w:tc>
        <w:tc>
          <w:tcPr>
            <w:tcW w:w="1919" w:type="pct"/>
          </w:tcPr>
          <w:p w14:paraId="69ED0040" w14:textId="77777777" w:rsidR="00EE501D" w:rsidRPr="00C6520A" w:rsidRDefault="00EE501D" w:rsidP="00525BE0">
            <w:pPr>
              <w:spacing w:line="360" w:lineRule="auto"/>
              <w:jc w:val="both"/>
              <w:rPr>
                <w:sz w:val="20"/>
                <w:szCs w:val="20"/>
              </w:rPr>
            </w:pPr>
            <w:r>
              <w:rPr>
                <w:sz w:val="20"/>
                <w:szCs w:val="20"/>
              </w:rPr>
              <w:t>Case study with 42 interviews &amp; documentary analysis</w:t>
            </w:r>
          </w:p>
        </w:tc>
        <w:tc>
          <w:tcPr>
            <w:tcW w:w="530" w:type="pct"/>
          </w:tcPr>
          <w:p w14:paraId="442F7523" w14:textId="77777777" w:rsidR="00EE501D" w:rsidRDefault="00EE501D" w:rsidP="00525BE0">
            <w:pPr>
              <w:spacing w:line="360" w:lineRule="auto"/>
              <w:jc w:val="both"/>
              <w:rPr>
                <w:sz w:val="20"/>
                <w:szCs w:val="20"/>
              </w:rPr>
            </w:pPr>
            <w:r>
              <w:rPr>
                <w:sz w:val="20"/>
                <w:szCs w:val="20"/>
              </w:rPr>
              <w:t>Refinement</w:t>
            </w:r>
          </w:p>
        </w:tc>
      </w:tr>
      <w:tr w:rsidR="00EE501D" w:rsidRPr="00C6520A" w14:paraId="63EADF3F" w14:textId="77777777" w:rsidTr="00A77C56">
        <w:trPr>
          <w:trHeight w:val="236"/>
        </w:trPr>
        <w:tc>
          <w:tcPr>
            <w:tcW w:w="768" w:type="pct"/>
          </w:tcPr>
          <w:p w14:paraId="7B95A906" w14:textId="57DCD62F"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0952-0767","author":[{"dropping-particle":"","family":"Ball","given":"Rob","non-dropping-particle":"","parse-names":false,"suffix":""},{"dropping-particle":"","family":"Forbes","given":"Tom","non-dropping-particle":"","parse-names":false,"suffix":""},{"dropping-particle":"","family":"Parris","given":"Maxine","non-dropping-particle":"","parse-names":false,"suffix":""},{"dropping-particle":"","family":"Forsyth","given":"Lynn","non-dropping-particle":"","parse-names":false,"suffix":""}],"container-title":"Public Policy and Administration","id":"ITEM-1","issue":"4","issued":{"date-parts":[["2010"]]},"page":"387-407","publisher":"SAGE Publications Sage UK: London, England","title":"The evaluation of partnership working in the delivery of health and social care","type":"article-journal","volume":"25"},"uris":["http://www.mendeley.com/documents/?uuid=c39914cc-de3e-4eef-b91f-5f2be69824db"]}],"mendeley":{"formattedCitation":"&lt;sup&gt;47&lt;/sup&gt;","manualFormatting":"Ball et al. (2010)","plainTextFormattedCitation":"47","previouslyFormattedCitation":"&lt;sup&gt;47&lt;/sup&gt;"},"properties":{"noteIndex":0},"schema":"https://github.com/citation-style-language/schema/raw/master/csl-citation.json"}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Ball </w:t>
            </w:r>
            <w:r w:rsidRPr="00E4022F">
              <w:rPr>
                <w:i/>
                <w:noProof/>
                <w:sz w:val="20"/>
                <w:szCs w:val="20"/>
              </w:rPr>
              <w:t>et al.</w:t>
            </w:r>
            <w:r>
              <w:rPr>
                <w:i/>
                <w:noProof/>
                <w:sz w:val="20"/>
                <w:szCs w:val="20"/>
              </w:rPr>
              <w:t xml:space="preserve"> (</w:t>
            </w:r>
            <w:r w:rsidRPr="00E4022F">
              <w:rPr>
                <w:noProof/>
                <w:sz w:val="20"/>
                <w:szCs w:val="20"/>
              </w:rPr>
              <w:t>2010)</w:t>
            </w:r>
            <w:r w:rsidRPr="00C6520A">
              <w:rPr>
                <w:sz w:val="20"/>
                <w:szCs w:val="20"/>
              </w:rPr>
              <w:fldChar w:fldCharType="end"/>
            </w:r>
          </w:p>
        </w:tc>
        <w:tc>
          <w:tcPr>
            <w:tcW w:w="336" w:type="pct"/>
          </w:tcPr>
          <w:p w14:paraId="37825413" w14:textId="77777777" w:rsidR="00EE501D" w:rsidRPr="00C6520A" w:rsidRDefault="00EE501D" w:rsidP="00525BE0">
            <w:pPr>
              <w:spacing w:line="360" w:lineRule="auto"/>
              <w:jc w:val="both"/>
              <w:rPr>
                <w:sz w:val="20"/>
                <w:szCs w:val="20"/>
              </w:rPr>
            </w:pPr>
            <w:r>
              <w:rPr>
                <w:sz w:val="20"/>
                <w:szCs w:val="20"/>
              </w:rPr>
              <w:t>Scotland</w:t>
            </w:r>
          </w:p>
        </w:tc>
        <w:tc>
          <w:tcPr>
            <w:tcW w:w="807" w:type="pct"/>
          </w:tcPr>
          <w:p w14:paraId="1DE03159" w14:textId="77777777" w:rsidR="00EE501D" w:rsidRPr="00C6520A" w:rsidRDefault="00EE501D" w:rsidP="00525BE0">
            <w:pPr>
              <w:spacing w:line="360" w:lineRule="auto"/>
              <w:jc w:val="both"/>
              <w:rPr>
                <w:sz w:val="20"/>
                <w:szCs w:val="20"/>
              </w:rPr>
            </w:pPr>
            <w:r w:rsidRPr="00C6520A">
              <w:rPr>
                <w:sz w:val="20"/>
                <w:szCs w:val="20"/>
              </w:rPr>
              <w:t>Community health partnership/integrated care</w:t>
            </w:r>
          </w:p>
        </w:tc>
        <w:tc>
          <w:tcPr>
            <w:tcW w:w="639" w:type="pct"/>
          </w:tcPr>
          <w:p w14:paraId="3CD1F202"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5D3E05ED" w14:textId="50C9B19B" w:rsidR="00EE501D" w:rsidRPr="00C6520A" w:rsidRDefault="00EE501D" w:rsidP="00525BE0">
            <w:pPr>
              <w:spacing w:line="360" w:lineRule="auto"/>
              <w:jc w:val="both"/>
              <w:rPr>
                <w:sz w:val="20"/>
                <w:szCs w:val="20"/>
              </w:rPr>
            </w:pPr>
            <w:r>
              <w:rPr>
                <w:sz w:val="20"/>
                <w:szCs w:val="20"/>
              </w:rPr>
              <w:t xml:space="preserve">More than 30 interviews with professionals, public, and voluntary sector; use of Partnership Assessment Tool </w:t>
            </w:r>
            <w:r>
              <w:rPr>
                <w:sz w:val="20"/>
                <w:szCs w:val="20"/>
              </w:rPr>
              <w:fldChar w:fldCharType="begin" w:fldLock="1"/>
            </w:r>
            <w:r w:rsidR="00EA4B53">
              <w:rPr>
                <w:sz w:val="20"/>
                <w:szCs w:val="20"/>
              </w:rPr>
              <w:instrText>ADDIN CSL_CITATION {"citationItems":[{"id":"ITEM-1","itemData":{"abstract":"The purpose of this tool is to provide a simple, quick and cost-effective way of assessing the effectiveness of partnership working. It enables a rapid appraisal (a quick ‘health check’) which graphically identifies problem areas. This allows partners to focus remedial action and resources commensurate with the seriousness and urgency of the problems. Using the Tool thus avoids exhaustive, lengthy and costly investigations of partnership working in general. And for those just setting up partnerships the Tool provides a checklist of what to ensure and what to avoid. It has been designed explicitly as a developmental tool rather than as a means for centrally assessing local partnership performance. For ease of use the rapid partnership profile pages are reproduced as seperate sheets in the pocket in the back cover.","author":[{"dropping-particle":"","family":"Hardy","given":"Brian","non-dropping-particle":"","parse-names":false,"suffix":""},{"dropping-particle":"","family":"Hudson","given":"Bob","non-dropping-particle":"","parse-names":false,"suffix":""},{"dropping-particle":"","family":"Waddington","given":"Eileen","non-dropping-particle":"","parse-names":false,"suffix":""}],"container-title":"Strategic Partnerin Taskforce","id":"ITEM-1","issued":{"date-parts":[["2003"]]},"title":"Assessing strategic partnership the partnership assessment tool","type":"article-journal"},"uris":["http://www.mendeley.com/documents/?uuid=1442b080-e639-4ca9-aa48-d51594296274"]}],"mendeley":{"formattedCitation":"&lt;sup&gt;211&lt;/sup&gt;","plainTextFormattedCitation":"211","previouslyFormattedCitation":"&lt;sup&gt;211&lt;/sup&gt;"},"properties":{"noteIndex":0},"schema":"https://github.com/citation-style-language/schema/raw/master/csl-citation.json"}</w:instrText>
            </w:r>
            <w:r>
              <w:rPr>
                <w:sz w:val="20"/>
                <w:szCs w:val="20"/>
              </w:rPr>
              <w:fldChar w:fldCharType="separate"/>
            </w:r>
            <w:r w:rsidR="00E25884" w:rsidRPr="00E25884">
              <w:rPr>
                <w:noProof/>
                <w:sz w:val="20"/>
                <w:szCs w:val="20"/>
                <w:vertAlign w:val="superscript"/>
              </w:rPr>
              <w:t>211</w:t>
            </w:r>
            <w:r>
              <w:rPr>
                <w:sz w:val="20"/>
                <w:szCs w:val="20"/>
              </w:rPr>
              <w:fldChar w:fldCharType="end"/>
            </w:r>
          </w:p>
        </w:tc>
        <w:tc>
          <w:tcPr>
            <w:tcW w:w="530" w:type="pct"/>
          </w:tcPr>
          <w:p w14:paraId="2F762EB7"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175217F9" w14:textId="77777777" w:rsidTr="00A77C56">
        <w:trPr>
          <w:trHeight w:val="236"/>
        </w:trPr>
        <w:tc>
          <w:tcPr>
            <w:tcW w:w="768" w:type="pct"/>
          </w:tcPr>
          <w:p w14:paraId="448359A4" w14:textId="32E1D31F" w:rsidR="00EE501D" w:rsidRPr="00C6520A" w:rsidRDefault="00412F8B" w:rsidP="00525BE0">
            <w:pPr>
              <w:spacing w:line="360" w:lineRule="auto"/>
              <w:jc w:val="both"/>
              <w:rPr>
                <w:sz w:val="20"/>
                <w:szCs w:val="20"/>
              </w:rPr>
            </w:pPr>
            <w:r>
              <w:rPr>
                <w:sz w:val="20"/>
                <w:szCs w:val="20"/>
              </w:rPr>
              <w:t xml:space="preserve">Billings &amp; De Weger (2015) </w:t>
            </w:r>
            <w:r w:rsidR="00EE501D">
              <w:rPr>
                <w:sz w:val="20"/>
                <w:szCs w:val="20"/>
              </w:rPr>
              <w:fldChar w:fldCharType="begin" w:fldLock="1"/>
            </w:r>
            <w:r w:rsidR="00EA4B53">
              <w:rPr>
                <w:sz w:val="20"/>
                <w:szCs w:val="20"/>
              </w:rPr>
              <w:instrText>ADDIN CSL_CITATION {"citationItems":[{"id":"ITEM-1","itemData":{"DOI":"10.1002/cb.1444/abstract.","abstract":"There has been continued debate regarding competing models with respect to predicting use of social networking services. In this research the authors conceptualize and empirically test a model that combines constructs from the Technology Acceptance Model (TAM) and the Theory of Planned Behavior (TPB) together along with (1) a moderator between the two models, (2) perceived risk, and (3) trust. The empirical results support the hypothesis that perceived ease of use (from TAM theory) significantly amplifies (positively moderates) the effect of perceived behavioral control (from TPB theory) on intention to use the social networks for transactions. In short, there are benefits to integrating concepts from the two models instead of choosing one model over the other in research and practice. The results also indicate that perceived risk and trust play significant roles as antecedents in consumer decision making, and that risk-taking propensity has a direct effect on behavioral intention. Keywords:","author":[{"dropping-particle":"","family":"Billings","given":"Jenny R","non-dropping-particle":"","parse-names":false,"suffix":""},{"dropping-particle":"","family":"Weger","given":"Esther","non-dropping-particle":"De","parse-names":false,"suffix":""}],"container-title":"Journal of Integrated Care","id":"ITEM-1","issue":"3","issued":{"date-parts":[["2015"]]},"page":"153-175","title":"Contracting for integrated health and social care: a critical review of four models","type":"article-journal","volume":"23"},"uris":["http://www.mendeley.com/documents/?uuid=5b01a0ae-117b-44f1-b1bd-a0770cf578f4"]}],"mendeley":{"formattedCitation":"&lt;sup&gt;146&lt;/sup&gt;","plainTextFormattedCitation":"146","previouslyFormattedCitation":"&lt;sup&gt;146&lt;/sup&gt;"},"properties":{"noteIndex":0},"schema":"https://github.com/citation-style-language/schema/raw/master/csl-citation.json"}</w:instrText>
            </w:r>
            <w:r w:rsidR="00EE501D">
              <w:rPr>
                <w:sz w:val="20"/>
                <w:szCs w:val="20"/>
              </w:rPr>
              <w:fldChar w:fldCharType="separate"/>
            </w:r>
            <w:r w:rsidR="00E25884" w:rsidRPr="00E25884">
              <w:rPr>
                <w:noProof/>
                <w:sz w:val="20"/>
                <w:szCs w:val="20"/>
                <w:vertAlign w:val="superscript"/>
              </w:rPr>
              <w:t>146</w:t>
            </w:r>
            <w:r w:rsidR="00EE501D">
              <w:rPr>
                <w:sz w:val="20"/>
                <w:szCs w:val="20"/>
              </w:rPr>
              <w:fldChar w:fldCharType="end"/>
            </w:r>
          </w:p>
        </w:tc>
        <w:tc>
          <w:tcPr>
            <w:tcW w:w="336" w:type="pct"/>
          </w:tcPr>
          <w:p w14:paraId="7E12B5AD" w14:textId="77777777" w:rsidR="00EE501D" w:rsidRDefault="00EE501D" w:rsidP="00525BE0">
            <w:pPr>
              <w:spacing w:line="360" w:lineRule="auto"/>
              <w:jc w:val="both"/>
              <w:rPr>
                <w:sz w:val="20"/>
                <w:szCs w:val="20"/>
              </w:rPr>
            </w:pPr>
            <w:r>
              <w:rPr>
                <w:sz w:val="20"/>
                <w:szCs w:val="20"/>
              </w:rPr>
              <w:t>England</w:t>
            </w:r>
          </w:p>
        </w:tc>
        <w:tc>
          <w:tcPr>
            <w:tcW w:w="807" w:type="pct"/>
          </w:tcPr>
          <w:p w14:paraId="2ED0AA88" w14:textId="77777777" w:rsidR="00EE501D" w:rsidRPr="00C6520A" w:rsidRDefault="00EE501D" w:rsidP="00525BE0">
            <w:pPr>
              <w:spacing w:line="360" w:lineRule="auto"/>
              <w:jc w:val="both"/>
              <w:rPr>
                <w:sz w:val="20"/>
                <w:szCs w:val="20"/>
              </w:rPr>
            </w:pPr>
            <w:r>
              <w:rPr>
                <w:sz w:val="20"/>
                <w:szCs w:val="20"/>
              </w:rPr>
              <w:t>Contracting</w:t>
            </w:r>
          </w:p>
        </w:tc>
        <w:tc>
          <w:tcPr>
            <w:tcW w:w="639" w:type="pct"/>
          </w:tcPr>
          <w:p w14:paraId="162AE07A"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05F25D39" w14:textId="77777777" w:rsidR="00EE501D" w:rsidRDefault="00EE501D" w:rsidP="00525BE0">
            <w:pPr>
              <w:spacing w:line="360" w:lineRule="auto"/>
              <w:jc w:val="both"/>
              <w:rPr>
                <w:sz w:val="20"/>
                <w:szCs w:val="20"/>
              </w:rPr>
            </w:pPr>
            <w:r>
              <w:rPr>
                <w:sz w:val="20"/>
                <w:szCs w:val="20"/>
              </w:rPr>
              <w:t>Review</w:t>
            </w:r>
          </w:p>
        </w:tc>
        <w:tc>
          <w:tcPr>
            <w:tcW w:w="530" w:type="pct"/>
          </w:tcPr>
          <w:p w14:paraId="3DEF1053" w14:textId="77777777" w:rsidR="00EE501D" w:rsidRDefault="00EE501D" w:rsidP="00525BE0">
            <w:pPr>
              <w:spacing w:line="360" w:lineRule="auto"/>
              <w:jc w:val="both"/>
              <w:rPr>
                <w:sz w:val="20"/>
                <w:szCs w:val="20"/>
              </w:rPr>
            </w:pPr>
            <w:r>
              <w:rPr>
                <w:sz w:val="20"/>
                <w:szCs w:val="20"/>
              </w:rPr>
              <w:t>Gleaning</w:t>
            </w:r>
          </w:p>
        </w:tc>
      </w:tr>
      <w:tr w:rsidR="00EE501D" w:rsidRPr="00C6520A" w14:paraId="5F56C485" w14:textId="77777777" w:rsidTr="00A77C56">
        <w:trPr>
          <w:trHeight w:val="236"/>
        </w:trPr>
        <w:tc>
          <w:tcPr>
            <w:tcW w:w="768" w:type="pct"/>
          </w:tcPr>
          <w:p w14:paraId="436E5A70" w14:textId="77777777" w:rsidR="00EE501D" w:rsidRDefault="00EE501D" w:rsidP="00525BE0">
            <w:pPr>
              <w:spacing w:line="360" w:lineRule="auto"/>
              <w:jc w:val="both"/>
              <w:rPr>
                <w:sz w:val="20"/>
                <w:szCs w:val="20"/>
              </w:rPr>
            </w:pPr>
            <w:r>
              <w:rPr>
                <w:sz w:val="20"/>
                <w:szCs w:val="20"/>
              </w:rPr>
              <w:t>Cameron et al. (2014)</w:t>
            </w:r>
          </w:p>
        </w:tc>
        <w:tc>
          <w:tcPr>
            <w:tcW w:w="336" w:type="pct"/>
          </w:tcPr>
          <w:p w14:paraId="7B905041" w14:textId="77777777" w:rsidR="00EE501D" w:rsidRDefault="00EE501D" w:rsidP="00525BE0">
            <w:pPr>
              <w:spacing w:line="360" w:lineRule="auto"/>
              <w:jc w:val="both"/>
              <w:rPr>
                <w:sz w:val="20"/>
                <w:szCs w:val="20"/>
              </w:rPr>
            </w:pPr>
            <w:r>
              <w:rPr>
                <w:sz w:val="20"/>
                <w:szCs w:val="20"/>
              </w:rPr>
              <w:t>England</w:t>
            </w:r>
          </w:p>
        </w:tc>
        <w:tc>
          <w:tcPr>
            <w:tcW w:w="807" w:type="pct"/>
          </w:tcPr>
          <w:p w14:paraId="6A63B816" w14:textId="77777777" w:rsidR="00EE501D" w:rsidRDefault="00EE501D" w:rsidP="00525BE0">
            <w:pPr>
              <w:spacing w:line="360" w:lineRule="auto"/>
              <w:jc w:val="both"/>
              <w:rPr>
                <w:sz w:val="20"/>
                <w:szCs w:val="20"/>
              </w:rPr>
            </w:pPr>
            <w:r>
              <w:rPr>
                <w:sz w:val="20"/>
                <w:szCs w:val="20"/>
              </w:rPr>
              <w:t>Joint working</w:t>
            </w:r>
          </w:p>
        </w:tc>
        <w:tc>
          <w:tcPr>
            <w:tcW w:w="639" w:type="pct"/>
          </w:tcPr>
          <w:p w14:paraId="0E9A022E"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45525E8D" w14:textId="77777777" w:rsidR="00EE501D" w:rsidRDefault="00EE501D" w:rsidP="00525BE0">
            <w:pPr>
              <w:spacing w:line="360" w:lineRule="auto"/>
              <w:jc w:val="both"/>
              <w:rPr>
                <w:sz w:val="20"/>
                <w:szCs w:val="20"/>
              </w:rPr>
            </w:pPr>
            <w:r>
              <w:rPr>
                <w:sz w:val="20"/>
                <w:szCs w:val="20"/>
              </w:rPr>
              <w:t>Review</w:t>
            </w:r>
          </w:p>
        </w:tc>
        <w:tc>
          <w:tcPr>
            <w:tcW w:w="530" w:type="pct"/>
          </w:tcPr>
          <w:p w14:paraId="040217C6" w14:textId="77777777" w:rsidR="00EE501D" w:rsidRDefault="00EE501D" w:rsidP="00525BE0">
            <w:pPr>
              <w:spacing w:line="360" w:lineRule="auto"/>
              <w:jc w:val="both"/>
              <w:rPr>
                <w:sz w:val="20"/>
                <w:szCs w:val="20"/>
              </w:rPr>
            </w:pPr>
            <w:r>
              <w:rPr>
                <w:sz w:val="20"/>
                <w:szCs w:val="20"/>
              </w:rPr>
              <w:t>Gleaning</w:t>
            </w:r>
          </w:p>
        </w:tc>
      </w:tr>
      <w:tr w:rsidR="00EE501D" w:rsidRPr="00C6520A" w14:paraId="642410C2" w14:textId="77777777" w:rsidTr="00A77C56">
        <w:trPr>
          <w:trHeight w:val="236"/>
        </w:trPr>
        <w:tc>
          <w:tcPr>
            <w:tcW w:w="768" w:type="pct"/>
          </w:tcPr>
          <w:p w14:paraId="1EBE07FF" w14:textId="77777777" w:rsidR="00EE501D" w:rsidRDefault="00EE501D" w:rsidP="00525BE0">
            <w:pPr>
              <w:spacing w:line="360" w:lineRule="auto"/>
              <w:jc w:val="both"/>
              <w:rPr>
                <w:sz w:val="20"/>
                <w:szCs w:val="20"/>
              </w:rPr>
            </w:pPr>
            <w:r>
              <w:rPr>
                <w:sz w:val="20"/>
                <w:szCs w:val="20"/>
              </w:rPr>
              <w:t>Casey (2008)</w:t>
            </w:r>
          </w:p>
        </w:tc>
        <w:tc>
          <w:tcPr>
            <w:tcW w:w="336" w:type="pct"/>
          </w:tcPr>
          <w:p w14:paraId="7B4587C4" w14:textId="77777777" w:rsidR="00EE501D" w:rsidRDefault="00EE501D" w:rsidP="00525BE0">
            <w:pPr>
              <w:spacing w:line="360" w:lineRule="auto"/>
              <w:jc w:val="both"/>
              <w:rPr>
                <w:sz w:val="20"/>
                <w:szCs w:val="20"/>
              </w:rPr>
            </w:pPr>
            <w:r>
              <w:rPr>
                <w:sz w:val="20"/>
                <w:szCs w:val="20"/>
              </w:rPr>
              <w:t>Mixed</w:t>
            </w:r>
          </w:p>
        </w:tc>
        <w:tc>
          <w:tcPr>
            <w:tcW w:w="807" w:type="pct"/>
          </w:tcPr>
          <w:p w14:paraId="35766B01" w14:textId="77777777" w:rsidR="00EE501D" w:rsidRDefault="00EE501D" w:rsidP="00525BE0">
            <w:pPr>
              <w:spacing w:line="360" w:lineRule="auto"/>
              <w:jc w:val="both"/>
              <w:rPr>
                <w:sz w:val="20"/>
                <w:szCs w:val="20"/>
              </w:rPr>
            </w:pPr>
            <w:r>
              <w:rPr>
                <w:sz w:val="20"/>
                <w:szCs w:val="20"/>
              </w:rPr>
              <w:t>Partnerships (mixed)</w:t>
            </w:r>
          </w:p>
        </w:tc>
        <w:tc>
          <w:tcPr>
            <w:tcW w:w="639" w:type="pct"/>
          </w:tcPr>
          <w:p w14:paraId="1AF3E87F"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1A2B0F87" w14:textId="77777777" w:rsidR="00EE501D" w:rsidRDefault="00EE501D" w:rsidP="00525BE0">
            <w:pPr>
              <w:spacing w:line="360" w:lineRule="auto"/>
              <w:jc w:val="both"/>
              <w:rPr>
                <w:sz w:val="20"/>
                <w:szCs w:val="20"/>
              </w:rPr>
            </w:pPr>
            <w:r>
              <w:rPr>
                <w:sz w:val="20"/>
                <w:szCs w:val="20"/>
              </w:rPr>
              <w:t>Review</w:t>
            </w:r>
          </w:p>
        </w:tc>
        <w:tc>
          <w:tcPr>
            <w:tcW w:w="530" w:type="pct"/>
          </w:tcPr>
          <w:p w14:paraId="00FF7B26" w14:textId="77777777" w:rsidR="00EE501D" w:rsidRDefault="00EE501D" w:rsidP="00525BE0">
            <w:pPr>
              <w:spacing w:line="360" w:lineRule="auto"/>
              <w:jc w:val="both"/>
              <w:rPr>
                <w:sz w:val="20"/>
                <w:szCs w:val="20"/>
              </w:rPr>
            </w:pPr>
            <w:r>
              <w:rPr>
                <w:sz w:val="20"/>
                <w:szCs w:val="20"/>
              </w:rPr>
              <w:t>Gleaning</w:t>
            </w:r>
          </w:p>
        </w:tc>
      </w:tr>
      <w:tr w:rsidR="00EE501D" w:rsidRPr="00C6520A" w14:paraId="4AABB681" w14:textId="77777777" w:rsidTr="00A77C56">
        <w:trPr>
          <w:trHeight w:val="473"/>
        </w:trPr>
        <w:tc>
          <w:tcPr>
            <w:tcW w:w="768" w:type="pct"/>
          </w:tcPr>
          <w:p w14:paraId="56A3C5E8" w14:textId="071CD5AB"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{"citationItems":[{"id":"ITEM-1","itemData":{"DOI":"10.2307/j.ctt1t89ccq.10","author":[{"dropping-particle":"","family":"Care Quality Commission","given":"","non-dropping-particle":"","parse-names":false,"suffix":""}],"id":"ITEM-1","issue":"October","issued":{"date-parts":[["2017"]]},"note":"From Duplicate 1 (Partnership working to deliver health and social care in cornwall - Care Quality Commission)\n\nFrom Duplicate 1 (Partnership working to deliver health and social care in Cornwall. Responding to a risk or priority in an area - COMMISSION, CARE QUALITY)\n\nToo related to integration\n\nFrom Duplicate 2 (Partnership working to deliver health and social care in Cornwall. Responding to a risk or priority in an area - COMMISSION, CARE QUALITY)\n\nToo related to integration","number-of-pages":"1-33","publisher":"Care Quality Commission","publisher-place":"Newcastle upon Tyne","title":"Partnership working to deliver health and social care in cornwall","type":"report"},"uris":["http://www.mendeley.com/documents/?uuid=e2921a29-33aa-4482-93b4-0389a5107b04"]}],"mendeley":{"formattedCitation":"&lt;sup&gt;148&lt;/sup&gt;","manualFormatting":"Care Quality Commission (2017)","plainTextFormattedCitation":"148","previouslyFormattedCitation":"&lt;sup&gt;148&lt;/sup&gt;"},"properties":{"noteIndex":0},"schema":"https://github.com/citation-style-language/schema/raw/master/csl-citation.json"}</w:instrText>
            </w:r>
            <w:r w:rsidRPr="00C6520A">
              <w:rPr>
                <w:sz w:val="20"/>
                <w:szCs w:val="20"/>
              </w:rPr>
              <w:fldChar w:fldCharType="separate"/>
            </w:r>
            <w:r w:rsidRPr="00E4022F">
              <w:rPr>
                <w:noProof/>
                <w:sz w:val="20"/>
                <w:szCs w:val="20"/>
              </w:rPr>
              <w:t>Care Quality Commission</w:t>
            </w:r>
            <w:r>
              <w:rPr>
                <w:noProof/>
                <w:sz w:val="20"/>
                <w:szCs w:val="20"/>
              </w:rPr>
              <w:t xml:space="preserve"> (</w:t>
            </w:r>
            <w:r w:rsidRPr="00E4022F">
              <w:rPr>
                <w:noProof/>
                <w:sz w:val="20"/>
                <w:szCs w:val="20"/>
              </w:rPr>
              <w:t>2017)</w:t>
            </w:r>
            <w:r w:rsidRPr="00C6520A">
              <w:rPr>
                <w:sz w:val="20"/>
                <w:szCs w:val="20"/>
              </w:rPr>
              <w:fldChar w:fldCharType="end"/>
            </w:r>
          </w:p>
        </w:tc>
        <w:tc>
          <w:tcPr>
            <w:tcW w:w="336" w:type="pct"/>
          </w:tcPr>
          <w:p w14:paraId="63EC3C02"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78C6F3B0" w14:textId="77777777" w:rsidR="00EE501D" w:rsidRPr="00C6520A" w:rsidRDefault="00EE501D" w:rsidP="00525BE0">
            <w:pPr>
              <w:spacing w:line="360" w:lineRule="auto"/>
              <w:jc w:val="both"/>
              <w:rPr>
                <w:sz w:val="20"/>
                <w:szCs w:val="20"/>
              </w:rPr>
            </w:pPr>
            <w:r w:rsidRPr="00C6520A">
              <w:rPr>
                <w:sz w:val="20"/>
                <w:szCs w:val="20"/>
              </w:rPr>
              <w:t>Sustainability Transformation Partnership/Accountable Care Organisation</w:t>
            </w:r>
          </w:p>
        </w:tc>
        <w:tc>
          <w:tcPr>
            <w:tcW w:w="639" w:type="pct"/>
          </w:tcPr>
          <w:p w14:paraId="037F9469"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506D4228" w14:textId="77777777" w:rsidR="00EE501D" w:rsidRPr="00C6520A" w:rsidRDefault="00EE501D" w:rsidP="00525BE0">
            <w:pPr>
              <w:spacing w:line="360" w:lineRule="auto"/>
              <w:jc w:val="both"/>
              <w:rPr>
                <w:sz w:val="20"/>
                <w:szCs w:val="20"/>
              </w:rPr>
            </w:pPr>
            <w:r>
              <w:rPr>
                <w:sz w:val="20"/>
                <w:szCs w:val="20"/>
              </w:rPr>
              <w:t>Evaluation, based on inspection reports based on visits to 25 independent sector adult social care providers and a four-day visit to the organisation</w:t>
            </w:r>
          </w:p>
        </w:tc>
        <w:tc>
          <w:tcPr>
            <w:tcW w:w="530" w:type="pct"/>
          </w:tcPr>
          <w:p w14:paraId="0A8FD359" w14:textId="77777777" w:rsidR="00EE501D" w:rsidRDefault="00EE501D" w:rsidP="00525BE0">
            <w:pPr>
              <w:spacing w:line="360" w:lineRule="auto"/>
              <w:jc w:val="both"/>
              <w:rPr>
                <w:sz w:val="20"/>
                <w:szCs w:val="20"/>
              </w:rPr>
            </w:pPr>
            <w:r>
              <w:rPr>
                <w:sz w:val="20"/>
                <w:szCs w:val="20"/>
              </w:rPr>
              <w:t>Refinement</w:t>
            </w:r>
          </w:p>
        </w:tc>
      </w:tr>
      <w:tr w:rsidR="00EE501D" w:rsidRPr="00C6520A" w14:paraId="4CBCE58B" w14:textId="77777777" w:rsidTr="00A77C56">
        <w:trPr>
          <w:trHeight w:val="236"/>
        </w:trPr>
        <w:tc>
          <w:tcPr>
            <w:tcW w:w="768" w:type="pct"/>
          </w:tcPr>
          <w:p w14:paraId="38853D0B" w14:textId="65E551CA"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{"citationItems":[{"id":"ITEM-1","itemData":{"DOI":"10.1108/14777260310469283","ISSN":"14777266","abstract":"Since 1990 the National Health Service (NHS) has undergone a sustained period of change. This change has been necessary to prepare the NHS for the task of meeting a demand for services that continues to rise more rapidly than the availability of resources. Anecdotal evidence suggests that one of the most popular ways for trusts to improve their ability to meet demand is through mergers with other trusts. However, little rigorous research has been conducted to assess the extent or effectiveness of this strategy. A research project was, therefore, initiated to better understand the extent and impact of merger activity within the NHS. A questionnaire was developed and distributed to the chief executive, finance director, medical director and human resources director in all the 460 trusts that are currently members of the NHS confederation. In total the survey generated 459 responses out of a possible total of 1,840; an encouraging response rate of 25 per cent. The results of this research provide significant new evidence that “merger mania” has taken hold within the NHS. While 46 per cent of all responding trusts indicated that they had already merged, are actively involved in a merger, proposing to merge or are talking to prospective partners, a further 18.7 per cent of all trusts are forming strategic alliances rather than opting for a full merger. The dominant justification for merging are the beliefs that it will facilitate the reconfiguration of services and ultimately improve patient care. The paper concludes with a discussion of the significance of these results, before making recommendations with regard to their implications for future merger activity within the NHS. © 2003, MCB UP Limited","author":[{"dropping-particle":"","family":"Cereste","given":"Marco","non-dropping-particle":"","parse-names":false,"suffix":""},{"dropping-particle":"","family":"Doherty","given":"Neil F.","non-dropping-particle":"","parse-names":false,"suffix":""},{"dropping-particle":"","family":"Travers","given":"Cheryl J.","non-dropping-particle":"","parse-names":false,"suffix":""}],"container-title":"Journal of Health Organization and Management","id":"ITEM-1","issue":"1","issued":{"date-parts":[["2003"]]},"page":"6-24","title":"An investigation into the level and impact of merger activity amongst hospitals in the UK's National Health Service","type":"article-journal","volume":"17"},"uris":["http://www.mendeley.com/documents/?uuid=429500c3-899a-4ae0-a8d2-0e628e2d6c06"]}],"mendeley":{"formattedCitation":"&lt;sup&gt;149&lt;/sup&gt;","manualFormatting":"Cereste, Doherty and Travers, (2003)","plainTextFormattedCitation":"149","previouslyFormattedCitation":"&lt;sup&gt;149&lt;/sup&gt;"},"properties":{"noteIndex":0},"schema":"https://github.com/citation-style-language/schema/raw/master/csl-citation.json"}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Cereste, Doherty and Travers, </w:t>
            </w:r>
            <w:r>
              <w:rPr>
                <w:noProof/>
                <w:sz w:val="20"/>
                <w:szCs w:val="20"/>
              </w:rPr>
              <w:t>(</w:t>
            </w:r>
            <w:r w:rsidRPr="00E4022F">
              <w:rPr>
                <w:noProof/>
                <w:sz w:val="20"/>
                <w:szCs w:val="20"/>
              </w:rPr>
              <w:t>2003)</w:t>
            </w:r>
            <w:r w:rsidRPr="00C6520A">
              <w:rPr>
                <w:sz w:val="20"/>
                <w:szCs w:val="20"/>
              </w:rPr>
              <w:fldChar w:fldCharType="end"/>
            </w:r>
          </w:p>
        </w:tc>
        <w:tc>
          <w:tcPr>
            <w:tcW w:w="336" w:type="pct"/>
          </w:tcPr>
          <w:p w14:paraId="6A83A217" w14:textId="77777777" w:rsidR="00EE501D" w:rsidRPr="00C6520A" w:rsidRDefault="00EE501D" w:rsidP="00525BE0">
            <w:pPr>
              <w:spacing w:line="360" w:lineRule="auto"/>
              <w:jc w:val="both"/>
              <w:rPr>
                <w:sz w:val="20"/>
                <w:szCs w:val="20"/>
              </w:rPr>
            </w:pPr>
            <w:r>
              <w:rPr>
                <w:sz w:val="20"/>
                <w:szCs w:val="20"/>
              </w:rPr>
              <w:t>UK</w:t>
            </w:r>
          </w:p>
        </w:tc>
        <w:tc>
          <w:tcPr>
            <w:tcW w:w="807" w:type="pct"/>
          </w:tcPr>
          <w:p w14:paraId="56EE370D" w14:textId="77777777" w:rsidR="00EE501D" w:rsidRPr="00C6520A" w:rsidRDefault="00EE501D" w:rsidP="00525BE0">
            <w:pPr>
              <w:spacing w:line="360" w:lineRule="auto"/>
              <w:jc w:val="both"/>
              <w:rPr>
                <w:sz w:val="20"/>
                <w:szCs w:val="20"/>
              </w:rPr>
            </w:pPr>
            <w:r w:rsidRPr="00C6520A">
              <w:rPr>
                <w:sz w:val="20"/>
                <w:szCs w:val="20"/>
              </w:rPr>
              <w:t>Merger</w:t>
            </w:r>
          </w:p>
        </w:tc>
        <w:tc>
          <w:tcPr>
            <w:tcW w:w="639" w:type="pct"/>
          </w:tcPr>
          <w:p w14:paraId="0BC2E0BE" w14:textId="77777777" w:rsidR="00EE501D" w:rsidRPr="00C6520A" w:rsidRDefault="00EE501D" w:rsidP="00525BE0">
            <w:pPr>
              <w:spacing w:line="360" w:lineRule="auto"/>
              <w:jc w:val="both"/>
              <w:rPr>
                <w:sz w:val="20"/>
                <w:szCs w:val="20"/>
              </w:rPr>
            </w:pPr>
            <w:r>
              <w:rPr>
                <w:sz w:val="20"/>
                <w:szCs w:val="20"/>
              </w:rPr>
              <w:t>Hospitals and mental health/community trusts</w:t>
            </w:r>
          </w:p>
        </w:tc>
        <w:tc>
          <w:tcPr>
            <w:tcW w:w="1919" w:type="pct"/>
          </w:tcPr>
          <w:p w14:paraId="4E348588" w14:textId="77777777" w:rsidR="00EE501D" w:rsidRPr="00C6520A" w:rsidRDefault="00EE501D" w:rsidP="00525BE0">
            <w:pPr>
              <w:spacing w:line="360" w:lineRule="auto"/>
              <w:jc w:val="both"/>
              <w:rPr>
                <w:sz w:val="20"/>
                <w:szCs w:val="20"/>
              </w:rPr>
            </w:pPr>
            <w:r>
              <w:rPr>
                <w:sz w:val="20"/>
                <w:szCs w:val="20"/>
              </w:rPr>
              <w:t>Focus group, and questionnaire answered by 457 trusts (mostly chief executives, finance directors, etc.)</w:t>
            </w:r>
          </w:p>
        </w:tc>
        <w:tc>
          <w:tcPr>
            <w:tcW w:w="530" w:type="pct"/>
          </w:tcPr>
          <w:p w14:paraId="4FF38833" w14:textId="77777777" w:rsidR="00EE501D" w:rsidRDefault="00EE501D" w:rsidP="00525BE0">
            <w:pPr>
              <w:spacing w:line="360" w:lineRule="auto"/>
              <w:jc w:val="both"/>
              <w:rPr>
                <w:sz w:val="20"/>
                <w:szCs w:val="20"/>
              </w:rPr>
            </w:pPr>
            <w:r>
              <w:rPr>
                <w:sz w:val="20"/>
                <w:szCs w:val="20"/>
              </w:rPr>
              <w:t>Refinement</w:t>
            </w:r>
          </w:p>
        </w:tc>
      </w:tr>
      <w:tr w:rsidR="00EE501D" w:rsidRPr="00C6520A" w14:paraId="73D9A71C" w14:textId="77777777" w:rsidTr="00A77C56">
        <w:trPr>
          <w:trHeight w:val="236"/>
        </w:trPr>
        <w:tc>
          <w:tcPr>
            <w:tcW w:w="768" w:type="pct"/>
          </w:tcPr>
          <w:p w14:paraId="05BED73F" w14:textId="36F33B13"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{"citationItems":[{"id":"ITEM-1","itemData":{"author":[{"dropping-particle":"","family":"Community Network","given":"","non-dropping-particle":"","parse-names":false,"suffix":""}],"id":"ITEM-1","issue":"July","issued":{"date-parts":[["2020"]]},"title":"Delivering neighbourhood-level integrated care in Luton","type":"article-journal"},"uris":["http://www.mendeley.com/documents/?uuid=3fc344f7-3284-40be-a24f-4425ff9f7baf"]}],"mendeley":{"formattedCitation":"&lt;sup&gt;152&lt;/sup&gt;","manualFormatting":"Community Network (2020d)","plainTextFormattedCitation":"152","previouslyFormattedCitation":"&lt;sup&gt;152&lt;/sup&gt;"},"properties":{"noteIndex":0},"schema":"https://github.com/citation-style-language/schema/raw/master/csl-citation.json"}</w:instrText>
            </w:r>
            <w:r w:rsidRPr="00C6520A">
              <w:rPr>
                <w:sz w:val="20"/>
                <w:szCs w:val="20"/>
              </w:rPr>
              <w:fldChar w:fldCharType="separate"/>
            </w:r>
            <w:r w:rsidRPr="00E4022F">
              <w:rPr>
                <w:noProof/>
                <w:sz w:val="20"/>
                <w:szCs w:val="20"/>
              </w:rPr>
              <w:t>Community Network</w:t>
            </w:r>
            <w:r>
              <w:rPr>
                <w:noProof/>
                <w:sz w:val="20"/>
                <w:szCs w:val="20"/>
              </w:rPr>
              <w:t xml:space="preserve"> (</w:t>
            </w:r>
            <w:r w:rsidRPr="00E4022F">
              <w:rPr>
                <w:noProof/>
                <w:sz w:val="20"/>
                <w:szCs w:val="20"/>
              </w:rPr>
              <w:t>2020d)</w:t>
            </w:r>
            <w:r w:rsidRPr="00C6520A">
              <w:rPr>
                <w:sz w:val="20"/>
                <w:szCs w:val="20"/>
              </w:rPr>
              <w:fldChar w:fldCharType="end"/>
            </w:r>
          </w:p>
        </w:tc>
        <w:tc>
          <w:tcPr>
            <w:tcW w:w="336" w:type="pct"/>
          </w:tcPr>
          <w:p w14:paraId="055445E3"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0D09B936" w14:textId="77777777" w:rsidR="00EE501D" w:rsidRPr="00C6520A" w:rsidRDefault="00EE501D" w:rsidP="00525BE0">
            <w:pPr>
              <w:spacing w:line="360" w:lineRule="auto"/>
              <w:jc w:val="both"/>
              <w:rPr>
                <w:sz w:val="20"/>
                <w:szCs w:val="20"/>
              </w:rPr>
            </w:pPr>
            <w:r w:rsidRPr="00C6520A">
              <w:rPr>
                <w:sz w:val="20"/>
                <w:szCs w:val="20"/>
              </w:rPr>
              <w:t>Provider alliance/ Integrated care</w:t>
            </w:r>
          </w:p>
        </w:tc>
        <w:tc>
          <w:tcPr>
            <w:tcW w:w="639" w:type="pct"/>
          </w:tcPr>
          <w:p w14:paraId="4912F261"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76E9620E" w14:textId="77777777" w:rsidR="00EE501D" w:rsidRPr="00C6520A" w:rsidRDefault="00EE501D" w:rsidP="00525BE0">
            <w:pPr>
              <w:spacing w:line="360" w:lineRule="auto"/>
              <w:jc w:val="both"/>
              <w:rPr>
                <w:sz w:val="20"/>
                <w:szCs w:val="20"/>
              </w:rPr>
            </w:pPr>
            <w:r>
              <w:rPr>
                <w:sz w:val="20"/>
                <w:szCs w:val="20"/>
              </w:rPr>
              <w:t>Summary report from a wider project – case studies (methods unknown)</w:t>
            </w:r>
          </w:p>
        </w:tc>
        <w:tc>
          <w:tcPr>
            <w:tcW w:w="530" w:type="pct"/>
          </w:tcPr>
          <w:p w14:paraId="7263A5B9" w14:textId="77777777" w:rsidR="00EE501D" w:rsidRDefault="00EE501D" w:rsidP="00525BE0">
            <w:pPr>
              <w:spacing w:line="360" w:lineRule="auto"/>
              <w:jc w:val="both"/>
              <w:rPr>
                <w:sz w:val="20"/>
                <w:szCs w:val="20"/>
              </w:rPr>
            </w:pPr>
            <w:r>
              <w:rPr>
                <w:sz w:val="20"/>
                <w:szCs w:val="20"/>
              </w:rPr>
              <w:t>Refinement</w:t>
            </w:r>
          </w:p>
        </w:tc>
      </w:tr>
      <w:tr w:rsidR="00EE501D" w:rsidRPr="00C6520A" w14:paraId="6F4E90C7" w14:textId="77777777" w:rsidTr="00A77C56">
        <w:trPr>
          <w:trHeight w:val="236"/>
        </w:trPr>
        <w:tc>
          <w:tcPr>
            <w:tcW w:w="768" w:type="pct"/>
          </w:tcPr>
          <w:p w14:paraId="7FECD594" w14:textId="79221528"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{"citationItems":[{"id":"ITEM-1","itemData":{"author":[{"dropping-particle":"","family":"Community Network","given":"","non-dropping-particle":"","parse-names":false,"suffix":""}],"id":"ITEM-1","issue":"July","issued":{"date-parts":[["2020"]]},"title":"Delivering neighbourhood-level integrated care in Norfolk","type":"article-journal"},"uris":["http://www.mendeley.com/documents/?uuid=45e1b139-68df-4d37-ad91-9186aee0215b"]}],"mendeley":{"formattedCitation":"&lt;sup&gt;151&lt;/sup&gt;","manualFormatting":"Community Network (2020e)","plainTextFormattedCitation":"151","previouslyFormattedCitation":"&lt;sup&gt;151&lt;/sup&gt;"},"properties":{"noteIndex":0},"schema":"https://github.com/citation-style-language/schema/raw/master/csl-citation.json"}</w:instrText>
            </w:r>
            <w:r w:rsidRPr="00C6520A">
              <w:rPr>
                <w:sz w:val="20"/>
                <w:szCs w:val="20"/>
              </w:rPr>
              <w:fldChar w:fldCharType="separate"/>
            </w:r>
            <w:r w:rsidRPr="00E4022F">
              <w:rPr>
                <w:noProof/>
                <w:sz w:val="20"/>
                <w:szCs w:val="20"/>
              </w:rPr>
              <w:t>Community Network</w:t>
            </w:r>
            <w:r>
              <w:rPr>
                <w:noProof/>
                <w:sz w:val="20"/>
                <w:szCs w:val="20"/>
              </w:rPr>
              <w:t xml:space="preserve"> (</w:t>
            </w:r>
            <w:r w:rsidRPr="00E4022F">
              <w:rPr>
                <w:noProof/>
                <w:sz w:val="20"/>
                <w:szCs w:val="20"/>
              </w:rPr>
              <w:t>2020e)</w:t>
            </w:r>
            <w:r w:rsidRPr="00C6520A">
              <w:rPr>
                <w:sz w:val="20"/>
                <w:szCs w:val="20"/>
              </w:rPr>
              <w:fldChar w:fldCharType="end"/>
            </w:r>
          </w:p>
        </w:tc>
        <w:tc>
          <w:tcPr>
            <w:tcW w:w="336" w:type="pct"/>
          </w:tcPr>
          <w:p w14:paraId="3BCA8B12"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64461890" w14:textId="77777777" w:rsidR="00EE501D" w:rsidRPr="00C6520A" w:rsidRDefault="00EE501D" w:rsidP="00525BE0">
            <w:pPr>
              <w:spacing w:line="360" w:lineRule="auto"/>
              <w:jc w:val="both"/>
              <w:rPr>
                <w:sz w:val="20"/>
                <w:szCs w:val="20"/>
              </w:rPr>
            </w:pPr>
            <w:r w:rsidRPr="00C6520A">
              <w:rPr>
                <w:sz w:val="20"/>
                <w:szCs w:val="20"/>
              </w:rPr>
              <w:t>Provider alliance/ Integrated care</w:t>
            </w:r>
          </w:p>
        </w:tc>
        <w:tc>
          <w:tcPr>
            <w:tcW w:w="639" w:type="pct"/>
          </w:tcPr>
          <w:p w14:paraId="70294325"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7A01E5CA" w14:textId="77777777" w:rsidR="00EE501D" w:rsidRPr="00C6520A" w:rsidRDefault="00EE501D" w:rsidP="00525BE0">
            <w:pPr>
              <w:spacing w:line="360" w:lineRule="auto"/>
              <w:jc w:val="both"/>
              <w:rPr>
                <w:sz w:val="20"/>
                <w:szCs w:val="20"/>
              </w:rPr>
            </w:pPr>
            <w:r>
              <w:rPr>
                <w:sz w:val="20"/>
                <w:szCs w:val="20"/>
              </w:rPr>
              <w:t>Summary report from a wider project – case studies (methods unknown)</w:t>
            </w:r>
          </w:p>
        </w:tc>
        <w:tc>
          <w:tcPr>
            <w:tcW w:w="530" w:type="pct"/>
          </w:tcPr>
          <w:p w14:paraId="35D96042" w14:textId="77777777" w:rsidR="00EE501D" w:rsidRDefault="00EE501D" w:rsidP="00525BE0">
            <w:pPr>
              <w:spacing w:line="360" w:lineRule="auto"/>
              <w:jc w:val="both"/>
              <w:rPr>
                <w:sz w:val="20"/>
                <w:szCs w:val="20"/>
              </w:rPr>
            </w:pPr>
            <w:r>
              <w:rPr>
                <w:sz w:val="20"/>
                <w:szCs w:val="20"/>
              </w:rPr>
              <w:t>Refinement</w:t>
            </w:r>
          </w:p>
        </w:tc>
      </w:tr>
      <w:tr w:rsidR="00EE501D" w:rsidRPr="00C6520A" w14:paraId="1AEF15EF" w14:textId="77777777" w:rsidTr="00A77C56">
        <w:trPr>
          <w:trHeight w:val="236"/>
        </w:trPr>
        <w:tc>
          <w:tcPr>
            <w:tcW w:w="768" w:type="pct"/>
          </w:tcPr>
          <w:p w14:paraId="3415031A" w14:textId="3EE238FC"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{"citationItems":[{"id":"ITEM-1","itemData":{"author":[{"dropping-particle":"","family":"Community Network","given":"","non-dropping-particle":"","parse-names":false,"suffix":""}],"id":"ITEM-1","issue":"July","issued":{"date-parts":[["2020"]]},"title":"Delivering neighbourhood-level integrated care in Haringey and Islington","type":"article-journal"},"uris":["http://www.mendeley.com/documents/?uuid=c05e582e-81c3-408f-b819-37cac2ef0b84"]}],"mendeley":{"formattedCitation":"&lt;sup&gt;150&lt;/sup&gt;","manualFormatting":"Community Network (2020b)","plainTextFormattedCitation":"150","previouslyFormattedCitation":"&lt;sup&gt;150&lt;/sup&gt;"},"properties":{"noteIndex":0},"schema":"https://github.com/citation-style-language/schema/raw/master/csl-citation.json"}</w:instrText>
            </w:r>
            <w:r w:rsidRPr="00C6520A">
              <w:rPr>
                <w:sz w:val="20"/>
                <w:szCs w:val="20"/>
              </w:rPr>
              <w:fldChar w:fldCharType="separate"/>
            </w:r>
            <w:r w:rsidRPr="00E4022F">
              <w:rPr>
                <w:noProof/>
                <w:sz w:val="20"/>
                <w:szCs w:val="20"/>
              </w:rPr>
              <w:t>Community Network</w:t>
            </w:r>
            <w:r>
              <w:rPr>
                <w:noProof/>
                <w:sz w:val="20"/>
                <w:szCs w:val="20"/>
              </w:rPr>
              <w:t xml:space="preserve"> (</w:t>
            </w:r>
            <w:r w:rsidRPr="00E4022F">
              <w:rPr>
                <w:noProof/>
                <w:sz w:val="20"/>
                <w:szCs w:val="20"/>
              </w:rPr>
              <w:t>2020b)</w:t>
            </w:r>
            <w:r w:rsidRPr="00C6520A">
              <w:rPr>
                <w:sz w:val="20"/>
                <w:szCs w:val="20"/>
              </w:rPr>
              <w:fldChar w:fldCharType="end"/>
            </w:r>
          </w:p>
        </w:tc>
        <w:tc>
          <w:tcPr>
            <w:tcW w:w="336" w:type="pct"/>
          </w:tcPr>
          <w:p w14:paraId="2524CA00"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0F661567" w14:textId="77777777" w:rsidR="00EE501D" w:rsidRPr="00C6520A" w:rsidRDefault="00EE501D" w:rsidP="00525BE0">
            <w:pPr>
              <w:spacing w:line="360" w:lineRule="auto"/>
              <w:jc w:val="both"/>
              <w:rPr>
                <w:sz w:val="20"/>
                <w:szCs w:val="20"/>
              </w:rPr>
            </w:pPr>
            <w:r w:rsidRPr="00C6520A">
              <w:rPr>
                <w:sz w:val="20"/>
                <w:szCs w:val="20"/>
              </w:rPr>
              <w:t>Provider alliance/ Integrated care</w:t>
            </w:r>
          </w:p>
        </w:tc>
        <w:tc>
          <w:tcPr>
            <w:tcW w:w="639" w:type="pct"/>
          </w:tcPr>
          <w:p w14:paraId="5A4FDB1F"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449611C6" w14:textId="77777777" w:rsidR="00EE501D" w:rsidRPr="00C6520A" w:rsidRDefault="00EE501D" w:rsidP="00525BE0">
            <w:pPr>
              <w:spacing w:line="360" w:lineRule="auto"/>
              <w:jc w:val="both"/>
              <w:rPr>
                <w:sz w:val="20"/>
                <w:szCs w:val="20"/>
              </w:rPr>
            </w:pPr>
            <w:r>
              <w:rPr>
                <w:sz w:val="20"/>
                <w:szCs w:val="20"/>
              </w:rPr>
              <w:t>Summary report from a wider project – case studies (methods unknown)</w:t>
            </w:r>
          </w:p>
        </w:tc>
        <w:tc>
          <w:tcPr>
            <w:tcW w:w="530" w:type="pct"/>
          </w:tcPr>
          <w:p w14:paraId="4C34A6C8" w14:textId="77777777" w:rsidR="00EE501D" w:rsidRDefault="00EE501D" w:rsidP="00525BE0">
            <w:pPr>
              <w:spacing w:line="360" w:lineRule="auto"/>
              <w:jc w:val="both"/>
              <w:rPr>
                <w:sz w:val="20"/>
                <w:szCs w:val="20"/>
              </w:rPr>
            </w:pPr>
            <w:r>
              <w:rPr>
                <w:sz w:val="20"/>
                <w:szCs w:val="20"/>
              </w:rPr>
              <w:t>Refinement</w:t>
            </w:r>
          </w:p>
        </w:tc>
      </w:tr>
      <w:tr w:rsidR="00EE501D" w:rsidRPr="00C6520A" w14:paraId="1972CAAB" w14:textId="77777777" w:rsidTr="00A77C56">
        <w:trPr>
          <w:trHeight w:val="236"/>
        </w:trPr>
        <w:tc>
          <w:tcPr>
            <w:tcW w:w="768" w:type="pct"/>
          </w:tcPr>
          <w:p w14:paraId="61292C0B" w14:textId="47E3E90F"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{"citationItems":[{"id":"ITEM-1","itemData":{"author":[{"dropping-particle":"","family":"Community Network","given":"","non-dropping-particle":"","parse-names":false,"suffix":""}],"id":"ITEM-1","issue":"July","issued":{"date-parts":[["2020"]]},"title":"Delivering integrated care at neighbourhood level","type":"article-journal"},"uris":["http://www.mendeley.com/documents/?uuid=ed5f9976-47e4-4997-9459-f8ccbb0f14ea"]}],"mendeley":{"formattedCitation":"&lt;sup&gt;153&lt;/sup&gt;","manualFormatting":"Community Network (2020a)","plainTextFormattedCitation":"153","previouslyFormattedCitation":"&lt;sup&gt;153&lt;/sup&gt;"},"properties":{"noteIndex":0},"schema":"https://github.com/citation-style-language/schema/raw/master/csl-citation.json"}</w:instrText>
            </w:r>
            <w:r w:rsidRPr="00C6520A">
              <w:rPr>
                <w:sz w:val="20"/>
                <w:szCs w:val="20"/>
              </w:rPr>
              <w:fldChar w:fldCharType="separate"/>
            </w:r>
            <w:r w:rsidRPr="00E4022F">
              <w:rPr>
                <w:noProof/>
                <w:sz w:val="20"/>
                <w:szCs w:val="20"/>
              </w:rPr>
              <w:t>Community Network</w:t>
            </w:r>
            <w:r>
              <w:rPr>
                <w:noProof/>
                <w:sz w:val="20"/>
                <w:szCs w:val="20"/>
              </w:rPr>
              <w:t xml:space="preserve"> (</w:t>
            </w:r>
            <w:r w:rsidRPr="00E4022F">
              <w:rPr>
                <w:noProof/>
                <w:sz w:val="20"/>
                <w:szCs w:val="20"/>
              </w:rPr>
              <w:t>2020a)</w:t>
            </w:r>
            <w:r w:rsidRPr="00C6520A">
              <w:rPr>
                <w:sz w:val="20"/>
                <w:szCs w:val="20"/>
              </w:rPr>
              <w:fldChar w:fldCharType="end"/>
            </w:r>
          </w:p>
        </w:tc>
        <w:tc>
          <w:tcPr>
            <w:tcW w:w="336" w:type="pct"/>
          </w:tcPr>
          <w:p w14:paraId="038B8102"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19E0E97E" w14:textId="77777777" w:rsidR="00EE501D" w:rsidRPr="00C6520A" w:rsidRDefault="00EE501D" w:rsidP="00525BE0">
            <w:pPr>
              <w:spacing w:line="360" w:lineRule="auto"/>
              <w:jc w:val="both"/>
              <w:rPr>
                <w:sz w:val="20"/>
                <w:szCs w:val="20"/>
              </w:rPr>
            </w:pPr>
            <w:r w:rsidRPr="00C6520A">
              <w:rPr>
                <w:sz w:val="20"/>
                <w:szCs w:val="20"/>
              </w:rPr>
              <w:t>Provider alliance/ Integrated care</w:t>
            </w:r>
          </w:p>
        </w:tc>
        <w:tc>
          <w:tcPr>
            <w:tcW w:w="639" w:type="pct"/>
          </w:tcPr>
          <w:p w14:paraId="646A505A"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5D9974C5" w14:textId="77777777" w:rsidR="00EE501D" w:rsidRPr="00C6520A" w:rsidRDefault="00EE501D" w:rsidP="00525BE0">
            <w:pPr>
              <w:spacing w:line="360" w:lineRule="auto"/>
              <w:jc w:val="both"/>
              <w:rPr>
                <w:sz w:val="20"/>
                <w:szCs w:val="20"/>
              </w:rPr>
            </w:pPr>
            <w:r>
              <w:rPr>
                <w:sz w:val="20"/>
                <w:szCs w:val="20"/>
              </w:rPr>
              <w:t>Summary report from a wider project – case studies (methods unknown)</w:t>
            </w:r>
          </w:p>
        </w:tc>
        <w:tc>
          <w:tcPr>
            <w:tcW w:w="530" w:type="pct"/>
          </w:tcPr>
          <w:p w14:paraId="63218EDE" w14:textId="77777777" w:rsidR="00EE501D" w:rsidRDefault="00EE501D" w:rsidP="00525BE0">
            <w:pPr>
              <w:spacing w:line="360" w:lineRule="auto"/>
              <w:jc w:val="both"/>
              <w:rPr>
                <w:sz w:val="20"/>
                <w:szCs w:val="20"/>
              </w:rPr>
            </w:pPr>
            <w:r>
              <w:rPr>
                <w:sz w:val="20"/>
                <w:szCs w:val="20"/>
              </w:rPr>
              <w:t>Refinement</w:t>
            </w:r>
          </w:p>
        </w:tc>
      </w:tr>
      <w:tr w:rsidR="00EE501D" w:rsidRPr="00C6520A" w14:paraId="63AB7FE5" w14:textId="77777777" w:rsidTr="00A77C56">
        <w:trPr>
          <w:trHeight w:val="236"/>
        </w:trPr>
        <w:tc>
          <w:tcPr>
            <w:tcW w:w="768" w:type="pct"/>
          </w:tcPr>
          <w:p w14:paraId="63D5CACD" w14:textId="39069E9B"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{"citationItems":[{"id":"ITEM-1","itemData":{"author":[{"dropping-particle":"","family":"Community Network","given":"","non-dropping-particle":"","parse-names":false,"suffix":""}],"id":"ITEM-1","issue":"July","issued":{"date-parts":[["2020"]]},"title":"Delivering neighbourhood-level integrated care in Leeds","type":"article-journal"},"uris":["http://www.mendeley.com/documents/?uuid=767c4bc3-6045-43d9-9bf6-2dbc84a19352"]}],"mendeley":{"formattedCitation":"&lt;sup&gt;154&lt;/sup&gt;","manualFormatting":"Community Network (2020c)","plainTextFormattedCitation":"154","previouslyFormattedCitation":"&lt;sup&gt;154&lt;/sup&gt;"},"properties":{"noteIndex":0},"schema":"https://github.com/citation-style-language/schema/raw/master/csl-citation.json"}</w:instrText>
            </w:r>
            <w:r w:rsidRPr="00C6520A">
              <w:rPr>
                <w:sz w:val="20"/>
                <w:szCs w:val="20"/>
              </w:rPr>
              <w:fldChar w:fldCharType="separate"/>
            </w:r>
            <w:r w:rsidRPr="00E4022F">
              <w:rPr>
                <w:noProof/>
                <w:sz w:val="20"/>
                <w:szCs w:val="20"/>
              </w:rPr>
              <w:t>Community Network</w:t>
            </w:r>
            <w:r>
              <w:rPr>
                <w:noProof/>
                <w:sz w:val="20"/>
                <w:szCs w:val="20"/>
              </w:rPr>
              <w:t xml:space="preserve"> (</w:t>
            </w:r>
            <w:r w:rsidRPr="00E4022F">
              <w:rPr>
                <w:noProof/>
                <w:sz w:val="20"/>
                <w:szCs w:val="20"/>
              </w:rPr>
              <w:t>2020c)</w:t>
            </w:r>
            <w:r w:rsidRPr="00C6520A">
              <w:rPr>
                <w:sz w:val="20"/>
                <w:szCs w:val="20"/>
              </w:rPr>
              <w:fldChar w:fldCharType="end"/>
            </w:r>
          </w:p>
        </w:tc>
        <w:tc>
          <w:tcPr>
            <w:tcW w:w="336" w:type="pct"/>
          </w:tcPr>
          <w:p w14:paraId="1BD1FBA8"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61B0260F" w14:textId="77777777" w:rsidR="00EE501D" w:rsidRPr="00C6520A" w:rsidRDefault="00EE501D" w:rsidP="00525BE0">
            <w:pPr>
              <w:spacing w:line="360" w:lineRule="auto"/>
              <w:jc w:val="both"/>
              <w:rPr>
                <w:sz w:val="20"/>
                <w:szCs w:val="20"/>
              </w:rPr>
            </w:pPr>
            <w:r w:rsidRPr="00C6520A">
              <w:rPr>
                <w:sz w:val="20"/>
                <w:szCs w:val="20"/>
              </w:rPr>
              <w:t>Provider alliance/ Integrated care</w:t>
            </w:r>
          </w:p>
        </w:tc>
        <w:tc>
          <w:tcPr>
            <w:tcW w:w="639" w:type="pct"/>
          </w:tcPr>
          <w:p w14:paraId="3DB0F8F9"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494C3509" w14:textId="77777777" w:rsidR="00EE501D" w:rsidRPr="00C6520A" w:rsidRDefault="00EE501D" w:rsidP="00525BE0">
            <w:pPr>
              <w:spacing w:line="360" w:lineRule="auto"/>
              <w:jc w:val="both"/>
              <w:rPr>
                <w:sz w:val="20"/>
                <w:szCs w:val="20"/>
              </w:rPr>
            </w:pPr>
            <w:r>
              <w:rPr>
                <w:sz w:val="20"/>
                <w:szCs w:val="20"/>
              </w:rPr>
              <w:t>Summary report from a wider project – case studies (methods unknown)</w:t>
            </w:r>
          </w:p>
        </w:tc>
        <w:tc>
          <w:tcPr>
            <w:tcW w:w="530" w:type="pct"/>
          </w:tcPr>
          <w:p w14:paraId="0B9B662D" w14:textId="77777777" w:rsidR="00EE501D" w:rsidRDefault="00EE501D" w:rsidP="00525BE0">
            <w:pPr>
              <w:spacing w:line="360" w:lineRule="auto"/>
              <w:jc w:val="both"/>
              <w:rPr>
                <w:sz w:val="20"/>
                <w:szCs w:val="20"/>
              </w:rPr>
            </w:pPr>
            <w:r>
              <w:rPr>
                <w:sz w:val="20"/>
                <w:szCs w:val="20"/>
              </w:rPr>
              <w:t>Refinement</w:t>
            </w:r>
          </w:p>
        </w:tc>
      </w:tr>
      <w:tr w:rsidR="00EE501D" w:rsidRPr="00C6520A" w14:paraId="730373A2" w14:textId="77777777" w:rsidTr="00A77C56">
        <w:trPr>
          <w:trHeight w:val="236"/>
        </w:trPr>
        <w:tc>
          <w:tcPr>
            <w:tcW w:w="768" w:type="pct"/>
          </w:tcPr>
          <w:p w14:paraId="45567332" w14:textId="64951263" w:rsidR="00EE501D" w:rsidRPr="00C6520A" w:rsidRDefault="00EE501D" w:rsidP="00525BE0">
            <w:pPr>
              <w:spacing w:line="360" w:lineRule="auto"/>
              <w:jc w:val="both"/>
              <w:rPr>
                <w:sz w:val="20"/>
                <w:szCs w:val="20"/>
              </w:rPr>
            </w:pPr>
            <w:r>
              <w:rPr>
                <w:sz w:val="20"/>
                <w:szCs w:val="20"/>
              </w:rPr>
              <w:fldChar w:fldCharType="begin" w:fldLock="1"/>
            </w:r>
            <w:r w:rsidR="00EA4B53">
              <w:rPr>
                <w:sz w:val="20"/>
                <w:szCs w:val="20"/>
              </w:rPr>
              <w:instrText>ADDIN CSL_CITATION {"citationItems":[{"id":"ITEM-1","itemData":{"ISSN":"0951-4848","abstract":"The NHS has experienced a significant amount of organisational change and restructuring, which has included numerous mergers and de-mergers, since the Labour party came to power in the UK in 1997. However, to date there has been little in the way of evaluation of such changes, particularly the impact of organisational restructuring on the staff involved. This paper examines the human aspect of a merger, and subsequent de-merger, within a primary care trust (PCT) in the north of England, using a focus group methodology. The findings demonstrate that leadership and management styles have a significant impact on staff experiencing such changes. In addition, the psychological contract can be damaged due to the impact of several factors, inducing exit or intention to leave. Employees experienced a constant cycle of change with little time for stabilisation or adjustment, leading to negativity and lowered motivation at times. 49 refs. [Abstract]","author":[{"dropping-particle":"","family":"Cortvriend","given":"Penny","non-dropping-particle":"","parse-names":false,"suffix":""}],"container-title":"Health Services Management Research","id":"ITEM-1","issue":"3","issued":{"date-parts":[["2004"]]},"note":"Gives info about mental impact of mergers","page":"177-187","publisher":"2004","title":"Change management of mergers : the impact on NHS staff and their psychological contracts.","type":"article-journal","volume":"17"},"uris":["http://www.mendeley.com/documents/?uuid=f135ffd6-e2b6-496a-8541-39eb63670b4e"]}],"mendeley":{"formattedCitation":"&lt;sup&gt;155&lt;/sup&gt;","manualFormatting":"Cortvriend (2004)","plainTextFormattedCitation":"155","previouslyFormattedCitation":"&lt;sup&gt;155&lt;/sup&gt;"},"properties":{"noteIndex":0},"schema":"https://github.com/citation-style-language/schema/raw/master/csl-citation.json"}</w:instrText>
            </w:r>
            <w:r>
              <w:rPr>
                <w:sz w:val="20"/>
                <w:szCs w:val="20"/>
              </w:rPr>
              <w:fldChar w:fldCharType="separate"/>
            </w:r>
            <w:r w:rsidRPr="00E4022F">
              <w:rPr>
                <w:noProof/>
                <w:sz w:val="20"/>
                <w:szCs w:val="20"/>
              </w:rPr>
              <w:t>Cortvriend</w:t>
            </w:r>
            <w:r>
              <w:rPr>
                <w:noProof/>
                <w:sz w:val="20"/>
                <w:szCs w:val="20"/>
              </w:rPr>
              <w:t xml:space="preserve"> (</w:t>
            </w:r>
            <w:r w:rsidRPr="00E4022F">
              <w:rPr>
                <w:noProof/>
                <w:sz w:val="20"/>
                <w:szCs w:val="20"/>
              </w:rPr>
              <w:t>2004)</w:t>
            </w:r>
            <w:r>
              <w:rPr>
                <w:sz w:val="20"/>
                <w:szCs w:val="20"/>
              </w:rPr>
              <w:fldChar w:fldCharType="end"/>
            </w:r>
          </w:p>
        </w:tc>
        <w:tc>
          <w:tcPr>
            <w:tcW w:w="336" w:type="pct"/>
          </w:tcPr>
          <w:p w14:paraId="208E1A6F"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0698E2EE" w14:textId="77777777" w:rsidR="00EE501D" w:rsidRPr="00C6520A" w:rsidRDefault="00EE501D" w:rsidP="00525BE0">
            <w:pPr>
              <w:spacing w:line="360" w:lineRule="auto"/>
              <w:jc w:val="both"/>
              <w:rPr>
                <w:sz w:val="20"/>
                <w:szCs w:val="20"/>
              </w:rPr>
            </w:pPr>
            <w:r>
              <w:rPr>
                <w:sz w:val="20"/>
                <w:szCs w:val="20"/>
              </w:rPr>
              <w:t>Primary care trust</w:t>
            </w:r>
          </w:p>
        </w:tc>
        <w:tc>
          <w:tcPr>
            <w:tcW w:w="639" w:type="pct"/>
          </w:tcPr>
          <w:p w14:paraId="32466654" w14:textId="77777777" w:rsidR="00EE501D" w:rsidRPr="00C6520A" w:rsidRDefault="00EE501D" w:rsidP="00525BE0">
            <w:pPr>
              <w:spacing w:line="360" w:lineRule="auto"/>
              <w:jc w:val="both"/>
              <w:rPr>
                <w:sz w:val="20"/>
                <w:szCs w:val="20"/>
              </w:rPr>
            </w:pPr>
            <w:r>
              <w:rPr>
                <w:sz w:val="20"/>
                <w:szCs w:val="20"/>
              </w:rPr>
              <w:t>Acute care, primary care</w:t>
            </w:r>
          </w:p>
        </w:tc>
        <w:tc>
          <w:tcPr>
            <w:tcW w:w="1919" w:type="pct"/>
          </w:tcPr>
          <w:p w14:paraId="51D08240" w14:textId="77777777" w:rsidR="00EE501D" w:rsidRPr="00C6520A" w:rsidRDefault="00EE501D" w:rsidP="00525BE0">
            <w:pPr>
              <w:spacing w:line="360" w:lineRule="auto"/>
              <w:jc w:val="both"/>
              <w:rPr>
                <w:sz w:val="20"/>
                <w:szCs w:val="20"/>
              </w:rPr>
            </w:pPr>
            <w:r>
              <w:rPr>
                <w:sz w:val="20"/>
                <w:szCs w:val="20"/>
              </w:rPr>
              <w:t>Focus groups, with 31 participants taking part across five such groups, each containing 4-8 participants</w:t>
            </w:r>
          </w:p>
        </w:tc>
        <w:tc>
          <w:tcPr>
            <w:tcW w:w="530" w:type="pct"/>
          </w:tcPr>
          <w:p w14:paraId="4721B401" w14:textId="77777777" w:rsidR="00EE501D" w:rsidRDefault="00EE501D" w:rsidP="00525BE0">
            <w:pPr>
              <w:spacing w:line="360" w:lineRule="auto"/>
              <w:jc w:val="both"/>
              <w:rPr>
                <w:sz w:val="20"/>
                <w:szCs w:val="20"/>
              </w:rPr>
            </w:pPr>
            <w:r>
              <w:rPr>
                <w:sz w:val="20"/>
                <w:szCs w:val="20"/>
              </w:rPr>
              <w:t>Refinement</w:t>
            </w:r>
          </w:p>
        </w:tc>
      </w:tr>
      <w:tr w:rsidR="00EE501D" w:rsidRPr="00C6520A" w14:paraId="29C097D5" w14:textId="77777777" w:rsidTr="00A77C56">
        <w:trPr>
          <w:trHeight w:val="236"/>
        </w:trPr>
        <w:tc>
          <w:tcPr>
            <w:tcW w:w="768" w:type="pct"/>
          </w:tcPr>
          <w:p w14:paraId="667815EB" w14:textId="2D6322CB"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Crump","given":"Helen","non-dropping-particle":"","parse-names":false,"suffix":""},{"dropping-particle":"","family":"Edwards","given":"Nigel","non-dropping-particle":"","parse-names":false,"suffix":""}],"id":"ITEM-1","issued":{"date-parts":[["2014"]]},"title":"Provider Chains: Lessons from other sectors","type":"article"},"uris":["http://www.mendeley.com/documents/?uuid=dde75056-46db-4615-8b68-ca64e6207d4e"]}],"mendeley":{"formattedCitation":"&lt;sup&gt;156&lt;/sup&gt;","manualFormatting":"Crump and Edwards (2014)","plainTextFormattedCitation":"156","previouslyFormattedCitation":"&lt;sup&gt;156&lt;/sup&gt;"},"properties":{"noteIndex":0},"schema":"https://github.com/citation-style-language/schema/raw/master/csl-citation.json"}</w:instrText>
            </w:r>
            <w:r w:rsidRPr="00C6520A">
              <w:rPr>
                <w:sz w:val="20"/>
                <w:szCs w:val="20"/>
              </w:rPr>
              <w:fldChar w:fldCharType="separate"/>
            </w:r>
            <w:r w:rsidRPr="00E4022F">
              <w:rPr>
                <w:noProof/>
                <w:sz w:val="20"/>
                <w:szCs w:val="20"/>
              </w:rPr>
              <w:t>Crump and Edwards</w:t>
            </w:r>
            <w:r>
              <w:rPr>
                <w:noProof/>
                <w:sz w:val="20"/>
                <w:szCs w:val="20"/>
              </w:rPr>
              <w:t xml:space="preserve"> (</w:t>
            </w:r>
            <w:r w:rsidRPr="00E4022F">
              <w:rPr>
                <w:noProof/>
                <w:sz w:val="20"/>
                <w:szCs w:val="20"/>
              </w:rPr>
              <w:t>2014)</w:t>
            </w:r>
            <w:r w:rsidRPr="00C6520A">
              <w:rPr>
                <w:sz w:val="20"/>
                <w:szCs w:val="20"/>
              </w:rPr>
              <w:fldChar w:fldCharType="end"/>
            </w:r>
          </w:p>
        </w:tc>
        <w:tc>
          <w:tcPr>
            <w:tcW w:w="336" w:type="pct"/>
          </w:tcPr>
          <w:p w14:paraId="27EDD32E"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69CB5A62" w14:textId="77777777" w:rsidR="00EE501D" w:rsidRPr="00C6520A" w:rsidRDefault="00EE501D" w:rsidP="00525BE0">
            <w:pPr>
              <w:spacing w:line="360" w:lineRule="auto"/>
              <w:jc w:val="both"/>
              <w:rPr>
                <w:sz w:val="20"/>
                <w:szCs w:val="20"/>
              </w:rPr>
            </w:pPr>
            <w:r w:rsidRPr="00C6520A">
              <w:rPr>
                <w:sz w:val="20"/>
                <w:szCs w:val="20"/>
              </w:rPr>
              <w:t>Provider chains</w:t>
            </w:r>
          </w:p>
        </w:tc>
        <w:tc>
          <w:tcPr>
            <w:tcW w:w="639" w:type="pct"/>
          </w:tcPr>
          <w:p w14:paraId="3957572A" w14:textId="77777777" w:rsidR="00EE501D" w:rsidRPr="00C6520A" w:rsidRDefault="00EE501D" w:rsidP="00525BE0">
            <w:pPr>
              <w:spacing w:line="360" w:lineRule="auto"/>
              <w:jc w:val="both"/>
              <w:rPr>
                <w:sz w:val="20"/>
                <w:szCs w:val="20"/>
              </w:rPr>
            </w:pPr>
            <w:r>
              <w:rPr>
                <w:sz w:val="20"/>
                <w:szCs w:val="20"/>
              </w:rPr>
              <w:t>Acute care</w:t>
            </w:r>
          </w:p>
        </w:tc>
        <w:tc>
          <w:tcPr>
            <w:tcW w:w="1919" w:type="pct"/>
          </w:tcPr>
          <w:p w14:paraId="66B7BFDF" w14:textId="77777777" w:rsidR="00EE501D" w:rsidRPr="00C6520A" w:rsidRDefault="00EE501D" w:rsidP="00525BE0">
            <w:pPr>
              <w:spacing w:line="360" w:lineRule="auto"/>
              <w:jc w:val="both"/>
              <w:rPr>
                <w:sz w:val="20"/>
                <w:szCs w:val="20"/>
              </w:rPr>
            </w:pPr>
            <w:r>
              <w:rPr>
                <w:sz w:val="20"/>
                <w:szCs w:val="20"/>
              </w:rPr>
              <w:t>Interviews (non-NHS, n=11; and NHS, n=5)</w:t>
            </w:r>
          </w:p>
        </w:tc>
        <w:tc>
          <w:tcPr>
            <w:tcW w:w="530" w:type="pct"/>
          </w:tcPr>
          <w:p w14:paraId="3248B125" w14:textId="77777777" w:rsidR="00EE501D" w:rsidRDefault="00EE501D" w:rsidP="00525BE0">
            <w:pPr>
              <w:spacing w:line="360" w:lineRule="auto"/>
              <w:jc w:val="both"/>
              <w:rPr>
                <w:sz w:val="20"/>
                <w:szCs w:val="20"/>
              </w:rPr>
            </w:pPr>
            <w:r>
              <w:rPr>
                <w:sz w:val="20"/>
                <w:szCs w:val="20"/>
              </w:rPr>
              <w:t>Refinement</w:t>
            </w:r>
          </w:p>
        </w:tc>
      </w:tr>
      <w:tr w:rsidR="00EE501D" w:rsidRPr="00C6520A" w14:paraId="45B2673D" w14:textId="77777777" w:rsidTr="00A77C56">
        <w:trPr>
          <w:trHeight w:val="236"/>
        </w:trPr>
        <w:tc>
          <w:tcPr>
            <w:tcW w:w="768" w:type="pct"/>
          </w:tcPr>
          <w:p w14:paraId="5C8D937B" w14:textId="77777777" w:rsidR="00EE501D" w:rsidRPr="00C6520A" w:rsidRDefault="00EE501D" w:rsidP="00525BE0">
            <w:pPr>
              <w:spacing w:line="360" w:lineRule="auto"/>
              <w:jc w:val="both"/>
              <w:rPr>
                <w:sz w:val="20"/>
                <w:szCs w:val="20"/>
              </w:rPr>
            </w:pPr>
            <w:r>
              <w:rPr>
                <w:sz w:val="20"/>
                <w:szCs w:val="20"/>
              </w:rPr>
              <w:t>Das-Thompson et al. (2020)</w:t>
            </w:r>
          </w:p>
        </w:tc>
        <w:tc>
          <w:tcPr>
            <w:tcW w:w="336" w:type="pct"/>
          </w:tcPr>
          <w:p w14:paraId="3E5FAC00" w14:textId="77777777" w:rsidR="00EE501D" w:rsidRDefault="00EE501D" w:rsidP="00525BE0">
            <w:pPr>
              <w:spacing w:line="360" w:lineRule="auto"/>
              <w:jc w:val="both"/>
              <w:rPr>
                <w:sz w:val="20"/>
                <w:szCs w:val="20"/>
              </w:rPr>
            </w:pPr>
            <w:r>
              <w:rPr>
                <w:sz w:val="20"/>
                <w:szCs w:val="20"/>
              </w:rPr>
              <w:t>England</w:t>
            </w:r>
          </w:p>
        </w:tc>
        <w:tc>
          <w:tcPr>
            <w:tcW w:w="807" w:type="pct"/>
          </w:tcPr>
          <w:p w14:paraId="77565F6D" w14:textId="77777777" w:rsidR="00EE501D" w:rsidRPr="00C6520A" w:rsidRDefault="00EE501D" w:rsidP="00525BE0">
            <w:pPr>
              <w:spacing w:line="360" w:lineRule="auto"/>
              <w:jc w:val="both"/>
              <w:rPr>
                <w:sz w:val="20"/>
                <w:szCs w:val="20"/>
              </w:rPr>
            </w:pPr>
            <w:r>
              <w:rPr>
                <w:sz w:val="20"/>
                <w:szCs w:val="20"/>
              </w:rPr>
              <w:t>Integrated care</w:t>
            </w:r>
          </w:p>
        </w:tc>
        <w:tc>
          <w:tcPr>
            <w:tcW w:w="639" w:type="pct"/>
          </w:tcPr>
          <w:p w14:paraId="4797DA39"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279B9FD7" w14:textId="77777777" w:rsidR="00EE501D" w:rsidRDefault="00EE501D" w:rsidP="00525BE0">
            <w:pPr>
              <w:spacing w:line="360" w:lineRule="auto"/>
              <w:jc w:val="both"/>
              <w:rPr>
                <w:sz w:val="20"/>
                <w:szCs w:val="20"/>
              </w:rPr>
            </w:pPr>
            <w:r>
              <w:rPr>
                <w:sz w:val="20"/>
                <w:szCs w:val="20"/>
              </w:rPr>
              <w:t>Briefing</w:t>
            </w:r>
          </w:p>
        </w:tc>
        <w:tc>
          <w:tcPr>
            <w:tcW w:w="530" w:type="pct"/>
          </w:tcPr>
          <w:p w14:paraId="184FBA7F" w14:textId="77777777" w:rsidR="00EE501D" w:rsidRDefault="00EE501D" w:rsidP="00525BE0">
            <w:pPr>
              <w:spacing w:line="360" w:lineRule="auto"/>
              <w:jc w:val="both"/>
              <w:rPr>
                <w:sz w:val="20"/>
                <w:szCs w:val="20"/>
              </w:rPr>
            </w:pPr>
            <w:r>
              <w:rPr>
                <w:sz w:val="20"/>
                <w:szCs w:val="20"/>
              </w:rPr>
              <w:t>Gleaning</w:t>
            </w:r>
          </w:p>
        </w:tc>
      </w:tr>
      <w:tr w:rsidR="00EE501D" w:rsidRPr="00C6520A" w14:paraId="588DA264" w14:textId="77777777" w:rsidTr="00A77C56">
        <w:trPr>
          <w:trHeight w:val="236"/>
        </w:trPr>
        <w:tc>
          <w:tcPr>
            <w:tcW w:w="768" w:type="pct"/>
          </w:tcPr>
          <w:p w14:paraId="682F657A" w14:textId="77777777" w:rsidR="00EE501D" w:rsidRPr="00C6520A" w:rsidRDefault="00EE501D" w:rsidP="00525BE0">
            <w:pPr>
              <w:spacing w:line="360" w:lineRule="auto"/>
              <w:jc w:val="both"/>
              <w:rPr>
                <w:sz w:val="20"/>
                <w:szCs w:val="20"/>
              </w:rPr>
            </w:pPr>
            <w:r>
              <w:rPr>
                <w:sz w:val="20"/>
                <w:szCs w:val="20"/>
              </w:rPr>
              <w:t>Dickinson and Glasby (2010)</w:t>
            </w:r>
          </w:p>
        </w:tc>
        <w:tc>
          <w:tcPr>
            <w:tcW w:w="336" w:type="pct"/>
          </w:tcPr>
          <w:p w14:paraId="7D54DCBF" w14:textId="77777777" w:rsidR="00EE501D" w:rsidRDefault="00EE501D" w:rsidP="00525BE0">
            <w:pPr>
              <w:spacing w:line="360" w:lineRule="auto"/>
              <w:jc w:val="both"/>
              <w:rPr>
                <w:sz w:val="20"/>
                <w:szCs w:val="20"/>
              </w:rPr>
            </w:pPr>
            <w:r>
              <w:rPr>
                <w:sz w:val="20"/>
                <w:szCs w:val="20"/>
              </w:rPr>
              <w:t>England</w:t>
            </w:r>
          </w:p>
        </w:tc>
        <w:tc>
          <w:tcPr>
            <w:tcW w:w="807" w:type="pct"/>
          </w:tcPr>
          <w:p w14:paraId="3BA58D03" w14:textId="77777777" w:rsidR="00EE501D" w:rsidRPr="00C6520A" w:rsidRDefault="00EE501D" w:rsidP="00525BE0">
            <w:pPr>
              <w:spacing w:line="360" w:lineRule="auto"/>
              <w:jc w:val="both"/>
              <w:rPr>
                <w:sz w:val="20"/>
                <w:szCs w:val="20"/>
              </w:rPr>
            </w:pPr>
            <w:r>
              <w:rPr>
                <w:sz w:val="20"/>
                <w:szCs w:val="20"/>
              </w:rPr>
              <w:t>Partnerships (mixed)</w:t>
            </w:r>
          </w:p>
        </w:tc>
        <w:tc>
          <w:tcPr>
            <w:tcW w:w="639" w:type="pct"/>
          </w:tcPr>
          <w:p w14:paraId="591F8F38"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2AC63D19" w14:textId="77777777" w:rsidR="00EE501D" w:rsidRDefault="00EE501D" w:rsidP="00525BE0">
            <w:pPr>
              <w:spacing w:line="360" w:lineRule="auto"/>
              <w:jc w:val="both"/>
              <w:rPr>
                <w:sz w:val="20"/>
                <w:szCs w:val="20"/>
              </w:rPr>
            </w:pPr>
            <w:r>
              <w:rPr>
                <w:sz w:val="20"/>
                <w:szCs w:val="20"/>
              </w:rPr>
              <w:t>Review</w:t>
            </w:r>
          </w:p>
        </w:tc>
        <w:tc>
          <w:tcPr>
            <w:tcW w:w="530" w:type="pct"/>
          </w:tcPr>
          <w:p w14:paraId="1222B530" w14:textId="77777777" w:rsidR="00EE501D" w:rsidRDefault="00EE501D" w:rsidP="00525BE0">
            <w:pPr>
              <w:spacing w:line="360" w:lineRule="auto"/>
              <w:jc w:val="both"/>
              <w:rPr>
                <w:sz w:val="20"/>
                <w:szCs w:val="20"/>
              </w:rPr>
            </w:pPr>
            <w:r>
              <w:rPr>
                <w:sz w:val="20"/>
                <w:szCs w:val="20"/>
              </w:rPr>
              <w:t>Gleaning</w:t>
            </w:r>
          </w:p>
        </w:tc>
      </w:tr>
      <w:tr w:rsidR="00EE501D" w:rsidRPr="00C6520A" w14:paraId="7AE14036" w14:textId="77777777" w:rsidTr="00A77C56">
        <w:trPr>
          <w:trHeight w:val="236"/>
        </w:trPr>
        <w:tc>
          <w:tcPr>
            <w:tcW w:w="768" w:type="pct"/>
          </w:tcPr>
          <w:p w14:paraId="4C9BB9C2" w14:textId="76E08AA3"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{"citationItems":[{"id":"ITEM-1","itemData":{"ISSN":"1476-9018","abstract":"PURPOSE: This paper reports research undertaken into the practices, processes and outcomes of joint commissioning at five English localities. This paper reflects on the implications of this study for the practice of joint commissioning. DESIGN/METHODOLOGY/APPROACH: A case study approach to the research was adopted where the assumptions about what joint commissioning should deliver in five \"best practice\" sites. These hypothesised relationships about organisational processes, services and outcomes were then tested through the collection of primary and secondary data. Methods of data collection included an online tool based on Q methodology, documentary analysis, interviews and focus groups. FINDINGS: Very little of what we found seemed to relate directly to issues of joint commissioning. Respondents often spoke of joint commissioning conflating it with issues of commissioning or joint working more generally. We found a variety of different definitions and meanings of joint commissioning in practice suggesting that this is not a coherent model but varies across localities. Little evidence of improved outcomes was found, due to practical and technical difficulties. RESEARCH LIMITATIONS/IMPLICATIONS: Joint commissioning is not a coherent model and is applied in different ways across different contexts. As such we may need to ask very different questions of joint commissioning to those typically asked. PRACTICAL IMPLICATIONS: It is important that local sites are clear about what they are trying to deliver through joint commissioning or else risk that it becomes an end in itself. Some of the current reforms taking place in health and social care risk pulling apart existing relationships that have taken significant time and resource to develop. ORIGINALITY/VALUE: This is one of the first large-scale studies of joint commissioning conducted in England. [Abstract]","author":[{"dropping-particle":"","family":"Dickinson","given":"Helen","non-dropping-particle":"","parse-names":false,"suffix":""},{"dropping-particle":"","family":"Glasby","given":"Jon","non-dropping-particle":"","parse-names":false,"suffix":""}],"container-title":"Journal of Integrated Care","id":"ITEM-1","issue":"4","issued":{"date-parts":[["2013"]]},"page":"221-232","publisher":"2013","title":"How effective is joint commissioning? A study of five English localities.","type":"article-journal","volume":"21"},"uris":["http://www.mendeley.com/documents/?uuid=6ec42eb0-70b6-40da-a4f5-9e7639723a05"]}],"mendeley":{"formattedCitation":"&lt;sup&gt;22&lt;/sup&gt;","manualFormatting":"Dickinson and Glasby (2013)","plainTextFormattedCitation":"22","previouslyFormattedCitation":"&lt;sup&gt;22&lt;/sup&gt;"},"properties":{"noteIndex":0},"schema":"https://github.com/citation-style-language/schema/raw/master/csl-citation.json"}</w:instrText>
            </w:r>
            <w:r w:rsidRPr="00C6520A">
              <w:rPr>
                <w:sz w:val="20"/>
                <w:szCs w:val="20"/>
              </w:rPr>
              <w:fldChar w:fldCharType="separate"/>
            </w:r>
            <w:r w:rsidRPr="00E4022F">
              <w:rPr>
                <w:noProof/>
                <w:sz w:val="20"/>
                <w:szCs w:val="20"/>
              </w:rPr>
              <w:t>Dickinson and Glasby</w:t>
            </w:r>
            <w:r>
              <w:rPr>
                <w:noProof/>
                <w:sz w:val="20"/>
                <w:szCs w:val="20"/>
              </w:rPr>
              <w:t xml:space="preserve"> (</w:t>
            </w:r>
            <w:r w:rsidRPr="00E4022F">
              <w:rPr>
                <w:noProof/>
                <w:sz w:val="20"/>
                <w:szCs w:val="20"/>
              </w:rPr>
              <w:t>2013)</w:t>
            </w:r>
            <w:r w:rsidRPr="00C6520A">
              <w:rPr>
                <w:sz w:val="20"/>
                <w:szCs w:val="20"/>
              </w:rPr>
              <w:fldChar w:fldCharType="end"/>
            </w:r>
          </w:p>
        </w:tc>
        <w:tc>
          <w:tcPr>
            <w:tcW w:w="336" w:type="pct"/>
          </w:tcPr>
          <w:p w14:paraId="0D3222BE"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576B8FA4" w14:textId="77777777" w:rsidR="00EE501D" w:rsidRPr="00C6520A" w:rsidRDefault="00EE501D" w:rsidP="00525BE0">
            <w:pPr>
              <w:spacing w:line="360" w:lineRule="auto"/>
              <w:jc w:val="both"/>
              <w:rPr>
                <w:sz w:val="20"/>
                <w:szCs w:val="20"/>
              </w:rPr>
            </w:pPr>
            <w:r w:rsidRPr="00C6520A">
              <w:rPr>
                <w:sz w:val="20"/>
                <w:szCs w:val="20"/>
              </w:rPr>
              <w:t>Integrated care</w:t>
            </w:r>
          </w:p>
        </w:tc>
        <w:tc>
          <w:tcPr>
            <w:tcW w:w="639" w:type="pct"/>
          </w:tcPr>
          <w:p w14:paraId="54725E65"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429C1E09" w14:textId="77777777" w:rsidR="00EE501D" w:rsidRPr="00C6520A" w:rsidRDefault="00EE501D" w:rsidP="00525BE0">
            <w:pPr>
              <w:spacing w:line="360" w:lineRule="auto"/>
              <w:jc w:val="both"/>
              <w:rPr>
                <w:sz w:val="20"/>
                <w:szCs w:val="20"/>
              </w:rPr>
            </w:pPr>
            <w:r>
              <w:rPr>
                <w:sz w:val="20"/>
                <w:szCs w:val="20"/>
              </w:rPr>
              <w:t>Five case study sites, using documentary analysis, interviews, and focus groups.</w:t>
            </w:r>
          </w:p>
        </w:tc>
        <w:tc>
          <w:tcPr>
            <w:tcW w:w="530" w:type="pct"/>
          </w:tcPr>
          <w:p w14:paraId="7A3914D6" w14:textId="77777777" w:rsidR="00EE501D" w:rsidRDefault="00EE501D" w:rsidP="00525BE0">
            <w:pPr>
              <w:spacing w:line="360" w:lineRule="auto"/>
              <w:jc w:val="both"/>
              <w:rPr>
                <w:sz w:val="20"/>
                <w:szCs w:val="20"/>
              </w:rPr>
            </w:pPr>
            <w:r>
              <w:rPr>
                <w:sz w:val="20"/>
                <w:szCs w:val="20"/>
              </w:rPr>
              <w:t>Refinement</w:t>
            </w:r>
          </w:p>
        </w:tc>
      </w:tr>
      <w:tr w:rsidR="00EE501D" w:rsidRPr="00C6520A" w14:paraId="6EB0C76F" w14:textId="77777777" w:rsidTr="00A77C56">
        <w:trPr>
          <w:trHeight w:val="221"/>
        </w:trPr>
        <w:tc>
          <w:tcPr>
            <w:tcW w:w="768" w:type="pct"/>
          </w:tcPr>
          <w:p w14:paraId="2E695C2B" w14:textId="5E111CBF"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{"citationItems":[{"id":"ITEM-1","itemData":{"DOI":"10.1080/13561820701585353","ISBN":"1356182070","ISSN":"13561820","abstract":"This paper describes an action research study which focused on an exploration of the aspirations for and initial achievements of Stratham Mental Health NHS and Social Care Trust. Local leaders perceived that Stratham had a good history of health and social care partnership working and as such, adopted an integrationist view of culture to help shape the context of the new structural form. In doing so, consistency remained a key message to staff throughout this organizational transition and the change did not appear to cause the distraction to core business which the literature suggests it would do so. However, this continuity may have come at a cost, at least initially. In the process of formalizing the previous partnership into a Care Trust, Stratham may not have produced all the beneficial effects of synergy which are usually (albeit eventually) associated with mergers in the private sector. Certainly, local actors could see opportunities that had been missed. By focusing on the structural manifestation of the relationship, the opportunities to broaden informal horizontal linkages may have been underexploited. The study of Stratham serves to confirm that the integrationist conception of culture is limited and that the differentiation of professional groupings and the ambiguity of individual experience will always make contested the meanings that are attributed to organizational change.","author":[{"dropping-particle":"","family":"Dickinson","given":"Helen","non-dropping-particle":"","parse-names":false,"suffix":""},{"dropping-particle":"","family":"Peck","given":"Edward","non-dropping-particle":"","parse-names":false,"suffix":""},{"dropping-particle":"","family":"Davidson","given":"Deborah","non-dropping-particle":"","parse-names":false,"suffix":""}],"container-title":"Journal of Interprofessional Care","id":"ITEM-1","issue":"5","issued":{"date-parts":[["2007"]]},"page":"503-513","title":"Opportunity seized or missed? A case study of leadership and organizational change in the creation of a Care Trust","type":"article-journal","volume":"21"},"uris":["http://www.mendeley.com/documents/?uuid=78fd82fa-19cd-45ef-aa87-73c82532c532"]}],"mendeley":{"formattedCitation":"&lt;sup&gt;158&lt;/sup&gt;","manualFormatting":"Dickinson, Peck and Davidson (2007)","plainTextFormattedCitation":"158","previouslyFormattedCitation":"&lt;sup&gt;158&lt;/sup&gt;"},"properties":{"noteIndex":0},"schema":"https://github.com/citation-style-language/schema/raw/master/csl-citation.json"}</w:instrText>
            </w:r>
            <w:r w:rsidRPr="00C6520A">
              <w:rPr>
                <w:sz w:val="20"/>
                <w:szCs w:val="20"/>
              </w:rPr>
              <w:fldChar w:fldCharType="separate"/>
            </w:r>
            <w:r w:rsidRPr="00E4022F">
              <w:rPr>
                <w:noProof/>
                <w:sz w:val="20"/>
                <w:szCs w:val="20"/>
              </w:rPr>
              <w:t>Dickinson, Peck and Davidson</w:t>
            </w:r>
            <w:r>
              <w:rPr>
                <w:noProof/>
                <w:sz w:val="20"/>
                <w:szCs w:val="20"/>
              </w:rPr>
              <w:t xml:space="preserve"> (</w:t>
            </w:r>
            <w:r w:rsidRPr="00E4022F">
              <w:rPr>
                <w:noProof/>
                <w:sz w:val="20"/>
                <w:szCs w:val="20"/>
              </w:rPr>
              <w:t>2007)</w:t>
            </w:r>
            <w:r w:rsidRPr="00C6520A">
              <w:rPr>
                <w:sz w:val="20"/>
                <w:szCs w:val="20"/>
              </w:rPr>
              <w:fldChar w:fldCharType="end"/>
            </w:r>
          </w:p>
        </w:tc>
        <w:tc>
          <w:tcPr>
            <w:tcW w:w="336" w:type="pct"/>
          </w:tcPr>
          <w:p w14:paraId="1B019D8A"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2805684A" w14:textId="77777777" w:rsidR="00EE501D" w:rsidRPr="00C6520A" w:rsidRDefault="00EE501D" w:rsidP="00525BE0">
            <w:pPr>
              <w:spacing w:line="360" w:lineRule="auto"/>
              <w:jc w:val="both"/>
              <w:rPr>
                <w:sz w:val="20"/>
                <w:szCs w:val="20"/>
              </w:rPr>
            </w:pPr>
            <w:r w:rsidRPr="00C6520A">
              <w:rPr>
                <w:sz w:val="20"/>
                <w:szCs w:val="20"/>
              </w:rPr>
              <w:t>Merger</w:t>
            </w:r>
          </w:p>
        </w:tc>
        <w:tc>
          <w:tcPr>
            <w:tcW w:w="639" w:type="pct"/>
          </w:tcPr>
          <w:p w14:paraId="727E985A"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7DA79ABF" w14:textId="77777777" w:rsidR="00EE501D" w:rsidRPr="00C6520A" w:rsidRDefault="00EE501D" w:rsidP="00525BE0">
            <w:pPr>
              <w:spacing w:line="360" w:lineRule="auto"/>
              <w:jc w:val="both"/>
              <w:rPr>
                <w:sz w:val="20"/>
                <w:szCs w:val="20"/>
              </w:rPr>
            </w:pPr>
            <w:r>
              <w:rPr>
                <w:sz w:val="20"/>
                <w:szCs w:val="20"/>
              </w:rPr>
              <w:t>Case study, 23 semi-structured interviews with range of people, from service users to CEOs</w:t>
            </w:r>
          </w:p>
        </w:tc>
        <w:tc>
          <w:tcPr>
            <w:tcW w:w="530" w:type="pct"/>
          </w:tcPr>
          <w:p w14:paraId="21E87A83"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6EBC7564" w14:textId="77777777" w:rsidTr="00A77C56">
        <w:trPr>
          <w:trHeight w:val="221"/>
        </w:trPr>
        <w:tc>
          <w:tcPr>
            <w:tcW w:w="768" w:type="pct"/>
          </w:tcPr>
          <w:p w14:paraId="0EDFD0FB" w14:textId="77777777" w:rsidR="00EE501D" w:rsidRPr="00C6520A" w:rsidRDefault="00EE501D" w:rsidP="00525BE0">
            <w:pPr>
              <w:spacing w:line="360" w:lineRule="auto"/>
              <w:jc w:val="both"/>
              <w:rPr>
                <w:sz w:val="20"/>
                <w:szCs w:val="20"/>
              </w:rPr>
            </w:pPr>
            <w:r>
              <w:rPr>
                <w:sz w:val="20"/>
                <w:szCs w:val="20"/>
              </w:rPr>
              <w:t>Douglas (1998)</w:t>
            </w:r>
          </w:p>
        </w:tc>
        <w:tc>
          <w:tcPr>
            <w:tcW w:w="336" w:type="pct"/>
          </w:tcPr>
          <w:p w14:paraId="3B60F723" w14:textId="77777777" w:rsidR="00EE501D" w:rsidRDefault="00EE501D" w:rsidP="00525BE0">
            <w:pPr>
              <w:spacing w:line="360" w:lineRule="auto"/>
              <w:jc w:val="both"/>
              <w:rPr>
                <w:sz w:val="20"/>
                <w:szCs w:val="20"/>
              </w:rPr>
            </w:pPr>
            <w:r>
              <w:rPr>
                <w:sz w:val="20"/>
                <w:szCs w:val="20"/>
              </w:rPr>
              <w:t>England</w:t>
            </w:r>
          </w:p>
        </w:tc>
        <w:tc>
          <w:tcPr>
            <w:tcW w:w="807" w:type="pct"/>
          </w:tcPr>
          <w:p w14:paraId="11F5DE46" w14:textId="77777777" w:rsidR="00EE501D" w:rsidRPr="00C6520A" w:rsidRDefault="00EE501D" w:rsidP="00525BE0">
            <w:pPr>
              <w:spacing w:line="360" w:lineRule="auto"/>
              <w:jc w:val="both"/>
              <w:rPr>
                <w:sz w:val="20"/>
                <w:szCs w:val="20"/>
              </w:rPr>
            </w:pPr>
            <w:r>
              <w:rPr>
                <w:sz w:val="20"/>
                <w:szCs w:val="20"/>
              </w:rPr>
              <w:t>Alliances</w:t>
            </w:r>
          </w:p>
        </w:tc>
        <w:tc>
          <w:tcPr>
            <w:tcW w:w="639" w:type="pct"/>
          </w:tcPr>
          <w:p w14:paraId="205CCDC4"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234EA3BC" w14:textId="77777777" w:rsidR="00EE501D" w:rsidRDefault="00EE501D" w:rsidP="00525BE0">
            <w:pPr>
              <w:spacing w:line="360" w:lineRule="auto"/>
              <w:jc w:val="both"/>
              <w:rPr>
                <w:sz w:val="20"/>
                <w:szCs w:val="20"/>
              </w:rPr>
            </w:pPr>
            <w:r>
              <w:rPr>
                <w:sz w:val="20"/>
                <w:szCs w:val="20"/>
              </w:rPr>
              <w:t>Review</w:t>
            </w:r>
          </w:p>
        </w:tc>
        <w:tc>
          <w:tcPr>
            <w:tcW w:w="530" w:type="pct"/>
          </w:tcPr>
          <w:p w14:paraId="1AEC1A5F" w14:textId="77777777" w:rsidR="00EE501D" w:rsidRDefault="00EE501D" w:rsidP="00525BE0">
            <w:pPr>
              <w:spacing w:line="360" w:lineRule="auto"/>
              <w:jc w:val="both"/>
              <w:rPr>
                <w:sz w:val="20"/>
                <w:szCs w:val="20"/>
              </w:rPr>
            </w:pPr>
            <w:r>
              <w:rPr>
                <w:sz w:val="20"/>
                <w:szCs w:val="20"/>
              </w:rPr>
              <w:t>Gleaning</w:t>
            </w:r>
          </w:p>
        </w:tc>
      </w:tr>
      <w:tr w:rsidR="00EE501D" w:rsidRPr="00C6520A" w14:paraId="4E693FE4" w14:textId="77777777" w:rsidTr="00A77C56">
        <w:trPr>
          <w:trHeight w:val="221"/>
        </w:trPr>
        <w:tc>
          <w:tcPr>
            <w:tcW w:w="768" w:type="pct"/>
          </w:tcPr>
          <w:p w14:paraId="4EF07716" w14:textId="77777777" w:rsidR="00EE501D" w:rsidRDefault="00EE501D" w:rsidP="00525BE0">
            <w:pPr>
              <w:spacing w:line="360" w:lineRule="auto"/>
              <w:jc w:val="both"/>
              <w:rPr>
                <w:sz w:val="20"/>
                <w:szCs w:val="20"/>
              </w:rPr>
            </w:pPr>
            <w:r>
              <w:rPr>
                <w:sz w:val="20"/>
                <w:szCs w:val="20"/>
              </w:rPr>
              <w:t>Dowling et al. (2004)</w:t>
            </w:r>
          </w:p>
        </w:tc>
        <w:tc>
          <w:tcPr>
            <w:tcW w:w="336" w:type="pct"/>
          </w:tcPr>
          <w:p w14:paraId="7A156746" w14:textId="77777777" w:rsidR="00EE501D" w:rsidRDefault="00EE501D" w:rsidP="00525BE0">
            <w:pPr>
              <w:spacing w:line="360" w:lineRule="auto"/>
              <w:jc w:val="both"/>
              <w:rPr>
                <w:sz w:val="20"/>
                <w:szCs w:val="20"/>
              </w:rPr>
            </w:pPr>
            <w:r>
              <w:rPr>
                <w:sz w:val="20"/>
                <w:szCs w:val="20"/>
              </w:rPr>
              <w:t>England</w:t>
            </w:r>
          </w:p>
        </w:tc>
        <w:tc>
          <w:tcPr>
            <w:tcW w:w="807" w:type="pct"/>
          </w:tcPr>
          <w:p w14:paraId="2227D1EE" w14:textId="77777777" w:rsidR="00EE501D" w:rsidRDefault="00EE501D" w:rsidP="00525BE0">
            <w:pPr>
              <w:spacing w:line="360" w:lineRule="auto"/>
              <w:jc w:val="both"/>
              <w:rPr>
                <w:sz w:val="20"/>
                <w:szCs w:val="20"/>
              </w:rPr>
            </w:pPr>
            <w:r>
              <w:rPr>
                <w:sz w:val="20"/>
                <w:szCs w:val="20"/>
              </w:rPr>
              <w:t>Partnerships (mixed)</w:t>
            </w:r>
          </w:p>
        </w:tc>
        <w:tc>
          <w:tcPr>
            <w:tcW w:w="639" w:type="pct"/>
          </w:tcPr>
          <w:p w14:paraId="6CAD67B5"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53707933" w14:textId="77777777" w:rsidR="00EE501D" w:rsidRDefault="00EE501D" w:rsidP="00525BE0">
            <w:pPr>
              <w:spacing w:line="360" w:lineRule="auto"/>
              <w:jc w:val="both"/>
              <w:rPr>
                <w:sz w:val="20"/>
                <w:szCs w:val="20"/>
              </w:rPr>
            </w:pPr>
            <w:r>
              <w:rPr>
                <w:sz w:val="20"/>
                <w:szCs w:val="20"/>
              </w:rPr>
              <w:t>Review</w:t>
            </w:r>
          </w:p>
        </w:tc>
        <w:tc>
          <w:tcPr>
            <w:tcW w:w="530" w:type="pct"/>
          </w:tcPr>
          <w:p w14:paraId="1CE6697A" w14:textId="77777777" w:rsidR="00EE501D" w:rsidRDefault="00EE501D" w:rsidP="00525BE0">
            <w:pPr>
              <w:spacing w:line="360" w:lineRule="auto"/>
              <w:jc w:val="both"/>
              <w:rPr>
                <w:sz w:val="20"/>
                <w:szCs w:val="20"/>
              </w:rPr>
            </w:pPr>
            <w:r>
              <w:rPr>
                <w:sz w:val="20"/>
                <w:szCs w:val="20"/>
              </w:rPr>
              <w:t>Gleaning</w:t>
            </w:r>
          </w:p>
        </w:tc>
      </w:tr>
      <w:tr w:rsidR="00EE501D" w:rsidRPr="00C6520A" w14:paraId="56A4F902" w14:textId="77777777" w:rsidTr="00A77C56">
        <w:trPr>
          <w:trHeight w:val="236"/>
        </w:trPr>
        <w:tc>
          <w:tcPr>
            <w:tcW w:w="768" w:type="pct"/>
          </w:tcPr>
          <w:p w14:paraId="36C4EE1D" w14:textId="67D3C067"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{"citationItems":[{"id":"ITEM-1","itemData":{"DOI":"10.1108/JICA-12-2016-0047","ISSN":"14769018","abstract":"Purpose - Integrating health and social care is a priority in England, although there is little evidence that previous initiatives have reduced hospital admissions or costs. In total, 25 Integrated Care Pioneers have been established to drive change \"at scale and pace\". The early phases of the evaluation (April 2014-June 2016) aimed to identify their objectives, plans and activities, and to assess the extent to which they have overcome barriers to integration. In the longer term, the authors will assess whether integrated care leads to improved outcomes and quality of care and at what cost. The paper aims to discuss these issues. Design/methodology/approach - Mixed methods involving documentary analysis, qualitative interviews and an online key informant survey. Findings - Over time, there was a narrowing of the integration agenda in most Pioneers. The predominant approach was to establish community-based multi-disciplinary teams focussed on (older) people with multiple long-term conditions with extensive needs. Moving from design to delivery proved difficult, as many barriers are outside the control of local actors. There was limited evidence of service change. Research limitations/implications - Because the findings relate to the early stage of the 5+ years of the Pioneer programme (2014-2019), it is not yet possible to detect changes in services or in user experiences and outcomes. Practical implications - The persistence of many barriers to integration highlights the need for greater national support to remove them. Originality/value - The evaluation demonstrates that implementing integrated health and social care is not a short-term process and cannot be achieved without national support in tackling persistent barriers.","author":[{"dropping-particle":"","family":"Erens","given":"Bob","non-dropping-particle":"","parse-names":false,"suffix":""},{"dropping-particle":"","family":"Wistow","given":"Gerald","non-dropping-particle":"","parse-names":false,"suffix":""},{"dropping-particle":"","family":"Mounier-Jack","given":"Sandra","non-dropping-particle":"","parse-names":false,"suffix":""},{"dropping-particle":"","family":"Douglas","given":"Nick","non-dropping-particle":"","parse-names":false,"suffix":""},{"dropping-particle":"","family":"Manacorda","given":"Tommaso","non-dropping-particle":"","parse-names":false,"suffix":""},{"dropping-particle":"","family":"Durand","given":"Mary Alison","non-dropping-particle":"","parse-names":false,"suffix":""},{"dropping-particle":"","family":"Mays","given":"Nicholas","non-dropping-particle":"","parse-names":false,"suffix":""}],"container-title":"Journal of Integrated Care","id":"ITEM-1","issue":"3","issued":{"date-parts":[["2017"]]},"page":"137-149","publisher":"Emerald","title":"Early findings from the evaluation of the Integrated Care and Support Pioneers in England","type":"article-journal","volume":"25"},"uris":["http://www.mendeley.com/documents/?uuid=5cebea46-5b5f-4d98-9d2b-6f7899410f8e"]}],"mendeley":{"formattedCitation":"&lt;sup&gt;160&lt;/sup&gt;","manualFormatting":"Erens et al. (2017)","plainTextFormattedCitation":"160","previouslyFormattedCitation":"&lt;sup&gt;160&lt;/sup&gt;"},"properties":{"noteIndex":0},"schema":"https://github.com/citation-style-language/schema/raw/master/csl-citation.json"}</w:instrText>
            </w:r>
            <w:r w:rsidRPr="00C6520A">
              <w:rPr>
                <w:sz w:val="20"/>
                <w:szCs w:val="20"/>
              </w:rPr>
              <w:fldChar w:fldCharType="separate"/>
            </w:r>
            <w:r>
              <w:rPr>
                <w:noProof/>
                <w:sz w:val="20"/>
                <w:szCs w:val="20"/>
              </w:rPr>
              <w:t>E</w:t>
            </w:r>
            <w:r w:rsidRPr="00E4022F">
              <w:rPr>
                <w:noProof/>
                <w:sz w:val="20"/>
                <w:szCs w:val="20"/>
              </w:rPr>
              <w:t xml:space="preserve">rens </w:t>
            </w:r>
            <w:r w:rsidRPr="00E4022F">
              <w:rPr>
                <w:i/>
                <w:noProof/>
                <w:sz w:val="20"/>
                <w:szCs w:val="20"/>
              </w:rPr>
              <w:t>et al.</w:t>
            </w:r>
            <w:r>
              <w:rPr>
                <w:i/>
                <w:noProof/>
                <w:sz w:val="20"/>
                <w:szCs w:val="20"/>
              </w:rPr>
              <w:t xml:space="preserve"> (</w:t>
            </w:r>
            <w:r w:rsidRPr="00E4022F">
              <w:rPr>
                <w:noProof/>
                <w:sz w:val="20"/>
                <w:szCs w:val="20"/>
              </w:rPr>
              <w:t>2017)</w:t>
            </w:r>
            <w:r w:rsidRPr="00C6520A">
              <w:rPr>
                <w:sz w:val="20"/>
                <w:szCs w:val="20"/>
              </w:rPr>
              <w:fldChar w:fldCharType="end"/>
            </w:r>
          </w:p>
        </w:tc>
        <w:tc>
          <w:tcPr>
            <w:tcW w:w="336" w:type="pct"/>
          </w:tcPr>
          <w:p w14:paraId="3BEF91AC"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70B443BB" w14:textId="77777777" w:rsidR="00EE501D" w:rsidRPr="00C6520A" w:rsidRDefault="00EE501D" w:rsidP="00525BE0">
            <w:pPr>
              <w:spacing w:line="360" w:lineRule="auto"/>
              <w:jc w:val="both"/>
              <w:rPr>
                <w:sz w:val="20"/>
                <w:szCs w:val="20"/>
              </w:rPr>
            </w:pPr>
            <w:r w:rsidRPr="00C6520A">
              <w:rPr>
                <w:sz w:val="20"/>
                <w:szCs w:val="20"/>
              </w:rPr>
              <w:t>Integrated care</w:t>
            </w:r>
          </w:p>
        </w:tc>
        <w:tc>
          <w:tcPr>
            <w:tcW w:w="639" w:type="pct"/>
          </w:tcPr>
          <w:p w14:paraId="4E974B61"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1D339830" w14:textId="77777777" w:rsidR="00EE501D" w:rsidRPr="00C6520A" w:rsidRDefault="00EE501D" w:rsidP="00525BE0">
            <w:pPr>
              <w:spacing w:line="360" w:lineRule="auto"/>
              <w:jc w:val="both"/>
              <w:rPr>
                <w:sz w:val="20"/>
                <w:szCs w:val="20"/>
              </w:rPr>
            </w:pPr>
            <w:r>
              <w:rPr>
                <w:sz w:val="20"/>
                <w:szCs w:val="20"/>
              </w:rPr>
              <w:t>Case studies of 25 Integrated Care Pioneers, involving documentary analysis, qualitative interviews, and surveys</w:t>
            </w:r>
          </w:p>
        </w:tc>
        <w:tc>
          <w:tcPr>
            <w:tcW w:w="530" w:type="pct"/>
          </w:tcPr>
          <w:p w14:paraId="5F623C02" w14:textId="77777777" w:rsidR="00EE501D" w:rsidRDefault="00EE501D" w:rsidP="00525BE0">
            <w:pPr>
              <w:spacing w:line="360" w:lineRule="auto"/>
              <w:jc w:val="both"/>
              <w:rPr>
                <w:sz w:val="20"/>
                <w:szCs w:val="20"/>
              </w:rPr>
            </w:pPr>
            <w:r>
              <w:rPr>
                <w:sz w:val="20"/>
                <w:szCs w:val="20"/>
              </w:rPr>
              <w:t>Refinement</w:t>
            </w:r>
          </w:p>
        </w:tc>
      </w:tr>
      <w:tr w:rsidR="00EE501D" w:rsidRPr="00C6520A" w14:paraId="1BAF8A18" w14:textId="77777777" w:rsidTr="00A77C56">
        <w:trPr>
          <w:trHeight w:val="236"/>
        </w:trPr>
        <w:tc>
          <w:tcPr>
            <w:tcW w:w="768" w:type="pct"/>
          </w:tcPr>
          <w:p w14:paraId="11F1AB3B" w14:textId="77777777" w:rsidR="00EE501D" w:rsidRPr="00C6520A" w:rsidRDefault="00EE501D" w:rsidP="00525BE0">
            <w:pPr>
              <w:spacing w:line="360" w:lineRule="auto"/>
              <w:jc w:val="both"/>
              <w:rPr>
                <w:sz w:val="20"/>
                <w:szCs w:val="20"/>
              </w:rPr>
            </w:pPr>
            <w:r>
              <w:rPr>
                <w:sz w:val="20"/>
                <w:szCs w:val="20"/>
              </w:rPr>
              <w:t>Evans and Kiloran (2000)</w:t>
            </w:r>
          </w:p>
        </w:tc>
        <w:tc>
          <w:tcPr>
            <w:tcW w:w="336" w:type="pct"/>
          </w:tcPr>
          <w:p w14:paraId="7F42A051" w14:textId="77777777" w:rsidR="00EE501D" w:rsidRDefault="00EE501D" w:rsidP="00525BE0">
            <w:pPr>
              <w:spacing w:line="360" w:lineRule="auto"/>
              <w:jc w:val="both"/>
              <w:rPr>
                <w:sz w:val="20"/>
                <w:szCs w:val="20"/>
              </w:rPr>
            </w:pPr>
            <w:r>
              <w:rPr>
                <w:sz w:val="20"/>
                <w:szCs w:val="20"/>
              </w:rPr>
              <w:t>England</w:t>
            </w:r>
          </w:p>
        </w:tc>
        <w:tc>
          <w:tcPr>
            <w:tcW w:w="807" w:type="pct"/>
          </w:tcPr>
          <w:p w14:paraId="3A0D31DF" w14:textId="77777777" w:rsidR="00EE501D" w:rsidRPr="00C6520A" w:rsidRDefault="00EE501D" w:rsidP="00525BE0">
            <w:pPr>
              <w:spacing w:line="360" w:lineRule="auto"/>
              <w:jc w:val="both"/>
              <w:rPr>
                <w:sz w:val="20"/>
                <w:szCs w:val="20"/>
              </w:rPr>
            </w:pPr>
            <w:r>
              <w:rPr>
                <w:sz w:val="20"/>
                <w:szCs w:val="20"/>
              </w:rPr>
              <w:t>Partnerships (mixed)</w:t>
            </w:r>
          </w:p>
        </w:tc>
        <w:tc>
          <w:tcPr>
            <w:tcW w:w="639" w:type="pct"/>
          </w:tcPr>
          <w:p w14:paraId="273F07F6"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38213AF0" w14:textId="77777777" w:rsidR="00EE501D" w:rsidRDefault="00EE501D" w:rsidP="00525BE0">
            <w:pPr>
              <w:spacing w:line="360" w:lineRule="auto"/>
              <w:jc w:val="both"/>
              <w:rPr>
                <w:sz w:val="20"/>
                <w:szCs w:val="20"/>
              </w:rPr>
            </w:pPr>
            <w:r>
              <w:rPr>
                <w:sz w:val="20"/>
                <w:szCs w:val="20"/>
              </w:rPr>
              <w:t>Case study, realist evaluation including semi-structured interviews with key stakeholders (unknown quantity)</w:t>
            </w:r>
          </w:p>
        </w:tc>
        <w:tc>
          <w:tcPr>
            <w:tcW w:w="530" w:type="pct"/>
          </w:tcPr>
          <w:p w14:paraId="6DDEE978" w14:textId="77777777" w:rsidR="00EE501D" w:rsidRDefault="00EE501D" w:rsidP="00525BE0">
            <w:pPr>
              <w:spacing w:line="360" w:lineRule="auto"/>
              <w:jc w:val="both"/>
              <w:rPr>
                <w:sz w:val="20"/>
                <w:szCs w:val="20"/>
              </w:rPr>
            </w:pPr>
            <w:r>
              <w:rPr>
                <w:sz w:val="20"/>
                <w:szCs w:val="20"/>
              </w:rPr>
              <w:t>Gleaning</w:t>
            </w:r>
          </w:p>
        </w:tc>
      </w:tr>
      <w:tr w:rsidR="00EE501D" w:rsidRPr="00C6520A" w14:paraId="0C69A672" w14:textId="77777777" w:rsidTr="00A77C56">
        <w:trPr>
          <w:trHeight w:val="236"/>
        </w:trPr>
        <w:tc>
          <w:tcPr>
            <w:tcW w:w="768" w:type="pct"/>
          </w:tcPr>
          <w:p w14:paraId="38518AF8" w14:textId="77777777" w:rsidR="00EE501D" w:rsidRDefault="00EE501D" w:rsidP="00525BE0">
            <w:pPr>
              <w:spacing w:line="360" w:lineRule="auto"/>
              <w:jc w:val="both"/>
              <w:rPr>
                <w:sz w:val="20"/>
                <w:szCs w:val="20"/>
              </w:rPr>
            </w:pPr>
            <w:r>
              <w:rPr>
                <w:sz w:val="20"/>
                <w:szCs w:val="20"/>
              </w:rPr>
              <w:t>Ferrier and Valdmanis (2004)</w:t>
            </w:r>
          </w:p>
        </w:tc>
        <w:tc>
          <w:tcPr>
            <w:tcW w:w="336" w:type="pct"/>
          </w:tcPr>
          <w:p w14:paraId="2B4D142D" w14:textId="77777777" w:rsidR="00EE501D" w:rsidRDefault="00EE501D" w:rsidP="00525BE0">
            <w:pPr>
              <w:spacing w:line="360" w:lineRule="auto"/>
              <w:jc w:val="both"/>
              <w:rPr>
                <w:sz w:val="20"/>
                <w:szCs w:val="20"/>
              </w:rPr>
            </w:pPr>
            <w:r>
              <w:rPr>
                <w:sz w:val="20"/>
                <w:szCs w:val="20"/>
              </w:rPr>
              <w:t>USA</w:t>
            </w:r>
          </w:p>
        </w:tc>
        <w:tc>
          <w:tcPr>
            <w:tcW w:w="807" w:type="pct"/>
          </w:tcPr>
          <w:p w14:paraId="470BD225" w14:textId="77777777" w:rsidR="00EE501D" w:rsidRDefault="00EE501D" w:rsidP="00525BE0">
            <w:pPr>
              <w:spacing w:line="360" w:lineRule="auto"/>
              <w:jc w:val="both"/>
              <w:rPr>
                <w:sz w:val="20"/>
                <w:szCs w:val="20"/>
              </w:rPr>
            </w:pPr>
            <w:r>
              <w:rPr>
                <w:sz w:val="20"/>
                <w:szCs w:val="20"/>
              </w:rPr>
              <w:t>Mergers</w:t>
            </w:r>
          </w:p>
        </w:tc>
        <w:tc>
          <w:tcPr>
            <w:tcW w:w="639" w:type="pct"/>
          </w:tcPr>
          <w:p w14:paraId="2B89C071" w14:textId="77777777" w:rsidR="00EE501D" w:rsidRDefault="00EE501D" w:rsidP="00525BE0">
            <w:pPr>
              <w:spacing w:line="360" w:lineRule="auto"/>
              <w:jc w:val="both"/>
              <w:rPr>
                <w:sz w:val="20"/>
                <w:szCs w:val="20"/>
              </w:rPr>
            </w:pPr>
            <w:r>
              <w:rPr>
                <w:sz w:val="20"/>
                <w:szCs w:val="20"/>
              </w:rPr>
              <w:t>Acute care</w:t>
            </w:r>
          </w:p>
        </w:tc>
        <w:tc>
          <w:tcPr>
            <w:tcW w:w="1919" w:type="pct"/>
          </w:tcPr>
          <w:p w14:paraId="5EA87136" w14:textId="77777777" w:rsidR="00EE501D" w:rsidRDefault="00EE501D" w:rsidP="00525BE0">
            <w:pPr>
              <w:spacing w:line="360" w:lineRule="auto"/>
              <w:jc w:val="both"/>
              <w:rPr>
                <w:sz w:val="20"/>
                <w:szCs w:val="20"/>
              </w:rPr>
            </w:pPr>
            <w:r>
              <w:rPr>
                <w:sz w:val="20"/>
                <w:szCs w:val="20"/>
              </w:rPr>
              <w:t>Case control study of hospital mergers</w:t>
            </w:r>
          </w:p>
        </w:tc>
        <w:tc>
          <w:tcPr>
            <w:tcW w:w="530" w:type="pct"/>
          </w:tcPr>
          <w:p w14:paraId="7F0C0D5D" w14:textId="77777777" w:rsidR="00EE501D" w:rsidRDefault="00EE501D" w:rsidP="00525BE0">
            <w:pPr>
              <w:spacing w:line="360" w:lineRule="auto"/>
              <w:jc w:val="both"/>
              <w:rPr>
                <w:sz w:val="20"/>
                <w:szCs w:val="20"/>
              </w:rPr>
            </w:pPr>
            <w:r>
              <w:rPr>
                <w:sz w:val="20"/>
                <w:szCs w:val="20"/>
              </w:rPr>
              <w:t>Gleaning</w:t>
            </w:r>
          </w:p>
        </w:tc>
      </w:tr>
      <w:tr w:rsidR="00EE501D" w:rsidRPr="00C6520A" w14:paraId="038D3636" w14:textId="77777777" w:rsidTr="00A77C56">
        <w:trPr>
          <w:trHeight w:val="236"/>
        </w:trPr>
        <w:tc>
          <w:tcPr>
            <w:tcW w:w="768" w:type="pct"/>
          </w:tcPr>
          <w:p w14:paraId="4C23080E" w14:textId="368D7D3F"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{"citationItems":[{"id":"ITEM-1","itemData":{"author":[{"dropping-particle":"","family":"Findlay","given":"Patricia","non-dropping-particle":"","parse-names":false,"suffix":""}],"id":"ITEM-1","issue":"January","issued":{"date-parts":[["2019"]]},"title":"Review of Partnership Working in NHS Scotland","type":"article-journal"},"uris":["http://www.mendeley.com/documents/?uuid=775dd8e1-5331-43cf-b92c-176d93ed9731"]}],"mendeley":{"formattedCitation":"&lt;sup&gt;163&lt;/sup&gt;","manualFormatting":"Findlay (2019)","plainTextFormattedCitation":"163","previouslyFormattedCitation":"&lt;sup&gt;163&lt;/sup&gt;"},"properties":{"noteIndex":0},"schema":"https://github.com/citation-style-language/schema/raw/master/csl-citation.json"}</w:instrText>
            </w:r>
            <w:r w:rsidRPr="00C6520A">
              <w:rPr>
                <w:sz w:val="20"/>
                <w:szCs w:val="20"/>
              </w:rPr>
              <w:fldChar w:fldCharType="separate"/>
            </w:r>
            <w:r w:rsidRPr="00E4022F">
              <w:rPr>
                <w:noProof/>
                <w:sz w:val="20"/>
                <w:szCs w:val="20"/>
              </w:rPr>
              <w:t>Findlay</w:t>
            </w:r>
            <w:r>
              <w:rPr>
                <w:noProof/>
                <w:sz w:val="20"/>
                <w:szCs w:val="20"/>
              </w:rPr>
              <w:t xml:space="preserve"> (</w:t>
            </w:r>
            <w:r w:rsidRPr="00E4022F">
              <w:rPr>
                <w:noProof/>
                <w:sz w:val="20"/>
                <w:szCs w:val="20"/>
              </w:rPr>
              <w:t>2019)</w:t>
            </w:r>
            <w:r w:rsidRPr="00C6520A">
              <w:rPr>
                <w:sz w:val="20"/>
                <w:szCs w:val="20"/>
              </w:rPr>
              <w:fldChar w:fldCharType="end"/>
            </w:r>
          </w:p>
        </w:tc>
        <w:tc>
          <w:tcPr>
            <w:tcW w:w="336" w:type="pct"/>
          </w:tcPr>
          <w:p w14:paraId="76F8D41A" w14:textId="77777777" w:rsidR="00EE501D" w:rsidRPr="00C6520A" w:rsidRDefault="00EE501D" w:rsidP="00525BE0">
            <w:pPr>
              <w:spacing w:line="360" w:lineRule="auto"/>
              <w:jc w:val="both"/>
              <w:rPr>
                <w:sz w:val="20"/>
                <w:szCs w:val="20"/>
              </w:rPr>
            </w:pPr>
            <w:r>
              <w:rPr>
                <w:sz w:val="20"/>
                <w:szCs w:val="20"/>
              </w:rPr>
              <w:t>Scotland</w:t>
            </w:r>
          </w:p>
        </w:tc>
        <w:tc>
          <w:tcPr>
            <w:tcW w:w="807" w:type="pct"/>
          </w:tcPr>
          <w:p w14:paraId="42EDF38A" w14:textId="77777777" w:rsidR="00EE501D" w:rsidRPr="00C6520A" w:rsidRDefault="00EE501D" w:rsidP="00525BE0">
            <w:pPr>
              <w:spacing w:line="360" w:lineRule="auto"/>
              <w:jc w:val="both"/>
              <w:rPr>
                <w:sz w:val="20"/>
                <w:szCs w:val="20"/>
              </w:rPr>
            </w:pPr>
            <w:r w:rsidRPr="00C6520A">
              <w:rPr>
                <w:sz w:val="20"/>
                <w:szCs w:val="20"/>
              </w:rPr>
              <w:t>Health boards</w:t>
            </w:r>
          </w:p>
        </w:tc>
        <w:tc>
          <w:tcPr>
            <w:tcW w:w="639" w:type="pct"/>
          </w:tcPr>
          <w:p w14:paraId="3DA4C5FB"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754C07A5" w14:textId="77777777" w:rsidR="00EE501D" w:rsidRPr="00C6520A" w:rsidRDefault="00EE501D" w:rsidP="00525BE0">
            <w:pPr>
              <w:spacing w:line="360" w:lineRule="auto"/>
              <w:jc w:val="both"/>
              <w:rPr>
                <w:sz w:val="20"/>
                <w:szCs w:val="20"/>
              </w:rPr>
            </w:pPr>
            <w:r>
              <w:rPr>
                <w:sz w:val="20"/>
                <w:szCs w:val="20"/>
              </w:rPr>
              <w:t>Literature, documentary analysis, non-participant observation, and semi-structured interviews with 44 participants</w:t>
            </w:r>
          </w:p>
        </w:tc>
        <w:tc>
          <w:tcPr>
            <w:tcW w:w="530" w:type="pct"/>
          </w:tcPr>
          <w:p w14:paraId="00CE4081" w14:textId="77777777" w:rsidR="00EE501D" w:rsidRDefault="00EE501D" w:rsidP="00525BE0">
            <w:pPr>
              <w:spacing w:line="360" w:lineRule="auto"/>
              <w:jc w:val="both"/>
              <w:rPr>
                <w:sz w:val="20"/>
                <w:szCs w:val="20"/>
              </w:rPr>
            </w:pPr>
            <w:r>
              <w:rPr>
                <w:sz w:val="20"/>
                <w:szCs w:val="20"/>
              </w:rPr>
              <w:t>Refinement</w:t>
            </w:r>
          </w:p>
        </w:tc>
      </w:tr>
      <w:tr w:rsidR="00EE501D" w:rsidRPr="00C6520A" w14:paraId="6A657B69" w14:textId="77777777" w:rsidTr="00A77C56">
        <w:trPr>
          <w:trHeight w:val="236"/>
        </w:trPr>
        <w:tc>
          <w:tcPr>
            <w:tcW w:w="768" w:type="pct"/>
          </w:tcPr>
          <w:p w14:paraId="5B656293" w14:textId="46B859DF"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{"citationItems":[{"id":"ITEM-1","itemData":{"DOI":"10.1080/01442871003615968","ISSN":"01442872","abstract":"This article explores the implementation of health and social care policy designed to improve partnership working between the health and social care sectors in the UK. Devolution has allowed Scotland to develop its own policies in several key areas. Given the potential for policy divergence, health and social care policy in England and Scotland is compared and contrasted. Using four partnership case studies, similar issues were apparent in both countries. Policy was dominated by the National Health Service at the expense of local authority partners and each partnership found the implementation of policy challenging, often due to inadequate policy guidance and difficult working relationships between the health and social care sectors. A key finding was that devolution had allowed Scotland more freedom to experiment with policy and the policy process became more readily influenced and challenged by local practitioners. Implications for policy implementation in similar devolved and decentralised contexts are considered. © 2010 Taylor &amp; Francis.","author":[{"dropping-particle":"","family":"Forbes","given":"Tom","non-dropping-particle":"","parse-names":false,"suffix":""},{"dropping-particle":"","family":"Evans","given":"Debbie","non-dropping-particle":"","parse-names":false,"suffix":""},{"dropping-particle":"","family":"Scott","given":"Niccola","non-dropping-particle":"","parse-names":false,"suffix":""}],"container-title":"Policy Studies","id":"ITEM-1","issue":"6","issued":{"date-parts":[["2010"]]},"page":"591-611","publisher":"Taylor and Francis","publisher-place":"Philadelphia, USA","title":"Implementing health and social care policy - England and Scotland compared","type":"article-journal","volume":"31"},"uris":["http://www.mendeley.com/documents/?uuid=8952d69a-8f59-4b55-b28b-301ddf33bf83"]}],"mendeley":{"formattedCitation":"&lt;sup&gt;164&lt;/sup&gt;","manualFormatting":"Forbes, Evans and Scott (2010)","plainTextFormattedCitation":"164","previouslyFormattedCitation":"&lt;sup&gt;164&lt;/sup&gt;"},"properties":{"noteIndex":0},"schema":"https://github.com/citation-style-language/schema/raw/master/csl-citation.json"}</w:instrText>
            </w:r>
            <w:r w:rsidRPr="00C6520A">
              <w:rPr>
                <w:sz w:val="20"/>
                <w:szCs w:val="20"/>
              </w:rPr>
              <w:fldChar w:fldCharType="separate"/>
            </w:r>
            <w:r w:rsidRPr="00E4022F">
              <w:rPr>
                <w:noProof/>
                <w:sz w:val="20"/>
                <w:szCs w:val="20"/>
              </w:rPr>
              <w:t>Forbes, Evans and Scott</w:t>
            </w:r>
            <w:r>
              <w:rPr>
                <w:noProof/>
                <w:sz w:val="20"/>
                <w:szCs w:val="20"/>
              </w:rPr>
              <w:t xml:space="preserve"> (</w:t>
            </w:r>
            <w:r w:rsidRPr="00E4022F">
              <w:rPr>
                <w:noProof/>
                <w:sz w:val="20"/>
                <w:szCs w:val="20"/>
              </w:rPr>
              <w:t>2010)</w:t>
            </w:r>
            <w:r w:rsidRPr="00C6520A">
              <w:rPr>
                <w:sz w:val="20"/>
                <w:szCs w:val="20"/>
              </w:rPr>
              <w:fldChar w:fldCharType="end"/>
            </w:r>
          </w:p>
        </w:tc>
        <w:tc>
          <w:tcPr>
            <w:tcW w:w="336" w:type="pct"/>
          </w:tcPr>
          <w:p w14:paraId="5B838623" w14:textId="77777777" w:rsidR="00EE501D" w:rsidRPr="00C6520A" w:rsidRDefault="00EE501D" w:rsidP="00525BE0">
            <w:pPr>
              <w:spacing w:line="360" w:lineRule="auto"/>
              <w:jc w:val="both"/>
              <w:rPr>
                <w:sz w:val="20"/>
                <w:szCs w:val="20"/>
              </w:rPr>
            </w:pPr>
            <w:r>
              <w:rPr>
                <w:sz w:val="20"/>
                <w:szCs w:val="20"/>
              </w:rPr>
              <w:t>England and Scotland</w:t>
            </w:r>
          </w:p>
        </w:tc>
        <w:tc>
          <w:tcPr>
            <w:tcW w:w="807" w:type="pct"/>
          </w:tcPr>
          <w:p w14:paraId="5FBDDA69" w14:textId="77777777" w:rsidR="00EE501D" w:rsidRPr="00C6520A" w:rsidRDefault="00EE501D" w:rsidP="00525BE0">
            <w:pPr>
              <w:spacing w:line="360" w:lineRule="auto"/>
              <w:jc w:val="both"/>
              <w:rPr>
                <w:sz w:val="20"/>
                <w:szCs w:val="20"/>
              </w:rPr>
            </w:pPr>
            <w:r w:rsidRPr="00C6520A">
              <w:rPr>
                <w:sz w:val="20"/>
                <w:szCs w:val="20"/>
              </w:rPr>
              <w:t>Integrated care</w:t>
            </w:r>
          </w:p>
        </w:tc>
        <w:tc>
          <w:tcPr>
            <w:tcW w:w="639" w:type="pct"/>
          </w:tcPr>
          <w:p w14:paraId="1170C4FD"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2E41E565" w14:textId="77777777" w:rsidR="00EE501D" w:rsidRPr="00C6520A" w:rsidRDefault="00EE501D" w:rsidP="00525BE0">
            <w:pPr>
              <w:spacing w:line="360" w:lineRule="auto"/>
              <w:jc w:val="both"/>
              <w:rPr>
                <w:sz w:val="20"/>
                <w:szCs w:val="20"/>
              </w:rPr>
            </w:pPr>
            <w:r>
              <w:rPr>
                <w:sz w:val="20"/>
                <w:szCs w:val="20"/>
              </w:rPr>
              <w:t>Four case studies, two in England and two in Scotland; semi-structured interviews were used (n=16)</w:t>
            </w:r>
          </w:p>
        </w:tc>
        <w:tc>
          <w:tcPr>
            <w:tcW w:w="530" w:type="pct"/>
          </w:tcPr>
          <w:p w14:paraId="310A121C" w14:textId="77777777" w:rsidR="00EE501D" w:rsidRDefault="00EE501D" w:rsidP="00525BE0">
            <w:pPr>
              <w:spacing w:line="360" w:lineRule="auto"/>
              <w:jc w:val="both"/>
              <w:rPr>
                <w:sz w:val="20"/>
                <w:szCs w:val="20"/>
              </w:rPr>
            </w:pPr>
            <w:r>
              <w:rPr>
                <w:sz w:val="20"/>
                <w:szCs w:val="20"/>
              </w:rPr>
              <w:t>Refinement</w:t>
            </w:r>
          </w:p>
        </w:tc>
      </w:tr>
      <w:tr w:rsidR="00EE501D" w:rsidRPr="00C6520A" w14:paraId="44E6570B" w14:textId="77777777" w:rsidTr="00A77C56">
        <w:trPr>
          <w:trHeight w:val="236"/>
        </w:trPr>
        <w:tc>
          <w:tcPr>
            <w:tcW w:w="768" w:type="pct"/>
          </w:tcPr>
          <w:p w14:paraId="523C50AC" w14:textId="5FEBFE23"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{"citationItems":[{"id":"ITEM-1","itemData":{"author":[{"dropping-particle":"","family":"Foundation Trust Network","given":"","non-dropping-particle":"","parse-names":false,"suffix":""}],"id":"ITEM-1","issue":"September","issued":{"date-parts":[["2014"]]},"number-of-pages":"1-15","publisher-place":"London","title":"Review of buddying arrangements, with a focus on trusts in special measures and their partnering organisations","type":"report"},"uris":["http://www.mendeley.com/documents/?uuid=edb6537b-8318-4e71-88a6-eecaa3b7ef44"]}],"mendeley":{"formattedCitation":"&lt;sup&gt;165&lt;/sup&gt;","manualFormatting":"Foundation Trust Network (2014)","plainTextFormattedCitation":"165","previouslyFormattedCitation":"&lt;sup&gt;165&lt;/sup&gt;"},"properties":{"noteIndex":0},"schema":"https://github.com/citation-style-language/schema/raw/master/csl-citation.json"}</w:instrText>
            </w:r>
            <w:r w:rsidRPr="00C6520A">
              <w:rPr>
                <w:sz w:val="20"/>
                <w:szCs w:val="20"/>
              </w:rPr>
              <w:fldChar w:fldCharType="separate"/>
            </w:r>
            <w:r w:rsidRPr="00E4022F">
              <w:rPr>
                <w:noProof/>
                <w:sz w:val="20"/>
                <w:szCs w:val="20"/>
              </w:rPr>
              <w:t>Foundation Trust Network</w:t>
            </w:r>
            <w:r>
              <w:rPr>
                <w:noProof/>
                <w:sz w:val="20"/>
                <w:szCs w:val="20"/>
              </w:rPr>
              <w:t xml:space="preserve"> (</w:t>
            </w:r>
            <w:r w:rsidRPr="00E4022F">
              <w:rPr>
                <w:noProof/>
                <w:sz w:val="20"/>
                <w:szCs w:val="20"/>
              </w:rPr>
              <w:t>2014)</w:t>
            </w:r>
            <w:r w:rsidRPr="00C6520A">
              <w:rPr>
                <w:sz w:val="20"/>
                <w:szCs w:val="20"/>
              </w:rPr>
              <w:fldChar w:fldCharType="end"/>
            </w:r>
          </w:p>
        </w:tc>
        <w:tc>
          <w:tcPr>
            <w:tcW w:w="336" w:type="pct"/>
          </w:tcPr>
          <w:p w14:paraId="6EEFB50B"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7D0149AC" w14:textId="77777777" w:rsidR="00EE501D" w:rsidRPr="00C6520A" w:rsidRDefault="00EE501D" w:rsidP="00525BE0">
            <w:pPr>
              <w:spacing w:line="360" w:lineRule="auto"/>
              <w:jc w:val="both"/>
              <w:rPr>
                <w:sz w:val="20"/>
                <w:szCs w:val="20"/>
              </w:rPr>
            </w:pPr>
            <w:r w:rsidRPr="00C6520A">
              <w:rPr>
                <w:sz w:val="20"/>
                <w:szCs w:val="20"/>
              </w:rPr>
              <w:t>Buddying</w:t>
            </w:r>
          </w:p>
        </w:tc>
        <w:tc>
          <w:tcPr>
            <w:tcW w:w="639" w:type="pct"/>
          </w:tcPr>
          <w:p w14:paraId="3574543B" w14:textId="77777777" w:rsidR="00EE501D" w:rsidRPr="00C6520A" w:rsidRDefault="00EE501D" w:rsidP="00525BE0">
            <w:pPr>
              <w:spacing w:line="360" w:lineRule="auto"/>
              <w:jc w:val="both"/>
              <w:rPr>
                <w:sz w:val="20"/>
                <w:szCs w:val="20"/>
              </w:rPr>
            </w:pPr>
            <w:r>
              <w:rPr>
                <w:sz w:val="20"/>
                <w:szCs w:val="20"/>
              </w:rPr>
              <w:t>Acute care</w:t>
            </w:r>
          </w:p>
        </w:tc>
        <w:tc>
          <w:tcPr>
            <w:tcW w:w="1919" w:type="pct"/>
          </w:tcPr>
          <w:p w14:paraId="4AD021F1" w14:textId="77777777" w:rsidR="00EE501D" w:rsidRPr="00C6520A" w:rsidRDefault="00EE501D" w:rsidP="00525BE0">
            <w:pPr>
              <w:spacing w:line="360" w:lineRule="auto"/>
              <w:jc w:val="both"/>
              <w:rPr>
                <w:sz w:val="20"/>
                <w:szCs w:val="20"/>
              </w:rPr>
            </w:pPr>
            <w:r>
              <w:rPr>
                <w:sz w:val="20"/>
                <w:szCs w:val="20"/>
              </w:rPr>
              <w:t>Twelve trusts as case studies, involved in buddying; using surveys, desk research, structured interviews and documentary analysis</w:t>
            </w:r>
          </w:p>
        </w:tc>
        <w:tc>
          <w:tcPr>
            <w:tcW w:w="530" w:type="pct"/>
          </w:tcPr>
          <w:p w14:paraId="2DB2F178" w14:textId="77777777" w:rsidR="00EE501D" w:rsidRDefault="00EE501D" w:rsidP="00525BE0">
            <w:pPr>
              <w:spacing w:line="360" w:lineRule="auto"/>
              <w:jc w:val="both"/>
              <w:rPr>
                <w:sz w:val="20"/>
                <w:szCs w:val="20"/>
              </w:rPr>
            </w:pPr>
            <w:r>
              <w:rPr>
                <w:sz w:val="20"/>
                <w:szCs w:val="20"/>
              </w:rPr>
              <w:t>Refinement</w:t>
            </w:r>
          </w:p>
        </w:tc>
      </w:tr>
      <w:tr w:rsidR="00EE501D" w:rsidRPr="00C6520A" w14:paraId="0667D547" w14:textId="77777777" w:rsidTr="00A77C56">
        <w:trPr>
          <w:trHeight w:val="236"/>
        </w:trPr>
        <w:tc>
          <w:tcPr>
            <w:tcW w:w="768" w:type="pct"/>
          </w:tcPr>
          <w:p w14:paraId="53A621A7" w14:textId="10658788"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{"citationItems":[{"id":"ITEM-1","itemData":{"DOI":"10.1136/bmjopen-2019-029174","ISSN":"20446055","PMID":"32152152","abstract":"NHS vanguards, under-pressure to perform, required better contracting and data management arrangements with evaluation teams, to ensure that integrated service outcomes could be reported effectively. This communication reflects the experience of evaluating an NHS vanguard and suggests how academic teams can improve capacity for complex programme evaluation of rapid improvements in integrated services. This should be based on a shared commitment to data collection and management. Also, robust knowledge exchange processes can enable systems change and sustainability. The identifying features of the particular site have been withheld.","author":[{"dropping-particle":"","family":"Fowler Davis","given":"Sally","non-dropping-particle":"","parse-names":false,"suffix":""},{"dropping-particle":"","family":"Hinde","given":"Sebastian","non-dropping-particle":"","parse-names":false,"suffix":""},{"dropping-particle":"","family":"Ariss","given":"Steven","non-dropping-particle":"","parse-names":false,"suffix":""}],"container-title":"BMJ open","id":"ITEM-1","issue":"3","issued":{"date-parts":[["2020"]]},"page":"e029174","title":"Complex programme evaluation of a 'new care model' vanguard: a shared commitment to quality improvement in an integrated health and care context","type":"article-journal","volume":"10"},"uris":["http://www.mendeley.com/documents/?uuid=430a43c7-44f7-4b6c-a39d-d75abb24ddd4"]}],"mendeley":{"formattedCitation":"&lt;sup&gt;166&lt;/sup&gt;","manualFormatting":"Fowler Davis, Hinde and Ariss (2020)","plainTextFormattedCitation":"166","previouslyFormattedCitation":"&lt;sup&gt;166&lt;/sup&gt;"},"properties":{"noteIndex":0},"schema":"https://github.com/citation-style-language/schema/raw/master/csl-citation.json"}</w:instrText>
            </w:r>
            <w:r w:rsidRPr="00C6520A">
              <w:rPr>
                <w:sz w:val="20"/>
                <w:szCs w:val="20"/>
              </w:rPr>
              <w:fldChar w:fldCharType="separate"/>
            </w:r>
            <w:r w:rsidRPr="00E4022F">
              <w:rPr>
                <w:noProof/>
                <w:sz w:val="20"/>
                <w:szCs w:val="20"/>
              </w:rPr>
              <w:t>Fowler Davis, Hinde and Ariss</w:t>
            </w:r>
            <w:r>
              <w:rPr>
                <w:noProof/>
                <w:sz w:val="20"/>
                <w:szCs w:val="20"/>
              </w:rPr>
              <w:t xml:space="preserve"> (</w:t>
            </w:r>
            <w:r w:rsidRPr="00E4022F">
              <w:rPr>
                <w:noProof/>
                <w:sz w:val="20"/>
                <w:szCs w:val="20"/>
              </w:rPr>
              <w:t>2020)</w:t>
            </w:r>
            <w:r w:rsidRPr="00C6520A">
              <w:rPr>
                <w:sz w:val="20"/>
                <w:szCs w:val="20"/>
              </w:rPr>
              <w:fldChar w:fldCharType="end"/>
            </w:r>
          </w:p>
        </w:tc>
        <w:tc>
          <w:tcPr>
            <w:tcW w:w="336" w:type="pct"/>
          </w:tcPr>
          <w:p w14:paraId="2765E9A6"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0BC140F3" w14:textId="77777777" w:rsidR="00EE501D" w:rsidRPr="00C6520A" w:rsidRDefault="00EE501D" w:rsidP="00525BE0">
            <w:pPr>
              <w:spacing w:line="360" w:lineRule="auto"/>
              <w:jc w:val="both"/>
              <w:rPr>
                <w:sz w:val="20"/>
                <w:szCs w:val="20"/>
              </w:rPr>
            </w:pPr>
            <w:r>
              <w:rPr>
                <w:sz w:val="20"/>
                <w:szCs w:val="20"/>
              </w:rPr>
              <w:t xml:space="preserve">NHS </w:t>
            </w:r>
            <w:r w:rsidRPr="00C6520A">
              <w:rPr>
                <w:sz w:val="20"/>
                <w:szCs w:val="20"/>
              </w:rPr>
              <w:t>Vanguards</w:t>
            </w:r>
          </w:p>
        </w:tc>
        <w:tc>
          <w:tcPr>
            <w:tcW w:w="639" w:type="pct"/>
          </w:tcPr>
          <w:p w14:paraId="0FE5743C"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70A8DFFC" w14:textId="77777777" w:rsidR="00EE501D" w:rsidRPr="00C6520A" w:rsidRDefault="00EE501D" w:rsidP="00525BE0">
            <w:pPr>
              <w:spacing w:line="360" w:lineRule="auto"/>
              <w:jc w:val="both"/>
              <w:rPr>
                <w:sz w:val="20"/>
                <w:szCs w:val="20"/>
              </w:rPr>
            </w:pPr>
            <w:r>
              <w:rPr>
                <w:sz w:val="20"/>
                <w:szCs w:val="20"/>
              </w:rPr>
              <w:t>Service evaluation with embedded team; qualitative in-depth interviews</w:t>
            </w:r>
          </w:p>
        </w:tc>
        <w:tc>
          <w:tcPr>
            <w:tcW w:w="530" w:type="pct"/>
          </w:tcPr>
          <w:p w14:paraId="19A5BD9C" w14:textId="77777777" w:rsidR="00EE501D" w:rsidRDefault="00EE501D" w:rsidP="00525BE0">
            <w:pPr>
              <w:spacing w:line="360" w:lineRule="auto"/>
              <w:jc w:val="both"/>
              <w:rPr>
                <w:sz w:val="20"/>
                <w:szCs w:val="20"/>
              </w:rPr>
            </w:pPr>
            <w:r>
              <w:rPr>
                <w:sz w:val="20"/>
                <w:szCs w:val="20"/>
              </w:rPr>
              <w:t>Refinement</w:t>
            </w:r>
          </w:p>
        </w:tc>
      </w:tr>
      <w:tr w:rsidR="00EE501D" w:rsidRPr="00C6520A" w14:paraId="7688ECC2" w14:textId="77777777" w:rsidTr="00A77C56">
        <w:trPr>
          <w:trHeight w:val="236"/>
        </w:trPr>
        <w:tc>
          <w:tcPr>
            <w:tcW w:w="768" w:type="pct"/>
          </w:tcPr>
          <w:p w14:paraId="586DC2D5" w14:textId="660A27B8" w:rsidR="00EE501D" w:rsidRPr="00C6520A" w:rsidRDefault="00EE501D" w:rsidP="00525BE0">
            <w:pPr>
              <w:spacing w:line="360" w:lineRule="auto"/>
              <w:jc w:val="both"/>
              <w:rPr>
                <w:sz w:val="20"/>
                <w:szCs w:val="20"/>
              </w:rPr>
            </w:pPr>
            <w:r w:rsidRPr="00C6520A">
              <w:rPr>
                <w:sz w:val="20"/>
                <w:szCs w:val="20"/>
              </w:rPr>
              <w:fldChar w:fldCharType="begin" w:fldLock="1"/>
            </w:r>
            <w:r w:rsidR="00804189">
              <w:rPr>
                <w:sz w:val="20"/>
                <w:szCs w:val="20"/>
              </w:rPr>
              <w:instrText>ADDIN CSL_CITATION {"citationItems":[{"id":"ITEM-1","itemData":{"DOI":"10.1136/bmj.325.7358.246","ISSN":"09598146","abstract":"Objective: To study the processes involved in and impact of mergers between NHS trusts, including the effect on management costs. Design: Cross sectional study involving in depth interviews and documentary analysis; case study to compare savings in management costs between case trusts and control trusts. Setting: Nine trusts (cross sectional study) and four trusts (case study) in London. Participants: 96 interviews with trust board members, other senior managers, clinicians, service managers, and representatives of health authorities, regional office, community health councils, local authorities, other trusts in the area, and primary care groups and trusts. Main outcome measures: Stated and unstated drivers, and impact of merger on delivery and development of services, management structures, and staff recruitment, retention, and morale. Effects of difference in trust size before and after the merger. Savings in management costs two years after merger. Results: Some important drivers for merger are not publicly stated. Mergers had a negative effect on delivery of services because of a loss of managerial focus on services. Planned developments in services were delayed by at least 18 months. Trusts' larger sizes after mergers had unintended negative consequences, as well as predicted advantages. The tendency for one trust's management team to dominate over the other resulted in tension. No improvement in recruitment or retention of clinical and managerial staff was reported. Perceived differences in organisational culture were an important barrier to bringing together two or more organisations. Two years after merger, merged trusts had not achieved the objective of saving £500 000 a year in management costs. Conclusions: Important unintended consequences need to be accounted for when mergers are planned. Mergers can cause considerable disruptions to services, and require greater management support than previously acknowledged. Other organisations undergoing restructuring, such as primary care groups developing into primary care trusts and health authorities merging into strategic health authorities, should take these findings into account.","author":[{"dropping-particle":"","family":"Fulop","given":"Naomi","non-dropping-particle":"","parse-names":false,"suffix":""},{"dropping-particle":"","family":"Protopsaltis","given":"Gerasimos","non-dropping-particle":"","parse-names":false,"suffix":""},{"dropping-particle":"","family":"Hutchings","given":"Andrew","non-dropping-particle":"","parse-names":false,"suffix":""},{"dropping-particle":"","family":"King","given":"Annette","non-dropping-particle":"","parse-names":false,"suffix":""},{"dropping-particle":"","family":"Allen","given":"Pauline","non-dropping-particle":"","parse-names":false,"suffix":""},{"dropping-particle":"","family":"Normand","given":"Charles","non-dropping-particle":"","parse-names":false,"suffix":""},{"dropping-particle":"","family":"Walters","given":"Rhiannon","non-dropping-particle":"","parse-names":false,"suffix":""}],"container-title":"British Medical Journal","id":"ITEM-1","issue":"7358","issued":{"date-parts":[["2002"]]},"page":"246-249","title":"Process and impact of mergers of NHS trusts: Multicentre case study and management cost analysis","type":"article-journal","volume":"325"},"uris":["http://www.mendeley.com/documents/?uuid=f9213f97-3906-4651-9340-5411de66b628"]}],"mendeley":{"formattedCitation":"&lt;sup&gt;85&lt;/sup&gt;","manualFormatting":"Fulop et al. (2002)","plainTextFormattedCitation":"85","previouslyFormattedCitation":"&lt;sup&gt;85&lt;/sup&gt;"},"properties":{"noteIndex":0},"schema":"https://github.com/citation-style-language/schema/raw/master/csl-citation.json"}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Fulop </w:t>
            </w:r>
            <w:r w:rsidRPr="00E4022F">
              <w:rPr>
                <w:i/>
                <w:noProof/>
                <w:sz w:val="20"/>
                <w:szCs w:val="20"/>
              </w:rPr>
              <w:t>et al.</w:t>
            </w:r>
            <w:r>
              <w:rPr>
                <w:i/>
                <w:noProof/>
                <w:sz w:val="20"/>
                <w:szCs w:val="20"/>
              </w:rPr>
              <w:t xml:space="preserve"> (</w:t>
            </w:r>
            <w:r w:rsidRPr="00E4022F">
              <w:rPr>
                <w:noProof/>
                <w:sz w:val="20"/>
                <w:szCs w:val="20"/>
              </w:rPr>
              <w:t>2002)</w:t>
            </w:r>
            <w:r w:rsidRPr="00C6520A">
              <w:rPr>
                <w:sz w:val="20"/>
                <w:szCs w:val="20"/>
              </w:rPr>
              <w:fldChar w:fldCharType="end"/>
            </w:r>
          </w:p>
        </w:tc>
        <w:tc>
          <w:tcPr>
            <w:tcW w:w="336" w:type="pct"/>
          </w:tcPr>
          <w:p w14:paraId="05D84E82"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56487EA2" w14:textId="77777777" w:rsidR="00EE501D" w:rsidRPr="00C6520A" w:rsidRDefault="00EE501D" w:rsidP="00525BE0">
            <w:pPr>
              <w:spacing w:line="360" w:lineRule="auto"/>
              <w:jc w:val="both"/>
              <w:rPr>
                <w:sz w:val="20"/>
                <w:szCs w:val="20"/>
              </w:rPr>
            </w:pPr>
            <w:r w:rsidRPr="00C6520A">
              <w:rPr>
                <w:sz w:val="20"/>
                <w:szCs w:val="20"/>
              </w:rPr>
              <w:t>Merger</w:t>
            </w:r>
          </w:p>
        </w:tc>
        <w:tc>
          <w:tcPr>
            <w:tcW w:w="639" w:type="pct"/>
          </w:tcPr>
          <w:p w14:paraId="362EE98A"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40C2210F" w14:textId="77777777" w:rsidR="00EE501D" w:rsidRPr="00C6520A" w:rsidRDefault="00EE501D" w:rsidP="00525BE0">
            <w:pPr>
              <w:spacing w:line="360" w:lineRule="auto"/>
              <w:jc w:val="both"/>
              <w:rPr>
                <w:sz w:val="20"/>
                <w:szCs w:val="20"/>
              </w:rPr>
            </w:pPr>
            <w:r>
              <w:rPr>
                <w:sz w:val="20"/>
                <w:szCs w:val="20"/>
              </w:rPr>
              <w:t>Nine trusts (cross-sectional) and four trusts (case studies); using in-depth interviews and documentary analysis</w:t>
            </w:r>
          </w:p>
        </w:tc>
        <w:tc>
          <w:tcPr>
            <w:tcW w:w="530" w:type="pct"/>
          </w:tcPr>
          <w:p w14:paraId="727B12B0"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350E0D75" w14:textId="77777777" w:rsidTr="00A77C56">
        <w:trPr>
          <w:trHeight w:val="236"/>
        </w:trPr>
        <w:tc>
          <w:tcPr>
            <w:tcW w:w="768" w:type="pct"/>
          </w:tcPr>
          <w:p w14:paraId="7DEFD45F" w14:textId="4AAD6002"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{"citationItems":[{"id":"ITEM-1","itemData":{"DOI":"10.1080/13561820600890235","ISSN":"13561820","abstract":"The need to provide more joined services in health and social care is now recognized by governments as a major objective, and technology is increasingly seen as the key to achieving it. This paper is based upon the authors' experience as research partners in a national project in England known as FrAmework for Multi-agency Environments (FAME). In the first phase of FAME (April 2003-October 2004) six local \"strands\" led by local authorities worked in partnership with service providers and IT suppliers. Each partnership aimed to support collaboration and interaction between professions in a particular set of services (for example, to vulnerable older people or disabled children) through effective and appropriate exchange of information. This paper examines the literature on partnership and collaboration in public services in order to contextualize and reflect upon IT-enabled multi-agency partnerships.","author":[{"dropping-particle":"","family":"Gannon-Leary","given":"Pat","non-dropping-particle":"","parse-names":false,"suffix":""},{"dropping-particle":"","family":"Baines","given":"Sue","non-dropping-particle":"","parse-names":false,"suffix":""},{"dropping-particle":"","family":"Wilson","given":"Rob","non-dropping-particle":"","parse-names":false,"suffix":""}],"container-title":"Journal of Interprofessional Care","id":"ITEM-1","issue":"6","issued":{"date-parts":[["2006"]]},"page":"665-674","title":"Collaboration and partnership: A review and reflections on a national project to join up local services in England","type":"article-journal","volume":"20"},"uris":["http://www.mendeley.com/documents/?uuid=ab96d496-f09b-4fb3-acd2-0455dc254ba8"]}],"mendeley":{"formattedCitation":"&lt;sup&gt;167&lt;/sup&gt;","manualFormatting":"Gannon-Leary, Baines and Wilson (2006)","plainTextFormattedCitation":"167","previouslyFormattedCitation":"&lt;sup&gt;167&lt;/sup&gt;"},"properties":{"noteIndex":0},"schema":"https://github.com/citation-style-language/schema/raw/master/csl-citation.json"}</w:instrText>
            </w:r>
            <w:r w:rsidRPr="00C6520A">
              <w:rPr>
                <w:sz w:val="20"/>
                <w:szCs w:val="20"/>
              </w:rPr>
              <w:fldChar w:fldCharType="separate"/>
            </w:r>
            <w:r w:rsidRPr="00E4022F">
              <w:rPr>
                <w:noProof/>
                <w:sz w:val="20"/>
                <w:szCs w:val="20"/>
              </w:rPr>
              <w:t>Gannon-Leary, Baines and Wilson</w:t>
            </w:r>
            <w:r>
              <w:rPr>
                <w:noProof/>
                <w:sz w:val="20"/>
                <w:szCs w:val="20"/>
              </w:rPr>
              <w:t xml:space="preserve"> (</w:t>
            </w:r>
            <w:r w:rsidRPr="00E4022F">
              <w:rPr>
                <w:noProof/>
                <w:sz w:val="20"/>
                <w:szCs w:val="20"/>
              </w:rPr>
              <w:t>2006)</w:t>
            </w:r>
            <w:r w:rsidRPr="00C6520A">
              <w:rPr>
                <w:sz w:val="20"/>
                <w:szCs w:val="20"/>
              </w:rPr>
              <w:fldChar w:fldCharType="end"/>
            </w:r>
          </w:p>
        </w:tc>
        <w:tc>
          <w:tcPr>
            <w:tcW w:w="336" w:type="pct"/>
          </w:tcPr>
          <w:p w14:paraId="74B33120"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19709921" w14:textId="77777777" w:rsidR="00EE501D" w:rsidRPr="00C6520A" w:rsidRDefault="00EE501D" w:rsidP="00525BE0">
            <w:pPr>
              <w:spacing w:line="360" w:lineRule="auto"/>
              <w:jc w:val="both"/>
              <w:rPr>
                <w:sz w:val="20"/>
                <w:szCs w:val="20"/>
              </w:rPr>
            </w:pPr>
            <w:r w:rsidRPr="00C6520A">
              <w:rPr>
                <w:sz w:val="20"/>
                <w:szCs w:val="20"/>
              </w:rPr>
              <w:t>Partnerships (mixed)</w:t>
            </w:r>
          </w:p>
        </w:tc>
        <w:tc>
          <w:tcPr>
            <w:tcW w:w="639" w:type="pct"/>
          </w:tcPr>
          <w:p w14:paraId="0FAF4E40" w14:textId="77777777" w:rsidR="00EE501D" w:rsidRPr="00C6520A" w:rsidRDefault="00EE501D" w:rsidP="00525BE0">
            <w:pPr>
              <w:spacing w:line="360" w:lineRule="auto"/>
              <w:jc w:val="both"/>
              <w:rPr>
                <w:sz w:val="20"/>
                <w:szCs w:val="20"/>
              </w:rPr>
            </w:pPr>
            <w:r>
              <w:rPr>
                <w:sz w:val="20"/>
                <w:szCs w:val="20"/>
              </w:rPr>
              <w:t>Health and social care and voluntary sector</w:t>
            </w:r>
          </w:p>
        </w:tc>
        <w:tc>
          <w:tcPr>
            <w:tcW w:w="1919" w:type="pct"/>
          </w:tcPr>
          <w:p w14:paraId="535996C2" w14:textId="77777777" w:rsidR="00EE501D" w:rsidRPr="00C6520A" w:rsidRDefault="00EE501D" w:rsidP="00525BE0">
            <w:pPr>
              <w:spacing w:line="360" w:lineRule="auto"/>
              <w:jc w:val="both"/>
              <w:rPr>
                <w:sz w:val="20"/>
                <w:szCs w:val="20"/>
              </w:rPr>
            </w:pPr>
            <w:r>
              <w:rPr>
                <w:sz w:val="20"/>
                <w:szCs w:val="20"/>
              </w:rPr>
              <w:t>Evaluation and literature review; narrative ‘experiential’ methodology</w:t>
            </w:r>
          </w:p>
        </w:tc>
        <w:tc>
          <w:tcPr>
            <w:tcW w:w="530" w:type="pct"/>
          </w:tcPr>
          <w:p w14:paraId="2EF98272"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61DEB301" w14:textId="77777777" w:rsidTr="00A77C56">
        <w:trPr>
          <w:trHeight w:val="236"/>
        </w:trPr>
        <w:tc>
          <w:tcPr>
            <w:tcW w:w="768" w:type="pct"/>
          </w:tcPr>
          <w:p w14:paraId="77270443" w14:textId="77777777" w:rsidR="00EE501D" w:rsidRPr="00C6520A" w:rsidRDefault="00EE501D" w:rsidP="00525BE0">
            <w:pPr>
              <w:spacing w:line="360" w:lineRule="auto"/>
              <w:jc w:val="both"/>
              <w:rPr>
                <w:sz w:val="20"/>
                <w:szCs w:val="20"/>
              </w:rPr>
            </w:pPr>
            <w:r>
              <w:rPr>
                <w:sz w:val="20"/>
                <w:szCs w:val="20"/>
              </w:rPr>
              <w:t>Gaynor et al. (2012)</w:t>
            </w:r>
          </w:p>
        </w:tc>
        <w:tc>
          <w:tcPr>
            <w:tcW w:w="336" w:type="pct"/>
          </w:tcPr>
          <w:p w14:paraId="2EDB7879" w14:textId="77777777" w:rsidR="00EE501D" w:rsidRDefault="00EE501D" w:rsidP="00525BE0">
            <w:pPr>
              <w:spacing w:line="360" w:lineRule="auto"/>
              <w:jc w:val="both"/>
              <w:rPr>
                <w:sz w:val="20"/>
                <w:szCs w:val="20"/>
              </w:rPr>
            </w:pPr>
            <w:r>
              <w:rPr>
                <w:sz w:val="20"/>
                <w:szCs w:val="20"/>
              </w:rPr>
              <w:t>England</w:t>
            </w:r>
          </w:p>
        </w:tc>
        <w:tc>
          <w:tcPr>
            <w:tcW w:w="807" w:type="pct"/>
          </w:tcPr>
          <w:p w14:paraId="34A996CB" w14:textId="77777777" w:rsidR="00EE501D" w:rsidRPr="00C6520A" w:rsidRDefault="00EE501D" w:rsidP="00525BE0">
            <w:pPr>
              <w:spacing w:line="360" w:lineRule="auto"/>
              <w:jc w:val="both"/>
              <w:rPr>
                <w:sz w:val="20"/>
                <w:szCs w:val="20"/>
              </w:rPr>
            </w:pPr>
            <w:r>
              <w:rPr>
                <w:sz w:val="20"/>
                <w:szCs w:val="20"/>
              </w:rPr>
              <w:t>Mergers</w:t>
            </w:r>
          </w:p>
        </w:tc>
        <w:tc>
          <w:tcPr>
            <w:tcW w:w="639" w:type="pct"/>
          </w:tcPr>
          <w:p w14:paraId="690AC59B" w14:textId="77777777" w:rsidR="00EE501D" w:rsidRDefault="00EE501D" w:rsidP="00525BE0">
            <w:pPr>
              <w:spacing w:line="360" w:lineRule="auto"/>
              <w:jc w:val="both"/>
              <w:rPr>
                <w:sz w:val="20"/>
                <w:szCs w:val="20"/>
              </w:rPr>
            </w:pPr>
            <w:r>
              <w:rPr>
                <w:sz w:val="20"/>
                <w:szCs w:val="20"/>
              </w:rPr>
              <w:t>Acute care</w:t>
            </w:r>
          </w:p>
        </w:tc>
        <w:tc>
          <w:tcPr>
            <w:tcW w:w="1919" w:type="pct"/>
          </w:tcPr>
          <w:p w14:paraId="5D4BBFAC" w14:textId="77777777" w:rsidR="00EE501D" w:rsidRDefault="00EE501D" w:rsidP="00525BE0">
            <w:pPr>
              <w:spacing w:line="360" w:lineRule="auto"/>
              <w:jc w:val="both"/>
              <w:rPr>
                <w:sz w:val="20"/>
                <w:szCs w:val="20"/>
              </w:rPr>
            </w:pPr>
            <w:r>
              <w:rPr>
                <w:sz w:val="20"/>
                <w:szCs w:val="20"/>
              </w:rPr>
              <w:t>Case control study</w:t>
            </w:r>
          </w:p>
        </w:tc>
        <w:tc>
          <w:tcPr>
            <w:tcW w:w="530" w:type="pct"/>
          </w:tcPr>
          <w:p w14:paraId="3E0506B2" w14:textId="77777777" w:rsidR="00EE501D" w:rsidRDefault="00EE501D" w:rsidP="00525BE0">
            <w:pPr>
              <w:spacing w:line="360" w:lineRule="auto"/>
              <w:jc w:val="both"/>
              <w:rPr>
                <w:sz w:val="20"/>
                <w:szCs w:val="20"/>
              </w:rPr>
            </w:pPr>
            <w:r>
              <w:rPr>
                <w:sz w:val="20"/>
                <w:szCs w:val="20"/>
              </w:rPr>
              <w:t>Gleaning</w:t>
            </w:r>
          </w:p>
        </w:tc>
      </w:tr>
      <w:tr w:rsidR="00EE501D" w:rsidRPr="00C6520A" w14:paraId="272F4887" w14:textId="77777777" w:rsidTr="00A77C56">
        <w:trPr>
          <w:trHeight w:val="236"/>
        </w:trPr>
        <w:tc>
          <w:tcPr>
            <w:tcW w:w="768" w:type="pct"/>
          </w:tcPr>
          <w:p w14:paraId="37860D1F" w14:textId="77777777" w:rsidR="00EE501D" w:rsidRDefault="00EE501D" w:rsidP="00525BE0">
            <w:pPr>
              <w:spacing w:line="360" w:lineRule="auto"/>
              <w:jc w:val="both"/>
              <w:rPr>
                <w:sz w:val="20"/>
                <w:szCs w:val="20"/>
              </w:rPr>
            </w:pPr>
            <w:r>
              <w:rPr>
                <w:sz w:val="20"/>
                <w:szCs w:val="20"/>
              </w:rPr>
              <w:t>Glasby and Dickinson (2009)</w:t>
            </w:r>
          </w:p>
        </w:tc>
        <w:tc>
          <w:tcPr>
            <w:tcW w:w="336" w:type="pct"/>
          </w:tcPr>
          <w:p w14:paraId="2CB23D59" w14:textId="77777777" w:rsidR="00EE501D" w:rsidRDefault="00EE501D" w:rsidP="00525BE0">
            <w:pPr>
              <w:spacing w:line="360" w:lineRule="auto"/>
              <w:jc w:val="both"/>
              <w:rPr>
                <w:sz w:val="20"/>
                <w:szCs w:val="20"/>
              </w:rPr>
            </w:pPr>
            <w:r>
              <w:rPr>
                <w:sz w:val="20"/>
                <w:szCs w:val="20"/>
              </w:rPr>
              <w:t>England</w:t>
            </w:r>
          </w:p>
        </w:tc>
        <w:tc>
          <w:tcPr>
            <w:tcW w:w="807" w:type="pct"/>
          </w:tcPr>
          <w:p w14:paraId="4CE84610" w14:textId="77777777" w:rsidR="00EE501D" w:rsidRDefault="00EE501D" w:rsidP="00525BE0">
            <w:pPr>
              <w:spacing w:line="360" w:lineRule="auto"/>
              <w:jc w:val="both"/>
              <w:rPr>
                <w:sz w:val="20"/>
                <w:szCs w:val="20"/>
              </w:rPr>
            </w:pPr>
            <w:r>
              <w:rPr>
                <w:sz w:val="20"/>
                <w:szCs w:val="20"/>
              </w:rPr>
              <w:t>Partnerships (mixed)</w:t>
            </w:r>
          </w:p>
        </w:tc>
        <w:tc>
          <w:tcPr>
            <w:tcW w:w="639" w:type="pct"/>
          </w:tcPr>
          <w:p w14:paraId="05D4BFA3"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4DC8924D" w14:textId="77777777" w:rsidR="00EE501D" w:rsidRDefault="00EE501D" w:rsidP="00525BE0">
            <w:pPr>
              <w:spacing w:line="360" w:lineRule="auto"/>
              <w:jc w:val="both"/>
              <w:rPr>
                <w:sz w:val="20"/>
                <w:szCs w:val="20"/>
              </w:rPr>
            </w:pPr>
            <w:r>
              <w:rPr>
                <w:sz w:val="20"/>
                <w:szCs w:val="20"/>
              </w:rPr>
              <w:t>Review</w:t>
            </w:r>
          </w:p>
        </w:tc>
        <w:tc>
          <w:tcPr>
            <w:tcW w:w="530" w:type="pct"/>
          </w:tcPr>
          <w:p w14:paraId="22A175C2" w14:textId="77777777" w:rsidR="00EE501D" w:rsidRDefault="00EE501D" w:rsidP="00525BE0">
            <w:pPr>
              <w:spacing w:line="360" w:lineRule="auto"/>
              <w:jc w:val="both"/>
              <w:rPr>
                <w:sz w:val="20"/>
                <w:szCs w:val="20"/>
              </w:rPr>
            </w:pPr>
            <w:r>
              <w:rPr>
                <w:sz w:val="20"/>
                <w:szCs w:val="20"/>
              </w:rPr>
              <w:t>Gleaning</w:t>
            </w:r>
          </w:p>
        </w:tc>
      </w:tr>
      <w:tr w:rsidR="00EE501D" w:rsidRPr="00C6520A" w14:paraId="5DFF7AF4" w14:textId="77777777" w:rsidTr="00A77C56">
        <w:trPr>
          <w:trHeight w:val="236"/>
        </w:trPr>
        <w:tc>
          <w:tcPr>
            <w:tcW w:w="768" w:type="pct"/>
          </w:tcPr>
          <w:p w14:paraId="5BFE2D98" w14:textId="04810C53"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{"citationItems":[{"id":"ITEM-1","itemData":{"ISSN":"1361-9322","abstract":"This case study compares two approaches to joint commissioning and describes the lessons learnt. The first is an example of joint commissioning at the level of the community mental health team and the second describes joint commissioning by an NHS trust and social services department.","author":[{"dropping-particle":"","family":"Gulliver","given":"Pauline","non-dropping-particle":"","parse-names":false,"suffix":""}],"container-title":"Mental Health Review","id":"ITEM-1","issue":"3","issued":{"date-parts":[["1999"]]},"page":"21-23","publisher":"Pier Professional","title":"Two Approaches to the Joint Commissioning of Mental Health Services","type":"article-journal","volume":"4"},"uris":["http://www.mendeley.com/documents/?uuid=be1f94af-ec15-4b35-b4b5-3d917e35d04d"]}],"mendeley":{"formattedCitation":"&lt;sup&gt;169&lt;/sup&gt;","manualFormatting":"Gulliver (1999)","plainTextFormattedCitation":"169","previouslyFormattedCitation":"&lt;sup&gt;169&lt;/sup&gt;"},"properties":{"noteIndex":0},"schema":"https://github.com/citation-style-language/schema/raw/master/csl-citation.json"}</w:instrText>
            </w:r>
            <w:r w:rsidRPr="00C6520A">
              <w:rPr>
                <w:sz w:val="20"/>
                <w:szCs w:val="20"/>
              </w:rPr>
              <w:fldChar w:fldCharType="separate"/>
            </w:r>
            <w:r w:rsidRPr="00E4022F">
              <w:rPr>
                <w:noProof/>
                <w:sz w:val="20"/>
                <w:szCs w:val="20"/>
              </w:rPr>
              <w:t>Gulliver</w:t>
            </w:r>
            <w:r>
              <w:rPr>
                <w:noProof/>
                <w:sz w:val="20"/>
                <w:szCs w:val="20"/>
              </w:rPr>
              <w:t xml:space="preserve"> (</w:t>
            </w:r>
            <w:r w:rsidRPr="00E4022F">
              <w:rPr>
                <w:noProof/>
                <w:sz w:val="20"/>
                <w:szCs w:val="20"/>
              </w:rPr>
              <w:t>1999)</w:t>
            </w:r>
            <w:r w:rsidRPr="00C6520A">
              <w:rPr>
                <w:sz w:val="20"/>
                <w:szCs w:val="20"/>
              </w:rPr>
              <w:fldChar w:fldCharType="end"/>
            </w:r>
          </w:p>
        </w:tc>
        <w:tc>
          <w:tcPr>
            <w:tcW w:w="336" w:type="pct"/>
          </w:tcPr>
          <w:p w14:paraId="41281628"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39E6D2A0" w14:textId="77777777" w:rsidR="00EE501D" w:rsidRPr="00C6520A" w:rsidRDefault="00EE501D" w:rsidP="00525BE0">
            <w:pPr>
              <w:spacing w:line="360" w:lineRule="auto"/>
              <w:jc w:val="both"/>
              <w:rPr>
                <w:sz w:val="20"/>
                <w:szCs w:val="20"/>
              </w:rPr>
            </w:pPr>
            <w:r w:rsidRPr="00C6520A">
              <w:rPr>
                <w:sz w:val="20"/>
                <w:szCs w:val="20"/>
              </w:rPr>
              <w:t>Joint commissioning, mental health</w:t>
            </w:r>
          </w:p>
        </w:tc>
        <w:tc>
          <w:tcPr>
            <w:tcW w:w="639" w:type="pct"/>
          </w:tcPr>
          <w:p w14:paraId="672B12A6"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7A7751ED" w14:textId="77777777" w:rsidR="00EE501D" w:rsidRPr="00C6520A" w:rsidRDefault="00EE501D" w:rsidP="00525BE0">
            <w:pPr>
              <w:spacing w:line="360" w:lineRule="auto"/>
              <w:jc w:val="both"/>
              <w:rPr>
                <w:sz w:val="20"/>
                <w:szCs w:val="20"/>
              </w:rPr>
            </w:pPr>
            <w:r>
              <w:rPr>
                <w:sz w:val="20"/>
                <w:szCs w:val="20"/>
              </w:rPr>
              <w:t>Evaluation; narrative ‘experiential’ methodology</w:t>
            </w:r>
          </w:p>
        </w:tc>
        <w:tc>
          <w:tcPr>
            <w:tcW w:w="530" w:type="pct"/>
          </w:tcPr>
          <w:p w14:paraId="4E8EF951" w14:textId="77777777" w:rsidR="00EE501D" w:rsidRDefault="00EE501D" w:rsidP="00525BE0">
            <w:pPr>
              <w:spacing w:line="360" w:lineRule="auto"/>
              <w:jc w:val="both"/>
              <w:rPr>
                <w:sz w:val="20"/>
                <w:szCs w:val="20"/>
              </w:rPr>
            </w:pPr>
            <w:r>
              <w:rPr>
                <w:sz w:val="20"/>
                <w:szCs w:val="20"/>
              </w:rPr>
              <w:t>Refinement</w:t>
            </w:r>
          </w:p>
        </w:tc>
      </w:tr>
      <w:tr w:rsidR="00EE501D" w:rsidRPr="00C6520A" w14:paraId="6D47A3CE" w14:textId="77777777" w:rsidTr="00A77C56">
        <w:trPr>
          <w:trHeight w:val="236"/>
        </w:trPr>
        <w:tc>
          <w:tcPr>
            <w:tcW w:w="768" w:type="pct"/>
          </w:tcPr>
          <w:p w14:paraId="2D1CDD60" w14:textId="7C65E6C0"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{"citationItems":[{"id":"ITEM-1","itemData":{"DOI":"10.1108/14769018200100004","ISSN":"1461-5436","abstract":"This paper presents the second set of results from the evaluation of the implementation of joint commissioning and combined provision of mental health services in Somerset. Comparisons with baseline data are made and key emerging questions are identified. © 2001, MCB UP Limited","author":[{"dropping-particle":"","family":"Gulliver","given":"Pauline","non-dropping-particle":"","parse-names":false,"suffix":""},{"dropping-particle":"","family":"Peck","given":"Edward","non-dropping-particle":"","parse-names":false,"suffix":""},{"dropping-particle":"","family":"Towell","given":"David","non-dropping-particle":"","parse-names":false,"suffix":""}],"container-title":"Journal of Integrated Care","id":"ITEM-1","issue":"1","issued":{"date-parts":[["2001"]]},"page":"14-22","publisher":"Pavilion","title":"Evaluation of the Implementation of the Mental Health Review in Somerset: Results after Fifteen Months of Data Collection","type":"article-journal","volume":"9"},"uris":["http://www.mendeley.com/documents/?uuid=3ce4633d-07d5-42e4-9787-41576695d0e1"]}],"mendeley":{"formattedCitation":"&lt;sup&gt;170&lt;/sup&gt;","manualFormatting":"Gulliver, Peck and Towell (2001)","plainTextFormattedCitation":"170","previouslyFormattedCitation":"&lt;sup&gt;170&lt;/sup&gt;"},"properties":{"noteIndex":0},"schema":"https://github.com/citation-style-language/schema/raw/master/csl-citation.json"}</w:instrText>
            </w:r>
            <w:r w:rsidRPr="00C6520A">
              <w:rPr>
                <w:sz w:val="20"/>
                <w:szCs w:val="20"/>
              </w:rPr>
              <w:fldChar w:fldCharType="separate"/>
            </w:r>
            <w:r w:rsidRPr="00E4022F">
              <w:rPr>
                <w:noProof/>
                <w:sz w:val="20"/>
                <w:szCs w:val="20"/>
              </w:rPr>
              <w:t>Gulliver, Peck and Towell</w:t>
            </w:r>
            <w:r>
              <w:rPr>
                <w:noProof/>
                <w:sz w:val="20"/>
                <w:szCs w:val="20"/>
              </w:rPr>
              <w:t xml:space="preserve"> </w:t>
            </w:r>
            <w:r w:rsidRPr="00C6520A">
              <w:rPr>
                <w:noProof/>
                <w:sz w:val="20"/>
                <w:szCs w:val="20"/>
              </w:rPr>
              <w:t>(</w:t>
            </w:r>
            <w:r w:rsidRPr="00E4022F">
              <w:rPr>
                <w:noProof/>
                <w:sz w:val="20"/>
                <w:szCs w:val="20"/>
              </w:rPr>
              <w:t>2001)</w:t>
            </w:r>
            <w:r w:rsidRPr="00C6520A">
              <w:rPr>
                <w:sz w:val="20"/>
                <w:szCs w:val="20"/>
              </w:rPr>
              <w:fldChar w:fldCharType="end"/>
            </w:r>
          </w:p>
        </w:tc>
        <w:tc>
          <w:tcPr>
            <w:tcW w:w="336" w:type="pct"/>
          </w:tcPr>
          <w:p w14:paraId="47657395"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1A0FEE74" w14:textId="77777777" w:rsidR="00EE501D" w:rsidRPr="00C6520A" w:rsidRDefault="00EE501D" w:rsidP="00525BE0">
            <w:pPr>
              <w:spacing w:line="360" w:lineRule="auto"/>
              <w:jc w:val="both"/>
              <w:rPr>
                <w:sz w:val="20"/>
                <w:szCs w:val="20"/>
              </w:rPr>
            </w:pPr>
            <w:r w:rsidRPr="00C6520A">
              <w:rPr>
                <w:sz w:val="20"/>
                <w:szCs w:val="20"/>
              </w:rPr>
              <w:t>Joint commissioning, mental health</w:t>
            </w:r>
          </w:p>
        </w:tc>
        <w:tc>
          <w:tcPr>
            <w:tcW w:w="639" w:type="pct"/>
          </w:tcPr>
          <w:p w14:paraId="703B8B04"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3750FF1B" w14:textId="77777777" w:rsidR="00EE501D" w:rsidRPr="00C6520A" w:rsidRDefault="00EE501D" w:rsidP="00525BE0">
            <w:pPr>
              <w:spacing w:line="360" w:lineRule="auto"/>
              <w:jc w:val="both"/>
              <w:rPr>
                <w:sz w:val="20"/>
                <w:szCs w:val="20"/>
              </w:rPr>
            </w:pPr>
            <w:r>
              <w:rPr>
                <w:sz w:val="20"/>
                <w:szCs w:val="20"/>
              </w:rPr>
              <w:t>Evaluation of a mental health service; utilising interviews with service users &amp; staff, postal surveys, focus groups, observations, and documentary analyses</w:t>
            </w:r>
          </w:p>
        </w:tc>
        <w:tc>
          <w:tcPr>
            <w:tcW w:w="530" w:type="pct"/>
          </w:tcPr>
          <w:p w14:paraId="395782F4" w14:textId="77777777" w:rsidR="00EE501D" w:rsidRDefault="00EE501D" w:rsidP="00525BE0">
            <w:pPr>
              <w:spacing w:line="360" w:lineRule="auto"/>
              <w:jc w:val="both"/>
              <w:rPr>
                <w:sz w:val="20"/>
                <w:szCs w:val="20"/>
              </w:rPr>
            </w:pPr>
            <w:r>
              <w:rPr>
                <w:sz w:val="20"/>
                <w:szCs w:val="20"/>
              </w:rPr>
              <w:t>Refinement</w:t>
            </w:r>
          </w:p>
        </w:tc>
      </w:tr>
      <w:tr w:rsidR="00EE501D" w:rsidRPr="00C6520A" w14:paraId="088CA678" w14:textId="77777777" w:rsidTr="00A77C56">
        <w:trPr>
          <w:trHeight w:val="236"/>
        </w:trPr>
        <w:tc>
          <w:tcPr>
            <w:tcW w:w="768" w:type="pct"/>
          </w:tcPr>
          <w:p w14:paraId="7063F584" w14:textId="6A9EA466"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{"citationItems":[{"id":"ITEM-1","itemData":{"ISSN":"0361-6274","abstract":"BACKGROUND: Collaborative forms of organizations such as multisectoral health care alliances play an increasingly prominent role in the U.S. health care system. A key feature of these organizations highlighted in previous research is leadership, yet little research has examined what happens when there is a change in leadership. PURPOSE: The aim of this study was to examine the relationship between leadership transitions in an alliance and member assessments of the benefits and costs of participation, indicators of the value that members derive from their involvement in the alliance. METHODOLOGY/APPROACH: The study used quantitative data collected from three rounds of surveys of alliance members participating in the Robert Wood Johnson Foundation's Aligning Forces for Quality Program. Qualitative interview data supplemented this analysis by providing examples of why leadership transitions may affect participation benefits and costs. FINDINGS: Quantitative analysis indicated that alliance members who experienced a change in leadership reported both higher and lower levels of participation benefits and costs, depending on the type of leadership change (i.e., alliance leader vs. programmatic leader). Qualitative analysis suggested that the scope of responsibilities of different types of leaders plays an important role in how members perceive changes. Likewise, interviews indicated that timing influences how disruptive a leadership transition is and whether it is perceived positively or negatively. PRACTICE IMPLICATIONS: Leadership transitions present both challenges and opportunities; whether the effects are felt positively or negatively depends on when a transition occurs and how it is handled by incoming leaders and remaining members. Furthermore, different types of members report higher levels of participation benefits and lower levels of participation costs, suggesting that efforts to maintain a sense of alliance value during times of transitions may be able to target certain types of individuals. [Abstract]","author":[{"dropping-particle":"","family":"Hearld","given":"Larry","non-dropping-particle":"","parse-names":false,"suffix":""},{"dropping-particle":"","family":"Alexander","given":"Jeffrey","non-dropping-particle":"","parse-names":false,"suffix":""},{"dropping-particle":"","family":"Shi","given":"Yunfeng","non-dropping-particle":"","parse-names":false,"suffix":""}],"container-title":"Health Care Management Review","id":"ITEM-1","issue":"4","issued":{"date-parts":[["2015"]]},"note":"Perspectives on leadership in US alliances","page":"185-274","publisher":"2015","title":"Leadership transitions in multisectoral health care alliances : implications for member perceptions of participation value.","type":"article-journal","volume":"40"},"uris":["http://www.mendeley.com/documents/?uuid=f89a782e-8deb-4186-b5d0-2ca5fcb6f755"]}],"mendeley":{"formattedCitation":"&lt;sup&gt;171&lt;/sup&gt;","manualFormatting":"Hearld, Alexander and Shi (2015)","plainTextFormattedCitation":"171","previouslyFormattedCitation":"&lt;sup&gt;171&lt;/sup&gt;"},"properties":{"noteIndex":0},"schema":"https://github.com/citation-style-language/schema/raw/master/csl-citation.json"}</w:instrText>
            </w:r>
            <w:r w:rsidRPr="00C6520A">
              <w:rPr>
                <w:sz w:val="20"/>
                <w:szCs w:val="20"/>
              </w:rPr>
              <w:fldChar w:fldCharType="separate"/>
            </w:r>
            <w:r w:rsidRPr="00E4022F">
              <w:rPr>
                <w:noProof/>
                <w:sz w:val="20"/>
                <w:szCs w:val="20"/>
              </w:rPr>
              <w:t>Hearld, Alexander and Shi</w:t>
            </w:r>
            <w:r>
              <w:rPr>
                <w:noProof/>
                <w:sz w:val="20"/>
                <w:szCs w:val="20"/>
              </w:rPr>
              <w:t xml:space="preserve"> </w:t>
            </w:r>
            <w:r w:rsidRPr="00C6520A">
              <w:rPr>
                <w:noProof/>
                <w:sz w:val="20"/>
                <w:szCs w:val="20"/>
              </w:rPr>
              <w:t>(</w:t>
            </w:r>
            <w:r w:rsidRPr="00E4022F">
              <w:rPr>
                <w:noProof/>
                <w:sz w:val="20"/>
                <w:szCs w:val="20"/>
              </w:rPr>
              <w:t>2015)</w:t>
            </w:r>
            <w:r w:rsidRPr="00C6520A">
              <w:rPr>
                <w:sz w:val="20"/>
                <w:szCs w:val="20"/>
              </w:rPr>
              <w:fldChar w:fldCharType="end"/>
            </w:r>
          </w:p>
        </w:tc>
        <w:tc>
          <w:tcPr>
            <w:tcW w:w="336" w:type="pct"/>
          </w:tcPr>
          <w:p w14:paraId="45CEC782" w14:textId="77777777" w:rsidR="00EE501D" w:rsidRPr="00C6520A" w:rsidRDefault="00EE501D" w:rsidP="00525BE0">
            <w:pPr>
              <w:spacing w:line="360" w:lineRule="auto"/>
              <w:jc w:val="both"/>
              <w:rPr>
                <w:sz w:val="20"/>
                <w:szCs w:val="20"/>
              </w:rPr>
            </w:pPr>
            <w:r>
              <w:rPr>
                <w:sz w:val="20"/>
                <w:szCs w:val="20"/>
              </w:rPr>
              <w:t>USA</w:t>
            </w:r>
          </w:p>
        </w:tc>
        <w:tc>
          <w:tcPr>
            <w:tcW w:w="807" w:type="pct"/>
          </w:tcPr>
          <w:p w14:paraId="28C89820" w14:textId="77777777" w:rsidR="00EE501D" w:rsidRPr="00C6520A" w:rsidRDefault="00EE501D" w:rsidP="00525BE0">
            <w:pPr>
              <w:spacing w:line="360" w:lineRule="auto"/>
              <w:jc w:val="both"/>
              <w:rPr>
                <w:sz w:val="20"/>
                <w:szCs w:val="20"/>
              </w:rPr>
            </w:pPr>
            <w:r w:rsidRPr="00C6520A">
              <w:rPr>
                <w:sz w:val="20"/>
                <w:szCs w:val="20"/>
              </w:rPr>
              <w:t>Alliances</w:t>
            </w:r>
          </w:p>
        </w:tc>
        <w:tc>
          <w:tcPr>
            <w:tcW w:w="639" w:type="pct"/>
          </w:tcPr>
          <w:p w14:paraId="3280CB8F"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120DEED0" w14:textId="77777777" w:rsidR="00EE501D" w:rsidRPr="00C6520A" w:rsidRDefault="00EE501D" w:rsidP="00525BE0">
            <w:pPr>
              <w:spacing w:line="360" w:lineRule="auto"/>
              <w:jc w:val="both"/>
              <w:rPr>
                <w:sz w:val="20"/>
                <w:szCs w:val="20"/>
              </w:rPr>
            </w:pPr>
            <w:r>
              <w:rPr>
                <w:sz w:val="20"/>
                <w:szCs w:val="20"/>
              </w:rPr>
              <w:t>Case study of 16 alliances; quantitative data from surveys and qualitative interviews</w:t>
            </w:r>
          </w:p>
        </w:tc>
        <w:tc>
          <w:tcPr>
            <w:tcW w:w="530" w:type="pct"/>
          </w:tcPr>
          <w:p w14:paraId="3B8F6E71"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5C6DFD2D" w14:textId="77777777" w:rsidTr="00A77C56">
        <w:trPr>
          <w:trHeight w:val="236"/>
        </w:trPr>
        <w:tc>
          <w:tcPr>
            <w:tcW w:w="768" w:type="pct"/>
          </w:tcPr>
          <w:p w14:paraId="16DAECAA" w14:textId="3B993AE9"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{"citationItems":[{"id":"ITEM-1","itemData":{"DOI":"10.1111/hsc.12953","ISSN":"13652524","PMID":"32052531","abstract":"Partnering across health clinics and community organisations, while worthwhile for improving health and well-being, is challenging and time consuming. Even partnerships that have essential elements for success in place face inevitable challenges. To better understand how cross-organisational partnerships work in practice, this paper examines collaborations between six primary care clinics and community-based organisations in the United States that were part of an initiative to address late-life depression using an enhanced collaborative care model (Archstone Foundation Care Partners Project). As part of an evaluation of the Care Partners Project, 54 key informant interviews and 10 focus groups were conducted from 2015 to 2017. Additionally, more than 80 project-related documents were reviewed. Qualitative thematic analysis was used to code the transcripts and identify prominent themes in the data. Examining clinic and community organisation partnerships in practice highlighted their inherent complexity. The partnerships were fluid and constantly evolving, shaped by a multiplicity of perspectives and values, and vulnerable to unpredictability. Care Partners sites negotiated the complexity of their partnerships drawing upon three main strategies: adaptation (allowing for flexibility and rapid change); integration (providing opportunities for multi-level partnerships within and across organisations) and cultivation (fostering a commitment to the partnership and its value). These strategies provided opportunities for Care Partners collaborators to work with the inherent complexity of partnering. Intentionally acknowledging and embracing such complexity rather than trying to reduce or avoid it, may allow clinic and community collaborators to strengthen and sustain their partnerships.","author":[{"dropping-particle":"","family":"Henderson","given":"Stuart","non-dropping-particle":"","parse-names":false,"suffix":""},{"dropping-particle":"","family":"Wagner","given":"Jenny L.","non-dropping-particle":"","parse-names":false,"suffix":""},{"dropping-particle":"","family":"Gosdin","given":"Melissa M.","non-dropping-particle":"","parse-names":false,"suffix":""},{"dropping-particle":"","family":"Hoeft","given":"Theresa J.","non-dropping-particle":"","parse-names":false,"suffix":""},{"dropping-particle":"","family":"Unützer","given":"Jürgen","non-dropping-particle":"","parse-names":false,"suffix":""},{"dropping-particle":"","family":"Rath","given":"Laura","non-dropping-particle":"","parse-names":false,"suffix":""},{"dropping-particle":"","family":"Hinton","given":"Ladson","non-dropping-particle":"","parse-names":false,"suffix":""}],"container-title":"Health and Social Care in the Community","id":"ITEM-1","issue":"4","issued":{"date-parts":[["2020"]]},"page":"1199-1208","title":"Complexity in partnerships: A qualitative examination of collaborative depression care in primary care clinics and community-based organisations in California, United States","type":"article-journal","volume":"28"},"uris":["http://www.mendeley.com/documents/?uuid=aaf32efb-2135-4ea7-9214-01ebc21544d4"]}],"mendeley":{"formattedCitation":"&lt;sup&gt;172&lt;/sup&gt;","manualFormatting":"Henderson et al. (2020)","plainTextFormattedCitation":"172","previouslyFormattedCitation":"&lt;sup&gt;172&lt;/sup&gt;"},"properties":{"noteIndex":0},"schema":"https://github.com/citation-style-language/schema/raw/master/csl-citation.json"}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Henderson </w:t>
            </w:r>
            <w:r w:rsidRPr="00E4022F">
              <w:rPr>
                <w:i/>
                <w:noProof/>
                <w:sz w:val="20"/>
                <w:szCs w:val="20"/>
              </w:rPr>
              <w:t>et al.</w:t>
            </w:r>
            <w:r>
              <w:rPr>
                <w:i/>
                <w:noProof/>
                <w:sz w:val="20"/>
                <w:szCs w:val="20"/>
              </w:rPr>
              <w:t xml:space="preserve"> </w:t>
            </w:r>
            <w:r w:rsidRPr="00C6520A">
              <w:rPr>
                <w:noProof/>
                <w:sz w:val="20"/>
                <w:szCs w:val="20"/>
              </w:rPr>
              <w:t>(</w:t>
            </w:r>
            <w:r w:rsidRPr="00E4022F">
              <w:rPr>
                <w:noProof/>
                <w:sz w:val="20"/>
                <w:szCs w:val="20"/>
              </w:rPr>
              <w:t>2020)</w:t>
            </w:r>
            <w:r w:rsidRPr="00C6520A">
              <w:rPr>
                <w:sz w:val="20"/>
                <w:szCs w:val="20"/>
              </w:rPr>
              <w:fldChar w:fldCharType="end"/>
            </w:r>
          </w:p>
        </w:tc>
        <w:tc>
          <w:tcPr>
            <w:tcW w:w="336" w:type="pct"/>
          </w:tcPr>
          <w:p w14:paraId="67B5E988" w14:textId="77777777" w:rsidR="00EE501D" w:rsidRPr="00C6520A" w:rsidRDefault="00EE501D" w:rsidP="00525BE0">
            <w:pPr>
              <w:spacing w:line="360" w:lineRule="auto"/>
              <w:jc w:val="both"/>
              <w:rPr>
                <w:sz w:val="20"/>
                <w:szCs w:val="20"/>
              </w:rPr>
            </w:pPr>
            <w:r>
              <w:rPr>
                <w:sz w:val="20"/>
                <w:szCs w:val="20"/>
              </w:rPr>
              <w:t>USA</w:t>
            </w:r>
          </w:p>
        </w:tc>
        <w:tc>
          <w:tcPr>
            <w:tcW w:w="807" w:type="pct"/>
          </w:tcPr>
          <w:p w14:paraId="48CCF3F4" w14:textId="77777777" w:rsidR="00EE501D" w:rsidRPr="00C6520A" w:rsidRDefault="00EE501D" w:rsidP="00525BE0">
            <w:pPr>
              <w:spacing w:line="360" w:lineRule="auto"/>
              <w:jc w:val="both"/>
              <w:rPr>
                <w:sz w:val="20"/>
                <w:szCs w:val="20"/>
              </w:rPr>
            </w:pPr>
            <w:r w:rsidRPr="00C6520A">
              <w:rPr>
                <w:sz w:val="20"/>
                <w:szCs w:val="20"/>
              </w:rPr>
              <w:t>Primary care network</w:t>
            </w:r>
          </w:p>
        </w:tc>
        <w:tc>
          <w:tcPr>
            <w:tcW w:w="639" w:type="pct"/>
          </w:tcPr>
          <w:p w14:paraId="79B7A08B"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1496EA96" w14:textId="77777777" w:rsidR="00EE501D" w:rsidRPr="00C6520A" w:rsidRDefault="00EE501D" w:rsidP="00525BE0">
            <w:pPr>
              <w:spacing w:line="360" w:lineRule="auto"/>
              <w:jc w:val="both"/>
              <w:rPr>
                <w:sz w:val="20"/>
                <w:szCs w:val="20"/>
              </w:rPr>
            </w:pPr>
            <w:r>
              <w:rPr>
                <w:sz w:val="20"/>
                <w:szCs w:val="20"/>
              </w:rPr>
              <w:t>Evaluations of six primary care clinics and community-based organisations; qualitative methods comprising 54 interviews and 10 focus groups, with review of 80 documents</w:t>
            </w:r>
          </w:p>
        </w:tc>
        <w:tc>
          <w:tcPr>
            <w:tcW w:w="530" w:type="pct"/>
          </w:tcPr>
          <w:p w14:paraId="7CB23A28" w14:textId="77777777" w:rsidR="00EE501D" w:rsidRDefault="00EE501D" w:rsidP="00525BE0">
            <w:pPr>
              <w:spacing w:line="360" w:lineRule="auto"/>
              <w:jc w:val="both"/>
              <w:rPr>
                <w:sz w:val="20"/>
                <w:szCs w:val="20"/>
              </w:rPr>
            </w:pPr>
            <w:r>
              <w:rPr>
                <w:sz w:val="20"/>
                <w:szCs w:val="20"/>
              </w:rPr>
              <w:t>Refinement</w:t>
            </w:r>
          </w:p>
        </w:tc>
      </w:tr>
      <w:tr w:rsidR="00EE501D" w:rsidRPr="00C6520A" w14:paraId="43D3F275" w14:textId="77777777" w:rsidTr="00A77C56">
        <w:trPr>
          <w:trHeight w:val="236"/>
        </w:trPr>
        <w:tc>
          <w:tcPr>
            <w:tcW w:w="768" w:type="pct"/>
          </w:tcPr>
          <w:p w14:paraId="02968FE0" w14:textId="77777777" w:rsidR="00EE501D" w:rsidRPr="00C6520A" w:rsidRDefault="00EE501D" w:rsidP="00525BE0">
            <w:pPr>
              <w:spacing w:line="360" w:lineRule="auto"/>
              <w:jc w:val="both"/>
              <w:rPr>
                <w:sz w:val="20"/>
                <w:szCs w:val="20"/>
              </w:rPr>
            </w:pPr>
            <w:r>
              <w:rPr>
                <w:sz w:val="20"/>
                <w:szCs w:val="20"/>
              </w:rPr>
              <w:t>Hudson (1999)</w:t>
            </w:r>
          </w:p>
        </w:tc>
        <w:tc>
          <w:tcPr>
            <w:tcW w:w="336" w:type="pct"/>
          </w:tcPr>
          <w:p w14:paraId="651A46C2" w14:textId="77777777" w:rsidR="00EE501D" w:rsidRDefault="00EE501D" w:rsidP="00525BE0">
            <w:pPr>
              <w:spacing w:line="360" w:lineRule="auto"/>
              <w:jc w:val="both"/>
              <w:rPr>
                <w:sz w:val="20"/>
                <w:szCs w:val="20"/>
              </w:rPr>
            </w:pPr>
            <w:r>
              <w:rPr>
                <w:sz w:val="20"/>
                <w:szCs w:val="20"/>
              </w:rPr>
              <w:t>Mixed</w:t>
            </w:r>
          </w:p>
        </w:tc>
        <w:tc>
          <w:tcPr>
            <w:tcW w:w="807" w:type="pct"/>
          </w:tcPr>
          <w:p w14:paraId="3C197E22" w14:textId="77777777" w:rsidR="00EE501D" w:rsidRPr="00C6520A" w:rsidRDefault="00EE501D" w:rsidP="00525BE0">
            <w:pPr>
              <w:spacing w:line="360" w:lineRule="auto"/>
              <w:jc w:val="both"/>
              <w:rPr>
                <w:sz w:val="20"/>
                <w:szCs w:val="20"/>
              </w:rPr>
            </w:pPr>
            <w:r>
              <w:rPr>
                <w:sz w:val="20"/>
                <w:szCs w:val="20"/>
              </w:rPr>
              <w:t>Partnerships (mixed)</w:t>
            </w:r>
          </w:p>
        </w:tc>
        <w:tc>
          <w:tcPr>
            <w:tcW w:w="639" w:type="pct"/>
          </w:tcPr>
          <w:p w14:paraId="3908C049" w14:textId="77777777" w:rsidR="00EE501D" w:rsidRDefault="00EE501D" w:rsidP="00525BE0">
            <w:pPr>
              <w:spacing w:line="360" w:lineRule="auto"/>
              <w:jc w:val="both"/>
              <w:rPr>
                <w:sz w:val="20"/>
                <w:szCs w:val="20"/>
              </w:rPr>
            </w:pPr>
            <w:r>
              <w:rPr>
                <w:sz w:val="20"/>
                <w:szCs w:val="20"/>
              </w:rPr>
              <w:t>Public sector</w:t>
            </w:r>
          </w:p>
        </w:tc>
        <w:tc>
          <w:tcPr>
            <w:tcW w:w="1919" w:type="pct"/>
          </w:tcPr>
          <w:p w14:paraId="1FC57382" w14:textId="77777777" w:rsidR="00EE501D" w:rsidRDefault="00EE501D" w:rsidP="00525BE0">
            <w:pPr>
              <w:spacing w:line="360" w:lineRule="auto"/>
              <w:jc w:val="both"/>
              <w:rPr>
                <w:sz w:val="20"/>
                <w:szCs w:val="20"/>
              </w:rPr>
            </w:pPr>
            <w:r>
              <w:rPr>
                <w:sz w:val="20"/>
                <w:szCs w:val="20"/>
              </w:rPr>
              <w:t>Review</w:t>
            </w:r>
          </w:p>
        </w:tc>
        <w:tc>
          <w:tcPr>
            <w:tcW w:w="530" w:type="pct"/>
          </w:tcPr>
          <w:p w14:paraId="74ED0489" w14:textId="77777777" w:rsidR="00EE501D" w:rsidRDefault="00EE501D" w:rsidP="00525BE0">
            <w:pPr>
              <w:spacing w:line="360" w:lineRule="auto"/>
              <w:jc w:val="both"/>
              <w:rPr>
                <w:sz w:val="20"/>
                <w:szCs w:val="20"/>
              </w:rPr>
            </w:pPr>
            <w:r>
              <w:rPr>
                <w:sz w:val="20"/>
                <w:szCs w:val="20"/>
              </w:rPr>
              <w:t>Gleaning</w:t>
            </w:r>
          </w:p>
        </w:tc>
      </w:tr>
      <w:tr w:rsidR="00EE501D" w:rsidRPr="00C6520A" w14:paraId="75CEE698" w14:textId="77777777" w:rsidTr="00A77C56">
        <w:trPr>
          <w:trHeight w:val="236"/>
        </w:trPr>
        <w:tc>
          <w:tcPr>
            <w:tcW w:w="768" w:type="pct"/>
          </w:tcPr>
          <w:p w14:paraId="3509418E" w14:textId="77777777" w:rsidR="00EE501D" w:rsidRDefault="00EE501D" w:rsidP="00525BE0">
            <w:pPr>
              <w:spacing w:line="360" w:lineRule="auto"/>
              <w:jc w:val="both"/>
              <w:rPr>
                <w:sz w:val="20"/>
                <w:szCs w:val="20"/>
              </w:rPr>
            </w:pPr>
            <w:r>
              <w:rPr>
                <w:sz w:val="20"/>
                <w:szCs w:val="20"/>
              </w:rPr>
              <w:t>Hunter and Perkins (2012)</w:t>
            </w:r>
          </w:p>
        </w:tc>
        <w:tc>
          <w:tcPr>
            <w:tcW w:w="336" w:type="pct"/>
          </w:tcPr>
          <w:p w14:paraId="3F24B044" w14:textId="77777777" w:rsidR="00EE501D" w:rsidRDefault="00EE501D" w:rsidP="00525BE0">
            <w:pPr>
              <w:spacing w:line="360" w:lineRule="auto"/>
              <w:jc w:val="both"/>
              <w:rPr>
                <w:sz w:val="20"/>
                <w:szCs w:val="20"/>
              </w:rPr>
            </w:pPr>
            <w:r>
              <w:rPr>
                <w:sz w:val="20"/>
                <w:szCs w:val="20"/>
              </w:rPr>
              <w:t>England</w:t>
            </w:r>
          </w:p>
        </w:tc>
        <w:tc>
          <w:tcPr>
            <w:tcW w:w="807" w:type="pct"/>
          </w:tcPr>
          <w:p w14:paraId="7D8AE5B5" w14:textId="77777777" w:rsidR="00EE501D" w:rsidRDefault="00EE501D" w:rsidP="00525BE0">
            <w:pPr>
              <w:spacing w:line="360" w:lineRule="auto"/>
              <w:jc w:val="both"/>
              <w:rPr>
                <w:sz w:val="20"/>
                <w:szCs w:val="20"/>
              </w:rPr>
            </w:pPr>
            <w:r>
              <w:rPr>
                <w:sz w:val="20"/>
                <w:szCs w:val="20"/>
              </w:rPr>
              <w:t>Partnerships (mixed)</w:t>
            </w:r>
          </w:p>
        </w:tc>
        <w:tc>
          <w:tcPr>
            <w:tcW w:w="639" w:type="pct"/>
          </w:tcPr>
          <w:p w14:paraId="549B5C1F" w14:textId="77777777" w:rsidR="00EE501D" w:rsidRDefault="00EE501D" w:rsidP="00525BE0">
            <w:pPr>
              <w:spacing w:line="360" w:lineRule="auto"/>
              <w:jc w:val="both"/>
              <w:rPr>
                <w:sz w:val="20"/>
                <w:szCs w:val="20"/>
              </w:rPr>
            </w:pPr>
            <w:r>
              <w:rPr>
                <w:sz w:val="20"/>
                <w:szCs w:val="20"/>
              </w:rPr>
              <w:t>Public health</w:t>
            </w:r>
          </w:p>
        </w:tc>
        <w:tc>
          <w:tcPr>
            <w:tcW w:w="1919" w:type="pct"/>
          </w:tcPr>
          <w:p w14:paraId="6729E567" w14:textId="77777777" w:rsidR="00EE501D" w:rsidRDefault="00EE501D" w:rsidP="00525BE0">
            <w:pPr>
              <w:spacing w:line="360" w:lineRule="auto"/>
              <w:jc w:val="both"/>
              <w:rPr>
                <w:sz w:val="20"/>
                <w:szCs w:val="20"/>
              </w:rPr>
            </w:pPr>
            <w:r>
              <w:rPr>
                <w:sz w:val="20"/>
                <w:szCs w:val="20"/>
              </w:rPr>
              <w:t xml:space="preserve">Case study; </w:t>
            </w:r>
            <w:r w:rsidRPr="00146125">
              <w:rPr>
                <w:sz w:val="20"/>
                <w:szCs w:val="20"/>
              </w:rPr>
              <w:t>﻿three-year study of public health partnerships (2007-10) in nine localities across England involving semi-structured interviews at strategic and operational levels</w:t>
            </w:r>
          </w:p>
        </w:tc>
        <w:tc>
          <w:tcPr>
            <w:tcW w:w="530" w:type="pct"/>
          </w:tcPr>
          <w:p w14:paraId="4D529FF2" w14:textId="77777777" w:rsidR="00EE501D" w:rsidRDefault="00EE501D" w:rsidP="00525BE0">
            <w:pPr>
              <w:spacing w:line="360" w:lineRule="auto"/>
              <w:jc w:val="both"/>
              <w:rPr>
                <w:sz w:val="20"/>
                <w:szCs w:val="20"/>
              </w:rPr>
            </w:pPr>
            <w:r>
              <w:rPr>
                <w:sz w:val="20"/>
                <w:szCs w:val="20"/>
              </w:rPr>
              <w:t>Gleaning</w:t>
            </w:r>
          </w:p>
        </w:tc>
      </w:tr>
      <w:tr w:rsidR="00EE501D" w:rsidRPr="00C6520A" w14:paraId="038ADC3E" w14:textId="77777777" w:rsidTr="00A77C56">
        <w:trPr>
          <w:trHeight w:val="236"/>
        </w:trPr>
        <w:tc>
          <w:tcPr>
            <w:tcW w:w="768" w:type="pct"/>
          </w:tcPr>
          <w:p w14:paraId="1D7153B3" w14:textId="77777777" w:rsidR="00EE501D" w:rsidRDefault="00EE501D" w:rsidP="00525BE0">
            <w:pPr>
              <w:spacing w:line="360" w:lineRule="auto"/>
              <w:jc w:val="both"/>
              <w:rPr>
                <w:sz w:val="20"/>
                <w:szCs w:val="20"/>
              </w:rPr>
            </w:pPr>
            <w:r>
              <w:rPr>
                <w:sz w:val="20"/>
                <w:szCs w:val="20"/>
              </w:rPr>
              <w:t>Huxham (2003)</w:t>
            </w:r>
          </w:p>
        </w:tc>
        <w:tc>
          <w:tcPr>
            <w:tcW w:w="336" w:type="pct"/>
          </w:tcPr>
          <w:p w14:paraId="1FA4C4E2" w14:textId="77777777" w:rsidR="00EE501D" w:rsidRDefault="00EE501D" w:rsidP="00525BE0">
            <w:pPr>
              <w:spacing w:line="360" w:lineRule="auto"/>
              <w:jc w:val="both"/>
              <w:rPr>
                <w:sz w:val="20"/>
                <w:szCs w:val="20"/>
              </w:rPr>
            </w:pPr>
            <w:r>
              <w:rPr>
                <w:sz w:val="20"/>
                <w:szCs w:val="20"/>
              </w:rPr>
              <w:t>Mixed</w:t>
            </w:r>
          </w:p>
        </w:tc>
        <w:tc>
          <w:tcPr>
            <w:tcW w:w="807" w:type="pct"/>
          </w:tcPr>
          <w:p w14:paraId="0F21D730" w14:textId="77777777" w:rsidR="00EE501D" w:rsidRDefault="00EE501D" w:rsidP="00525BE0">
            <w:pPr>
              <w:spacing w:line="360" w:lineRule="auto"/>
              <w:jc w:val="both"/>
              <w:rPr>
                <w:sz w:val="20"/>
                <w:szCs w:val="20"/>
              </w:rPr>
            </w:pPr>
            <w:r>
              <w:rPr>
                <w:sz w:val="20"/>
                <w:szCs w:val="20"/>
              </w:rPr>
              <w:t>Partnerships (mixed)</w:t>
            </w:r>
          </w:p>
        </w:tc>
        <w:tc>
          <w:tcPr>
            <w:tcW w:w="639" w:type="pct"/>
          </w:tcPr>
          <w:p w14:paraId="2049120C" w14:textId="77777777" w:rsidR="00EE501D" w:rsidRDefault="00EE501D" w:rsidP="00525BE0">
            <w:pPr>
              <w:spacing w:line="360" w:lineRule="auto"/>
              <w:jc w:val="both"/>
              <w:rPr>
                <w:sz w:val="20"/>
                <w:szCs w:val="20"/>
              </w:rPr>
            </w:pPr>
            <w:r>
              <w:rPr>
                <w:sz w:val="20"/>
                <w:szCs w:val="20"/>
              </w:rPr>
              <w:t>Public sector</w:t>
            </w:r>
          </w:p>
        </w:tc>
        <w:tc>
          <w:tcPr>
            <w:tcW w:w="1919" w:type="pct"/>
          </w:tcPr>
          <w:p w14:paraId="2E462662" w14:textId="77777777" w:rsidR="00EE501D" w:rsidRDefault="00EE501D" w:rsidP="00525BE0">
            <w:pPr>
              <w:spacing w:line="360" w:lineRule="auto"/>
              <w:jc w:val="both"/>
              <w:rPr>
                <w:sz w:val="20"/>
                <w:szCs w:val="20"/>
              </w:rPr>
            </w:pPr>
            <w:r>
              <w:rPr>
                <w:sz w:val="20"/>
                <w:szCs w:val="20"/>
              </w:rPr>
              <w:t>Theoretical review</w:t>
            </w:r>
          </w:p>
        </w:tc>
        <w:tc>
          <w:tcPr>
            <w:tcW w:w="530" w:type="pct"/>
          </w:tcPr>
          <w:p w14:paraId="543B5724" w14:textId="77777777" w:rsidR="00EE501D" w:rsidRDefault="00EE501D" w:rsidP="00525BE0">
            <w:pPr>
              <w:spacing w:line="360" w:lineRule="auto"/>
              <w:jc w:val="both"/>
              <w:rPr>
                <w:sz w:val="20"/>
                <w:szCs w:val="20"/>
              </w:rPr>
            </w:pPr>
            <w:r>
              <w:rPr>
                <w:sz w:val="20"/>
                <w:szCs w:val="20"/>
              </w:rPr>
              <w:t>Gleaning</w:t>
            </w:r>
          </w:p>
        </w:tc>
      </w:tr>
      <w:tr w:rsidR="00EE501D" w:rsidRPr="00C6520A" w14:paraId="3018657B" w14:textId="77777777" w:rsidTr="00A77C56">
        <w:trPr>
          <w:trHeight w:val="236"/>
        </w:trPr>
        <w:tc>
          <w:tcPr>
            <w:tcW w:w="768" w:type="pct"/>
          </w:tcPr>
          <w:p w14:paraId="012FFA0A" w14:textId="7FDE230C"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{"citationItems":[{"id":"ITEM-1","itemData":{"ISSN":"0966-0429","abstract":"The influence of the merger of two major medical centres on the emotional well-being of nurses was investigated by use of a questionnaire on emotional distress, perception of threat, self-efficacy and emotional reactivity. Evaluations were carried out one month prior to the merger at the official announcement, and again half a year after the merger took place. Before the merger, threat perception was higher in the transferring nurses, but the difference was of borderline significance (P = 0.05). There was a significant positive correlation between threat perception and both emotional reactivity and emotional distress, and a significant negative correlation between self-efficacy and both threat perception and emotional distress (P &lt; 0.001 for all). After the merger, the transferring nurses showed more emotional distress (P = 0.009). There was a significant positive correlation between threat perception, emotional distress and negative outcome variables such as burnout and stress (P &lt; 0.001), and a significant negative correlation between threat perception and positive outcome variables such as growth (P &lt; 0.01). This study identifies some personal characteristics that can affect the way nurses deal with hospital mergers and need to be considered during organisational changes in order to maintain job satisfaction. 30 refs. [Abstract]","author":[{"dropping-particle":"","family":"Idel","given":"Menucha","non-dropping-particle":"","parse-names":false,"suffix":""}],"container-title":"Journal of Nursing Management","id":"ITEM-1","issue":"1","issued":{"date-parts":[["2003"]]},"note":"Useful for workforce","page":"59-63","title":"Influence of a merger on nurses' emotional well-being : the importance of self-efficacy and emotional reactivity.","type":"article-journal","volume":"11"},"uris":["http://www.mendeley.com/documents/?uuid=ddac9754-6b82-426f-a705-0c24f86442b3"]}],"mendeley":{"formattedCitation":"&lt;sup&gt;173&lt;/sup&gt;","manualFormatting":"Idel (2003)","plainTextFormattedCitation":"173","previouslyFormattedCitation":"&lt;sup&gt;173&lt;/sup&gt;"},"properties":{"noteIndex":0},"schema":"https://github.com/citation-style-language/schema/raw/master/csl-citation.json"}</w:instrText>
            </w:r>
            <w:r w:rsidRPr="00C6520A">
              <w:rPr>
                <w:sz w:val="20"/>
                <w:szCs w:val="20"/>
              </w:rPr>
              <w:fldChar w:fldCharType="separate"/>
            </w:r>
            <w:r w:rsidRPr="00E4022F">
              <w:rPr>
                <w:noProof/>
                <w:sz w:val="20"/>
                <w:szCs w:val="20"/>
              </w:rPr>
              <w:t>Idel</w:t>
            </w:r>
            <w:r>
              <w:rPr>
                <w:noProof/>
                <w:sz w:val="20"/>
                <w:szCs w:val="20"/>
              </w:rPr>
              <w:t xml:space="preserve"> </w:t>
            </w:r>
            <w:r w:rsidRPr="00C6520A">
              <w:rPr>
                <w:noProof/>
                <w:sz w:val="20"/>
                <w:szCs w:val="20"/>
              </w:rPr>
              <w:t>(</w:t>
            </w:r>
            <w:r w:rsidRPr="00E4022F">
              <w:rPr>
                <w:noProof/>
                <w:sz w:val="20"/>
                <w:szCs w:val="20"/>
              </w:rPr>
              <w:t>2003)</w:t>
            </w:r>
            <w:r w:rsidRPr="00C6520A">
              <w:rPr>
                <w:sz w:val="20"/>
                <w:szCs w:val="20"/>
              </w:rPr>
              <w:fldChar w:fldCharType="end"/>
            </w:r>
          </w:p>
        </w:tc>
        <w:tc>
          <w:tcPr>
            <w:tcW w:w="336" w:type="pct"/>
          </w:tcPr>
          <w:p w14:paraId="2897F7FF" w14:textId="77777777" w:rsidR="00EE501D" w:rsidRPr="00C6520A" w:rsidRDefault="00EE501D" w:rsidP="00525BE0">
            <w:pPr>
              <w:spacing w:line="360" w:lineRule="auto"/>
              <w:jc w:val="both"/>
              <w:rPr>
                <w:sz w:val="20"/>
                <w:szCs w:val="20"/>
              </w:rPr>
            </w:pPr>
            <w:r>
              <w:rPr>
                <w:sz w:val="20"/>
                <w:szCs w:val="20"/>
              </w:rPr>
              <w:t>Israel</w:t>
            </w:r>
          </w:p>
        </w:tc>
        <w:tc>
          <w:tcPr>
            <w:tcW w:w="807" w:type="pct"/>
          </w:tcPr>
          <w:p w14:paraId="6911CB7A" w14:textId="77777777" w:rsidR="00EE501D" w:rsidRPr="00C6520A" w:rsidRDefault="00EE501D" w:rsidP="00525BE0">
            <w:pPr>
              <w:spacing w:line="360" w:lineRule="auto"/>
              <w:jc w:val="both"/>
              <w:rPr>
                <w:sz w:val="20"/>
                <w:szCs w:val="20"/>
              </w:rPr>
            </w:pPr>
            <w:r w:rsidRPr="00C6520A">
              <w:rPr>
                <w:sz w:val="20"/>
                <w:szCs w:val="20"/>
              </w:rPr>
              <w:t>Merger</w:t>
            </w:r>
          </w:p>
        </w:tc>
        <w:tc>
          <w:tcPr>
            <w:tcW w:w="639" w:type="pct"/>
          </w:tcPr>
          <w:p w14:paraId="6AB7E47E" w14:textId="77777777" w:rsidR="00EE501D" w:rsidRPr="00C6520A" w:rsidRDefault="00EE501D" w:rsidP="00525BE0">
            <w:pPr>
              <w:spacing w:line="360" w:lineRule="auto"/>
              <w:jc w:val="both"/>
              <w:rPr>
                <w:sz w:val="20"/>
                <w:szCs w:val="20"/>
              </w:rPr>
            </w:pPr>
            <w:r>
              <w:rPr>
                <w:sz w:val="20"/>
                <w:szCs w:val="20"/>
              </w:rPr>
              <w:t>Acute care</w:t>
            </w:r>
          </w:p>
        </w:tc>
        <w:tc>
          <w:tcPr>
            <w:tcW w:w="1919" w:type="pct"/>
          </w:tcPr>
          <w:p w14:paraId="2BC59DC7" w14:textId="77777777" w:rsidR="00EE501D" w:rsidRPr="00C6520A" w:rsidRDefault="00EE501D" w:rsidP="00525BE0">
            <w:pPr>
              <w:spacing w:line="360" w:lineRule="auto"/>
              <w:jc w:val="both"/>
              <w:rPr>
                <w:sz w:val="20"/>
                <w:szCs w:val="20"/>
              </w:rPr>
            </w:pPr>
            <w:r>
              <w:rPr>
                <w:sz w:val="20"/>
                <w:szCs w:val="20"/>
              </w:rPr>
              <w:t>Prospective study with quantitative methods; using a questionnaire; n=128 participants</w:t>
            </w:r>
          </w:p>
        </w:tc>
        <w:tc>
          <w:tcPr>
            <w:tcW w:w="530" w:type="pct"/>
          </w:tcPr>
          <w:p w14:paraId="57429343"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2A9FA231" w14:textId="77777777" w:rsidTr="00A77C56">
        <w:trPr>
          <w:trHeight w:val="236"/>
        </w:trPr>
        <w:tc>
          <w:tcPr>
            <w:tcW w:w="768" w:type="pct"/>
          </w:tcPr>
          <w:p w14:paraId="32F9E7FE" w14:textId="6A25177A"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{"citationItems":[{"id":"ITEM-1","itemData":{"DOI":"10.12968/bjcn.2020.25.7.353","ISSN":"20522207","PMID":"32614668","abstract":"In order to meet the unique needs of local populations, health and care providers need to come together as a collective. A model of integration in line with the NHS Long Term Plan will support transformation, sustainability and meeting the increasing demands on the NHS. Due the complexity and variety of services in care communities, it is vital that organisations and the third sector acknowledge and understand one another with greater depth. Primary care networks (PCNs) support this by dissolving organisational boundaries, with services wrapping around each other and moving forward as one system. This article describes how one PCN in Wirral committed to appreciating each service's roles. By engaging regularly in different ways, members of the PCN were able build on professional relationships. The refocusing and reconnecting regularly as a collective team enabled a more streamlined approach to proactive, place-based patient care while providing professionals with improved working relationships, skill-sharing and increased job satisfaction.","author":[{"dropping-particle":"","family":"Jones","given":"Caroline","non-dropping-particle":"","parse-names":false,"suffix":""}],"container-title":"British Journal of Community Nursing","id":"ITEM-1","issue":"7","issued":{"date-parts":[["2020"]]},"page":"353-355","title":"The working of a primary care network in Wirral: Experiences thus far","type":"article-journal","volume":"25"},"uris":["http://www.mendeley.com/documents/?uuid=b61d6bb2-53fe-4ec5-942d-3feb2fddcc54"]}],"mendeley":{"formattedCitation":"&lt;sup&gt;174&lt;/sup&gt;","manualFormatting":"Jones (2020)","plainTextFormattedCitation":"174","previouslyFormattedCitation":"&lt;sup&gt;174&lt;/sup&gt;"},"properties":{"noteIndex":0},"schema":"https://github.com/citation-style-language/schema/raw/master/csl-citation.json"}</w:instrText>
            </w:r>
            <w:r w:rsidRPr="00C6520A">
              <w:rPr>
                <w:sz w:val="20"/>
                <w:szCs w:val="20"/>
              </w:rPr>
              <w:fldChar w:fldCharType="separate"/>
            </w:r>
            <w:r w:rsidRPr="00E4022F">
              <w:rPr>
                <w:noProof/>
                <w:sz w:val="20"/>
                <w:szCs w:val="20"/>
              </w:rPr>
              <w:t>Jones</w:t>
            </w:r>
            <w:r>
              <w:rPr>
                <w:noProof/>
                <w:sz w:val="20"/>
                <w:szCs w:val="20"/>
              </w:rPr>
              <w:t xml:space="preserve"> </w:t>
            </w:r>
            <w:r w:rsidRPr="00C6520A">
              <w:rPr>
                <w:noProof/>
                <w:sz w:val="20"/>
                <w:szCs w:val="20"/>
              </w:rPr>
              <w:t>(</w:t>
            </w:r>
            <w:r w:rsidRPr="00E4022F">
              <w:rPr>
                <w:noProof/>
                <w:sz w:val="20"/>
                <w:szCs w:val="20"/>
              </w:rPr>
              <w:t>2020)</w:t>
            </w:r>
            <w:r w:rsidRPr="00C6520A">
              <w:rPr>
                <w:sz w:val="20"/>
                <w:szCs w:val="20"/>
              </w:rPr>
              <w:fldChar w:fldCharType="end"/>
            </w:r>
          </w:p>
        </w:tc>
        <w:tc>
          <w:tcPr>
            <w:tcW w:w="336" w:type="pct"/>
          </w:tcPr>
          <w:p w14:paraId="3845B99D"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65EE9AAB" w14:textId="77777777" w:rsidR="00EE501D" w:rsidRPr="00C6520A" w:rsidRDefault="00EE501D" w:rsidP="00525BE0">
            <w:pPr>
              <w:spacing w:line="360" w:lineRule="auto"/>
              <w:jc w:val="both"/>
              <w:rPr>
                <w:sz w:val="20"/>
                <w:szCs w:val="20"/>
              </w:rPr>
            </w:pPr>
            <w:r w:rsidRPr="00C6520A">
              <w:rPr>
                <w:sz w:val="20"/>
                <w:szCs w:val="20"/>
              </w:rPr>
              <w:t>Primary care network</w:t>
            </w:r>
          </w:p>
        </w:tc>
        <w:tc>
          <w:tcPr>
            <w:tcW w:w="639" w:type="pct"/>
          </w:tcPr>
          <w:p w14:paraId="0DB07BC6" w14:textId="77777777" w:rsidR="00EE501D" w:rsidRPr="00C6520A" w:rsidRDefault="00EE501D" w:rsidP="00525BE0">
            <w:pPr>
              <w:spacing w:line="360" w:lineRule="auto"/>
              <w:jc w:val="both"/>
              <w:rPr>
                <w:sz w:val="20"/>
                <w:szCs w:val="20"/>
              </w:rPr>
            </w:pPr>
            <w:r>
              <w:rPr>
                <w:sz w:val="20"/>
                <w:szCs w:val="20"/>
              </w:rPr>
              <w:t>Primary care</w:t>
            </w:r>
          </w:p>
        </w:tc>
        <w:tc>
          <w:tcPr>
            <w:tcW w:w="1919" w:type="pct"/>
          </w:tcPr>
          <w:p w14:paraId="468912C0" w14:textId="77777777" w:rsidR="00EE501D" w:rsidRPr="00C6520A" w:rsidRDefault="00EE501D" w:rsidP="00525BE0">
            <w:pPr>
              <w:spacing w:line="360" w:lineRule="auto"/>
              <w:jc w:val="both"/>
              <w:rPr>
                <w:sz w:val="20"/>
                <w:szCs w:val="20"/>
              </w:rPr>
            </w:pPr>
            <w:r>
              <w:rPr>
                <w:sz w:val="20"/>
                <w:szCs w:val="20"/>
              </w:rPr>
              <w:t>Report of experiences; narrative ‘experiential’ methodology</w:t>
            </w:r>
          </w:p>
        </w:tc>
        <w:tc>
          <w:tcPr>
            <w:tcW w:w="530" w:type="pct"/>
          </w:tcPr>
          <w:p w14:paraId="13A135F5" w14:textId="77777777" w:rsidR="00EE501D" w:rsidRDefault="00EE501D" w:rsidP="00525BE0">
            <w:pPr>
              <w:spacing w:line="360" w:lineRule="auto"/>
              <w:jc w:val="both"/>
              <w:rPr>
                <w:sz w:val="20"/>
                <w:szCs w:val="20"/>
              </w:rPr>
            </w:pPr>
            <w:r>
              <w:rPr>
                <w:sz w:val="20"/>
                <w:szCs w:val="20"/>
              </w:rPr>
              <w:t>Refinement</w:t>
            </w:r>
          </w:p>
        </w:tc>
      </w:tr>
      <w:tr w:rsidR="00EE501D" w:rsidRPr="00C6520A" w14:paraId="33DC7108" w14:textId="77777777" w:rsidTr="00A77C56">
        <w:trPr>
          <w:trHeight w:val="236"/>
        </w:trPr>
        <w:tc>
          <w:tcPr>
            <w:tcW w:w="768" w:type="pct"/>
          </w:tcPr>
          <w:p w14:paraId="491DEF64" w14:textId="77777777" w:rsidR="00EE501D" w:rsidRPr="00C6520A" w:rsidRDefault="00EE501D" w:rsidP="00525BE0">
            <w:pPr>
              <w:spacing w:line="360" w:lineRule="auto"/>
              <w:jc w:val="both"/>
              <w:rPr>
                <w:sz w:val="20"/>
                <w:szCs w:val="20"/>
              </w:rPr>
            </w:pPr>
            <w:r>
              <w:rPr>
                <w:sz w:val="20"/>
                <w:szCs w:val="20"/>
              </w:rPr>
              <w:t>Kendall et al. (2012)</w:t>
            </w:r>
          </w:p>
        </w:tc>
        <w:tc>
          <w:tcPr>
            <w:tcW w:w="336" w:type="pct"/>
          </w:tcPr>
          <w:p w14:paraId="1C75B502" w14:textId="77777777" w:rsidR="00EE501D" w:rsidRDefault="00EE501D" w:rsidP="00525BE0">
            <w:pPr>
              <w:spacing w:line="360" w:lineRule="auto"/>
              <w:jc w:val="both"/>
              <w:rPr>
                <w:sz w:val="20"/>
                <w:szCs w:val="20"/>
              </w:rPr>
            </w:pPr>
            <w:r>
              <w:rPr>
                <w:sz w:val="20"/>
                <w:szCs w:val="20"/>
              </w:rPr>
              <w:t>England</w:t>
            </w:r>
          </w:p>
        </w:tc>
        <w:tc>
          <w:tcPr>
            <w:tcW w:w="807" w:type="pct"/>
          </w:tcPr>
          <w:p w14:paraId="6AADD3DB" w14:textId="77777777" w:rsidR="00EE501D" w:rsidRPr="00C6520A" w:rsidRDefault="00EE501D" w:rsidP="00525BE0">
            <w:pPr>
              <w:spacing w:line="360" w:lineRule="auto"/>
              <w:jc w:val="both"/>
              <w:rPr>
                <w:sz w:val="20"/>
                <w:szCs w:val="20"/>
              </w:rPr>
            </w:pPr>
            <w:r>
              <w:rPr>
                <w:sz w:val="20"/>
                <w:szCs w:val="20"/>
              </w:rPr>
              <w:t>Community health partnerships</w:t>
            </w:r>
          </w:p>
        </w:tc>
        <w:tc>
          <w:tcPr>
            <w:tcW w:w="639" w:type="pct"/>
          </w:tcPr>
          <w:p w14:paraId="29A5795D" w14:textId="77777777" w:rsidR="00EE501D" w:rsidRDefault="00EE501D" w:rsidP="00525BE0">
            <w:pPr>
              <w:spacing w:line="360" w:lineRule="auto"/>
              <w:jc w:val="both"/>
              <w:rPr>
                <w:sz w:val="20"/>
                <w:szCs w:val="20"/>
              </w:rPr>
            </w:pPr>
            <w:r>
              <w:rPr>
                <w:sz w:val="20"/>
                <w:szCs w:val="20"/>
              </w:rPr>
              <w:t>Community health</w:t>
            </w:r>
          </w:p>
        </w:tc>
        <w:tc>
          <w:tcPr>
            <w:tcW w:w="1919" w:type="pct"/>
          </w:tcPr>
          <w:p w14:paraId="4C2DA17A" w14:textId="77777777" w:rsidR="00EE501D" w:rsidRDefault="00EE501D" w:rsidP="00525BE0">
            <w:pPr>
              <w:spacing w:line="360" w:lineRule="auto"/>
              <w:jc w:val="both"/>
              <w:rPr>
                <w:sz w:val="20"/>
                <w:szCs w:val="20"/>
              </w:rPr>
            </w:pPr>
            <w:r>
              <w:rPr>
                <w:sz w:val="20"/>
                <w:szCs w:val="20"/>
              </w:rPr>
              <w:t>Review</w:t>
            </w:r>
          </w:p>
        </w:tc>
        <w:tc>
          <w:tcPr>
            <w:tcW w:w="530" w:type="pct"/>
          </w:tcPr>
          <w:p w14:paraId="0D98A41C" w14:textId="77777777" w:rsidR="00EE501D" w:rsidRDefault="00EE501D" w:rsidP="00525BE0">
            <w:pPr>
              <w:spacing w:line="360" w:lineRule="auto"/>
              <w:jc w:val="both"/>
              <w:rPr>
                <w:sz w:val="20"/>
                <w:szCs w:val="20"/>
              </w:rPr>
            </w:pPr>
            <w:r>
              <w:rPr>
                <w:sz w:val="20"/>
                <w:szCs w:val="20"/>
              </w:rPr>
              <w:t>Gleaning</w:t>
            </w:r>
          </w:p>
        </w:tc>
      </w:tr>
      <w:tr w:rsidR="00EE501D" w:rsidRPr="00C6520A" w14:paraId="5585B3DD" w14:textId="77777777" w:rsidTr="00A77C56">
        <w:trPr>
          <w:trHeight w:val="236"/>
        </w:trPr>
        <w:tc>
          <w:tcPr>
            <w:tcW w:w="768" w:type="pct"/>
          </w:tcPr>
          <w:p w14:paraId="2AE915DA" w14:textId="0EF5B629"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BN":"964-7445-88-1","author":[{"dropping-particle":"","family":"Kershaw","given":"Matthew","non-dropping-particle":"","parse-names":false,"suffix":""},{"dropping-particle":"","family":"McKenna","given":"Helen","non-dropping-particle":"","parse-names":false,"suffix":""},{"dropping-particle":"","family":"Charles","given":"Anna","non-dropping-particle":"","parse-names":false,"suffix":""},{"dropping-particle":"","family":"Ewbank","given":"Leo","non-dropping-particle":"","parse-names":false,"suffix":""},{"dropping-particle":"","family":"Ham","given":"Chris","non-dropping-particle":"","parse-names":false,"suffix":""}],"id":"ITEM-1","issued":{"date-parts":[["2018"]]},"number-of-pages":"66","title":"Sustainability and transformation partnerships in London","type":"report"},"uris":["http://www.mendeley.com/documents/?uuid=ede5a165-6ade-4a57-b6a9-b5672552cc46"]}],"mendeley":{"formattedCitation":"&lt;sup&gt;176&lt;/sup&gt;","manualFormatting":"Kershaw et al. (2018)","plainTextFormattedCitation":"176","previouslyFormattedCitation":"&lt;sup&gt;176&lt;/sup&gt;"},"properties":{"noteIndex":0},"schema":"https://github.com/citation-style-language/schema/raw/master/csl-citation.json"}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Kershaw </w:t>
            </w:r>
            <w:r w:rsidRPr="00E4022F">
              <w:rPr>
                <w:i/>
                <w:noProof/>
                <w:sz w:val="20"/>
                <w:szCs w:val="20"/>
              </w:rPr>
              <w:t>et al.</w:t>
            </w:r>
            <w:r>
              <w:rPr>
                <w:i/>
                <w:noProof/>
                <w:sz w:val="20"/>
                <w:szCs w:val="20"/>
              </w:rPr>
              <w:t xml:space="preserve"> </w:t>
            </w:r>
            <w:r w:rsidRPr="00C6520A">
              <w:rPr>
                <w:noProof/>
                <w:sz w:val="20"/>
                <w:szCs w:val="20"/>
              </w:rPr>
              <w:t>(</w:t>
            </w:r>
            <w:r w:rsidRPr="00E4022F">
              <w:rPr>
                <w:noProof/>
                <w:sz w:val="20"/>
                <w:szCs w:val="20"/>
              </w:rPr>
              <w:t>2018)</w:t>
            </w:r>
            <w:r w:rsidRPr="00C6520A">
              <w:rPr>
                <w:sz w:val="20"/>
                <w:szCs w:val="20"/>
              </w:rPr>
              <w:fldChar w:fldCharType="end"/>
            </w:r>
          </w:p>
        </w:tc>
        <w:tc>
          <w:tcPr>
            <w:tcW w:w="336" w:type="pct"/>
          </w:tcPr>
          <w:p w14:paraId="4AF80CC8"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290F4487" w14:textId="77777777" w:rsidR="00EE501D" w:rsidRPr="00C6520A" w:rsidRDefault="00EE501D" w:rsidP="00525BE0">
            <w:pPr>
              <w:spacing w:line="360" w:lineRule="auto"/>
              <w:jc w:val="both"/>
              <w:rPr>
                <w:sz w:val="20"/>
                <w:szCs w:val="20"/>
              </w:rPr>
            </w:pPr>
            <w:r w:rsidRPr="00C6520A">
              <w:rPr>
                <w:sz w:val="20"/>
                <w:szCs w:val="20"/>
              </w:rPr>
              <w:t>Sustainability and Transformation Partnership</w:t>
            </w:r>
          </w:p>
        </w:tc>
        <w:tc>
          <w:tcPr>
            <w:tcW w:w="639" w:type="pct"/>
          </w:tcPr>
          <w:p w14:paraId="49C4A9C9"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18B26D72" w14:textId="77777777" w:rsidR="00EE501D" w:rsidRPr="00C6520A" w:rsidRDefault="00EE501D" w:rsidP="00525BE0">
            <w:pPr>
              <w:spacing w:line="360" w:lineRule="auto"/>
              <w:jc w:val="both"/>
              <w:rPr>
                <w:sz w:val="20"/>
                <w:szCs w:val="20"/>
              </w:rPr>
            </w:pPr>
            <w:r>
              <w:rPr>
                <w:sz w:val="20"/>
                <w:szCs w:val="20"/>
              </w:rPr>
              <w:t>Case study of five STPs in London; phase 1 (small scale interviews with leaders), phase 2 (26 semi-structured interviews with leaders and stakeholders) and groups discussions.</w:t>
            </w:r>
          </w:p>
        </w:tc>
        <w:tc>
          <w:tcPr>
            <w:tcW w:w="530" w:type="pct"/>
          </w:tcPr>
          <w:p w14:paraId="101D77B2" w14:textId="77777777" w:rsidR="00EE501D" w:rsidRDefault="00EE501D" w:rsidP="00525BE0">
            <w:pPr>
              <w:spacing w:line="360" w:lineRule="auto"/>
              <w:jc w:val="both"/>
              <w:rPr>
                <w:sz w:val="20"/>
                <w:szCs w:val="20"/>
              </w:rPr>
            </w:pPr>
            <w:r>
              <w:rPr>
                <w:sz w:val="20"/>
                <w:szCs w:val="20"/>
              </w:rPr>
              <w:t>Gleaning and refinement</w:t>
            </w:r>
          </w:p>
        </w:tc>
      </w:tr>
      <w:tr w:rsidR="00EE501D" w14:paraId="30FAEBFC" w14:textId="77777777" w:rsidTr="00A77C56">
        <w:trPr>
          <w:trHeight w:val="236"/>
        </w:trPr>
        <w:tc>
          <w:tcPr>
            <w:tcW w:w="768" w:type="pct"/>
          </w:tcPr>
          <w:p w14:paraId="05521B14" w14:textId="039A9A68" w:rsidR="00EE501D" w:rsidRPr="00C6520A" w:rsidRDefault="00EE501D" w:rsidP="00525BE0">
            <w:pPr>
              <w:spacing w:line="360" w:lineRule="auto"/>
              <w:jc w:val="both"/>
              <w:rPr>
                <w:sz w:val="20"/>
                <w:szCs w:val="20"/>
              </w:rPr>
            </w:pPr>
            <w:r>
              <w:rPr>
                <w:sz w:val="20"/>
                <w:szCs w:val="20"/>
              </w:rPr>
              <w:fldChar w:fldCharType="begin" w:fldLock="1"/>
            </w:r>
            <w:r w:rsidR="00EA4B53">
              <w:rPr>
                <w:sz w:val="20"/>
                <w:szCs w:val="20"/>
              </w:rPr>
              <w:instrText>ADDIN CSL_CITATION {"citationItems":[{"id":"ITEM-1","itemData":{"DOI":"10.1136/bmjopen-2017-020930","ISSN":"20446055","PMID":"29627818","abstract":"Objectives This study explores the barriers and facilitators that impact on the motivation of practitioners to participate in a quality improvement collaborative. Design A qualitative and formative evaluation using a participatory approach, the researcher-in-residence model which embraces the concept of 'coproducing' knowledge between researchers and practitioners using a range of research methods such as participant observation, interviews and documentary analysis. The design, creation and application of newly generated evidence are facilitated by the researcher through negotiation and compromise with team members. Participants Senior and middle managers, doctors and nurses. Setting Two hospitals in Southeast England participating in a Patient Safety Improvement Collaborative and the facilitator (host) of the collaborative, based in Central London. Results The evaluation has revealed facilitators and barriers to motivation categorised under two main themes: (1) inherent motivation and (2) factors that influence motivation, interorganisational and intraorganisational features as well as external factors. Facilitators included collaborative 'champions,' individuals who drove the quality improvement agenda at a local level, raising awareness and inspiring colleagues. The collaborative itself acted as a facilitator, promoting shared learning as well as building motivation for participation. A key barrier was the lack of board engagement in the participating National Health Service organisations which may have affected motivation among front-line staff. Conclusions Collaboratives maybe an important way of engaging practitioners in quality improvement initiatives. This study highlights that despite a challenging healthcare environment in the UK, there remains motivation among individuals to participate in quality improvement programmes as they recognise that improvement approaches may facilitate positive change in local clinical processes and systems. Collaboratives can harness this individual motivation to facilitate spread and adoption of improvement methodology and build engagement across their membership.","author":[{"dropping-particle":"","family":"Lalani","given":"Mirza","non-dropping-particle":"","parse-names":false,"suffix":""},{"dropping-particle":"","family":"Hall","given":"Kate","non-dropping-particle":"","parse-names":false,"suffix":""},{"dropping-particle":"","family":"Skrypak","given":"Mirek","non-dropping-particle":"","parse-names":false,"suffix":""},{"dropping-particle":"","family":"Laing","given":"Chris","non-dropping-particle":"","parse-names":false,"suffix":""},{"dropping-particle":"","family":"Welch","given":"John","non-dropping-particle":"","parse-names":false,"suffix":""},{"dropping-particle":"","family":"Toohey","given":"Peter","non-dropping-particle":"","parse-names":false,"suffix":""},{"dropping-particle":"","family":"Seaholme","given":"Sarah","non-dropping-particle":"","parse-names":false,"suffix":""},{"dropping-particle":"","family":"Weijburg","given":"Thomas","non-dropping-particle":"","parse-names":false,"suffix":""},{"dropping-particle":"","family":"Eyre","given":"Laura","non-dropping-particle":"","parse-names":false,"suffix":""},{"dropping-particle":"","family":"Marshall","given":"Martin","non-dropping-particle":"","parse-names":false,"suffix":""}],"container-title":"BMJ Open","id":"ITEM-1","issue":"4","issued":{"date-parts":[["2018"]]},"page":"1-8","title":"Building motivation to participate in a quality improvement collaborative in NHS hospital trusts in Southeast England: A qualitative participatory evaluation","type":"article-journal","volume":"8"},"uris":["http://www.mendeley.com/documents/?uuid=5e4fe4d2-b00b-45e0-899a-09aa9b7d9585"]}],"mendeley":{"formattedCitation":"&lt;sup&gt;177&lt;/sup&gt;","manualFormatting":"Lalani et al.(2018)","plainTextFormattedCitation":"177","previouslyFormattedCitation":"&lt;sup&gt;177&lt;/sup&gt;"},"properties":{"noteIndex":0},"schema":"https://github.com/citation-style-language/schema/raw/master/csl-citation.json"}</w:instrText>
            </w:r>
            <w:r>
              <w:rPr>
                <w:sz w:val="20"/>
                <w:szCs w:val="20"/>
              </w:rPr>
              <w:fldChar w:fldCharType="separate"/>
            </w:r>
            <w:r>
              <w:rPr>
                <w:noProof/>
                <w:sz w:val="20"/>
                <w:szCs w:val="20"/>
              </w:rPr>
              <w:t xml:space="preserve">Lalani </w:t>
            </w:r>
            <w:r>
              <w:rPr>
                <w:i/>
                <w:iCs/>
                <w:noProof/>
                <w:sz w:val="20"/>
                <w:szCs w:val="20"/>
              </w:rPr>
              <w:t>et al.</w:t>
            </w:r>
            <w:r>
              <w:rPr>
                <w:noProof/>
                <w:sz w:val="20"/>
                <w:szCs w:val="20"/>
              </w:rPr>
              <w:t>(2018</w:t>
            </w:r>
            <w:r w:rsidRPr="00F6106C">
              <w:rPr>
                <w:noProof/>
                <w:sz w:val="20"/>
                <w:szCs w:val="20"/>
              </w:rPr>
              <w:t>)</w:t>
            </w:r>
            <w:r>
              <w:rPr>
                <w:sz w:val="20"/>
                <w:szCs w:val="20"/>
              </w:rPr>
              <w:fldChar w:fldCharType="end"/>
            </w:r>
          </w:p>
        </w:tc>
        <w:tc>
          <w:tcPr>
            <w:tcW w:w="336" w:type="pct"/>
          </w:tcPr>
          <w:p w14:paraId="39E5700F" w14:textId="77777777" w:rsidR="00EE501D" w:rsidRDefault="00EE501D" w:rsidP="00525BE0">
            <w:pPr>
              <w:spacing w:line="360" w:lineRule="auto"/>
              <w:jc w:val="both"/>
              <w:rPr>
                <w:sz w:val="20"/>
                <w:szCs w:val="20"/>
              </w:rPr>
            </w:pPr>
            <w:r>
              <w:rPr>
                <w:sz w:val="20"/>
                <w:szCs w:val="20"/>
              </w:rPr>
              <w:t>England</w:t>
            </w:r>
          </w:p>
        </w:tc>
        <w:tc>
          <w:tcPr>
            <w:tcW w:w="807" w:type="pct"/>
          </w:tcPr>
          <w:p w14:paraId="3208C638" w14:textId="77777777" w:rsidR="00EE501D" w:rsidRPr="00C6520A" w:rsidRDefault="00EE501D" w:rsidP="00525BE0">
            <w:pPr>
              <w:spacing w:line="360" w:lineRule="auto"/>
              <w:jc w:val="both"/>
              <w:rPr>
                <w:sz w:val="20"/>
                <w:szCs w:val="20"/>
              </w:rPr>
            </w:pPr>
            <w:r>
              <w:rPr>
                <w:sz w:val="20"/>
                <w:szCs w:val="20"/>
              </w:rPr>
              <w:t>Quality improvement collaborative</w:t>
            </w:r>
          </w:p>
        </w:tc>
        <w:tc>
          <w:tcPr>
            <w:tcW w:w="639" w:type="pct"/>
          </w:tcPr>
          <w:p w14:paraId="15A912DC" w14:textId="77777777" w:rsidR="00EE501D" w:rsidRDefault="00EE501D" w:rsidP="00525BE0">
            <w:pPr>
              <w:spacing w:line="360" w:lineRule="auto"/>
              <w:jc w:val="both"/>
              <w:rPr>
                <w:sz w:val="20"/>
                <w:szCs w:val="20"/>
              </w:rPr>
            </w:pPr>
            <w:r>
              <w:rPr>
                <w:sz w:val="20"/>
                <w:szCs w:val="20"/>
              </w:rPr>
              <w:t>Acute care</w:t>
            </w:r>
          </w:p>
        </w:tc>
        <w:tc>
          <w:tcPr>
            <w:tcW w:w="1919" w:type="pct"/>
          </w:tcPr>
          <w:p w14:paraId="12454476" w14:textId="77777777" w:rsidR="00EE501D" w:rsidRDefault="00EE501D" w:rsidP="00525BE0">
            <w:pPr>
              <w:tabs>
                <w:tab w:val="left" w:pos="1020"/>
              </w:tabs>
              <w:spacing w:line="360" w:lineRule="auto"/>
              <w:jc w:val="both"/>
              <w:rPr>
                <w:sz w:val="20"/>
                <w:szCs w:val="20"/>
              </w:rPr>
            </w:pPr>
            <w:r>
              <w:rPr>
                <w:sz w:val="20"/>
                <w:szCs w:val="20"/>
              </w:rPr>
              <w:t>Evaluation with researcher-in-residence model, based on two sites, comprising 15 semi-structured interviews</w:t>
            </w:r>
          </w:p>
        </w:tc>
        <w:tc>
          <w:tcPr>
            <w:tcW w:w="530" w:type="pct"/>
          </w:tcPr>
          <w:p w14:paraId="066021BC" w14:textId="77777777" w:rsidR="00EE501D" w:rsidRDefault="00EE501D" w:rsidP="00525BE0">
            <w:pPr>
              <w:tabs>
                <w:tab w:val="left" w:pos="1020"/>
              </w:tabs>
              <w:spacing w:line="360" w:lineRule="auto"/>
              <w:jc w:val="both"/>
              <w:rPr>
                <w:sz w:val="20"/>
                <w:szCs w:val="20"/>
              </w:rPr>
            </w:pPr>
            <w:r>
              <w:rPr>
                <w:sz w:val="20"/>
                <w:szCs w:val="20"/>
              </w:rPr>
              <w:t>Refinement</w:t>
            </w:r>
          </w:p>
        </w:tc>
      </w:tr>
      <w:tr w:rsidR="00EE501D" w:rsidRPr="00C6520A" w14:paraId="67138309" w14:textId="77777777" w:rsidTr="00A77C56">
        <w:trPr>
          <w:trHeight w:val="236"/>
        </w:trPr>
        <w:tc>
          <w:tcPr>
            <w:tcW w:w="768" w:type="pct"/>
          </w:tcPr>
          <w:p w14:paraId="253BEF5A" w14:textId="5F6B9FA1" w:rsidR="00EE501D" w:rsidRPr="00C6520A" w:rsidRDefault="00EE501D" w:rsidP="00525BE0">
            <w:pPr>
              <w:spacing w:line="360" w:lineRule="auto"/>
              <w:jc w:val="both"/>
              <w:rPr>
                <w:sz w:val="20"/>
                <w:szCs w:val="20"/>
              </w:rPr>
            </w:pPr>
            <w:r w:rsidRPr="00C6520A">
              <w:rPr>
                <w:sz w:val="20"/>
                <w:szCs w:val="20"/>
              </w:rPr>
              <w:fldChar w:fldCharType="begin" w:fldLock="1"/>
            </w:r>
            <w:r w:rsidR="00804189">
              <w:rPr>
                <w:sz w:val="20"/>
                <w:szCs w:val="20"/>
              </w:rPr>
              <w:instrText>ADDIN CSL_CITATION {"citationItems":[{"id":"ITEM-1","itemData":{"DOI":"https://dx.doi.org/10.7861/futurehosp.6-1-67","ISSN":"2514-6645","abstract":"Increased NHS regulation has identified many healthcare organisations with operational and/or financial difficulties. Although the causes are often complex, most cases are effectively managed internally with limited input from external agencies. How best to support the few organisations needing additional support has not been established. 'Buddying', in which senior clinical and managerial teams from a well performing organisation work with colleagues from an organisation in difficulty has been proposed as a potential solution. Previous reports suggest that these partnerships are generally valued by the organisation in difficulty but there is a paucity of measured operational benefit. In this article we present our experience of a 'buddying agreement' and its impact on the introduction of a new 'whole system' medical pathway (ie rotas, staffing, process) at an organisation in difficulty. We describe the process, problems, effect on operational performance, staff survey feedback six months post-implementation and the lessons learned. Factors critical to success were good communication; clear responsibilities, common values and strong governance; incorporation into an effective local improvement programme; targeting of specific issues; ability to influence people and foster relationships; adequate 'manpower' and gradual transition to local 'ownership'.","author":[{"dropping-particle":"","family":"Leach","given":"Richard","non-dropping-particle":"","parse-names":false,"suffix":""},{"dropping-particle":"","family":"Banerjee","given":"Sandip","non-dropping-particle":"","parse-names":false,"suffix":""},{"dropping-particle":"","family":"Beer","given":"Gail","non-dropping-particle":"","parse-names":false,"suffix":""},{"dropping-particle":"","family":"Tencheva","given":"Svetka","non-dropping-particle":"","parse-names":false,"suffix":""},{"dropping-particle":"","family":"Conn","given":"Deidre","non-dropping-particle":"","parse-names":false,"suffix":""},{"dropping-particle":"","family":"Waterman","given":"Ashley","non-dropping-particle":"","parse-names":false,"suffix":""},{"dropping-particle":"","family":"Parrott","given":"Jackie","non-dropping-particle":"","parse-names":false,"suffix":""},{"dropping-particle":"","family":"Gifford","given":"Julie","non-dropping-particle":"","parse-names":false,"suffix":""},{"dropping-particle":"","family":"Steddon","given":"Simon","non-dropping-particle":"","parse-names":false,"suffix":""},{"dropping-particle":"","family":"Abbs","given":"Ian","non-dropping-particle":"","parse-names":false,"suffix":""},{"dropping-particle":"","family":"Pritchard","given":"Amanda","non-dropping-particle":"","parse-names":false,"suffix":""},{"dropping-particle":"","family":"Kerr","given":"Ron","non-dropping-particle":"","parse-names":false,"suffix":""},{"dropping-particle":"","family":"Dwyer","given":"Lesley","non-dropping-particle":"","parse-names":false,"suffix":""},{"dropping-particle":"","family":"Hamilton-Fairley","given":"Diana","non-dropping-particle":"","parse-names":false,"suffix":""}],"container-title":"Future healthcare journal","id":"ITEM-1","issue":"1","issued":{"date-parts":[["2019"]]},"page":"67-75","publisher-place":"England","title":"QUALITY IMPROVEMENT: Supporting a hospital in difficulty: -experience of a '-buddying' agreement to implement a new medical pathway.","type":"article-journal","volume":"6"},"uris":["http://www.mendeley.com/documents/?uuid=104b95db-03a3-4575-80c5-934c35187a13"]}],"mendeley":{"formattedCitation":"&lt;sup&gt;102&lt;/sup&gt;","manualFormatting":"Leach et al. (2019)","plainTextFormattedCitation":"102","previouslyFormattedCitation":"&lt;sup&gt;102&lt;/sup&gt;"},"properties":{"noteIndex":0},"schema":"https://github.com/citation-style-language/schema/raw/master/csl-citation.json"}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Leach </w:t>
            </w:r>
            <w:r w:rsidRPr="00E4022F">
              <w:rPr>
                <w:i/>
                <w:noProof/>
                <w:sz w:val="20"/>
                <w:szCs w:val="20"/>
              </w:rPr>
              <w:t>et al.</w:t>
            </w:r>
            <w:r>
              <w:rPr>
                <w:i/>
                <w:noProof/>
                <w:sz w:val="20"/>
                <w:szCs w:val="20"/>
              </w:rPr>
              <w:t xml:space="preserve"> </w:t>
            </w:r>
            <w:r w:rsidRPr="00C6520A">
              <w:rPr>
                <w:noProof/>
                <w:sz w:val="20"/>
                <w:szCs w:val="20"/>
              </w:rPr>
              <w:t>(</w:t>
            </w:r>
            <w:r w:rsidRPr="00E4022F">
              <w:rPr>
                <w:noProof/>
                <w:sz w:val="20"/>
                <w:szCs w:val="20"/>
              </w:rPr>
              <w:t>2019)</w:t>
            </w:r>
            <w:r w:rsidRPr="00C6520A">
              <w:rPr>
                <w:sz w:val="20"/>
                <w:szCs w:val="20"/>
              </w:rPr>
              <w:fldChar w:fldCharType="end"/>
            </w:r>
          </w:p>
        </w:tc>
        <w:tc>
          <w:tcPr>
            <w:tcW w:w="336" w:type="pct"/>
          </w:tcPr>
          <w:p w14:paraId="075A0A25"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2443D4A2" w14:textId="77777777" w:rsidR="00EE501D" w:rsidRPr="00C6520A" w:rsidRDefault="00EE501D" w:rsidP="00525BE0">
            <w:pPr>
              <w:spacing w:line="360" w:lineRule="auto"/>
              <w:jc w:val="both"/>
              <w:rPr>
                <w:sz w:val="20"/>
                <w:szCs w:val="20"/>
              </w:rPr>
            </w:pPr>
            <w:r w:rsidRPr="00C6520A">
              <w:rPr>
                <w:sz w:val="20"/>
                <w:szCs w:val="20"/>
              </w:rPr>
              <w:t>Buddying</w:t>
            </w:r>
          </w:p>
        </w:tc>
        <w:tc>
          <w:tcPr>
            <w:tcW w:w="639" w:type="pct"/>
          </w:tcPr>
          <w:p w14:paraId="5940FE40"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2D66CE51" w14:textId="77777777" w:rsidR="00EE501D" w:rsidRPr="00C6520A" w:rsidRDefault="00EE501D" w:rsidP="00525BE0">
            <w:pPr>
              <w:tabs>
                <w:tab w:val="left" w:pos="1020"/>
              </w:tabs>
              <w:spacing w:line="360" w:lineRule="auto"/>
              <w:jc w:val="both"/>
              <w:rPr>
                <w:sz w:val="20"/>
                <w:szCs w:val="20"/>
              </w:rPr>
            </w:pPr>
            <w:r>
              <w:rPr>
                <w:sz w:val="20"/>
                <w:szCs w:val="20"/>
              </w:rPr>
              <w:t>Evaluation; using quantitative performance data and mixed methods staff survey</w:t>
            </w:r>
          </w:p>
        </w:tc>
        <w:tc>
          <w:tcPr>
            <w:tcW w:w="530" w:type="pct"/>
          </w:tcPr>
          <w:p w14:paraId="5C05D6EF" w14:textId="77777777" w:rsidR="00EE501D" w:rsidRDefault="00EE501D" w:rsidP="00525BE0">
            <w:pPr>
              <w:tabs>
                <w:tab w:val="left" w:pos="1020"/>
              </w:tabs>
              <w:spacing w:line="360" w:lineRule="auto"/>
              <w:jc w:val="both"/>
              <w:rPr>
                <w:sz w:val="20"/>
                <w:szCs w:val="20"/>
              </w:rPr>
            </w:pPr>
            <w:r>
              <w:rPr>
                <w:sz w:val="20"/>
                <w:szCs w:val="20"/>
              </w:rPr>
              <w:t>Gleaning and refinement</w:t>
            </w:r>
          </w:p>
        </w:tc>
      </w:tr>
      <w:tr w:rsidR="00EE501D" w:rsidRPr="00C6520A" w14:paraId="1702D5A8" w14:textId="77777777" w:rsidTr="00A77C56">
        <w:trPr>
          <w:trHeight w:val="236"/>
        </w:trPr>
        <w:tc>
          <w:tcPr>
            <w:tcW w:w="768" w:type="pct"/>
          </w:tcPr>
          <w:p w14:paraId="7296E5E7" w14:textId="21DD35A2"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{"citationItems":[{"id":"ITEM-1","itemData":{"DOI":"10.1186/1743-8462-2-22","ISSN":"17438462","abstract":"Background: The last decade has witnessed a significant move towards new modes of governing that are based on coordination and collaboration. In particular, local level partnerships have been widely introduced around the world. There are few comprehensive approaches for researching the effects of these partnerships. The aim of this paper is to outline a network approach that combines structure and agency based explanations to research partnerships in health. Network research based on two Primary Care Partnerships (PCPs) in Victoria is used to demonstrate the utility of this approach. The paper examines multiple types of ties between people (structure), and the use and value of relationships to partners (agency), using interviews with the people involved in two PCPs - one in metropolitan Melbourne and one in a rural area. Results: Network maps of ties based on work, strategic information and policy advice, show that there are many strong connections in both PCPs. Not surprisingly, PCP staff are central and highly connected. Of more interest are the ties that are dependent on these dedicated partnership staff, as they reveal which actors become weakly linked or disconnected without them. Network measures indicate that work ties are the most dispersed and strategic information ties are the most concentrated around fewer people. Divisions of general practice are weakly linked, while local government officials and Department of Human Services (DHS) regional staff appear to play important bridging roles. Finally, the relationships between partners have changed and improved, and most of those interviewed value their new or improved links with partners. Conclusion: Improving service coordination and health promotion planning requires engaging people and building strong relationships. Mapping ties is a useful means for assessing the strengths and weaknesses of partnerships, and network analysis indicates concentration and dispersion, the importance of particular individuals, and the points at which they will fragment. A narrative approach adds an assessment of whether the partnerships are being used and valued. The approach outlined here, which examines structure and agency as separate but related explanations, has much to offer in examining partnerships. © 2005 Lewis; licensee BioMed Central Ltd.","author":[{"dropping-particle":"","family":"Lewis","given":"Jenny M.","non-dropping-particle":"","parse-names":false,"suffix":""}],"container-title":"Australia and New Zealand Health Policy","id":"ITEM-1","issue":"1","issued":{"date-parts":[["2005"]]},"page":"1-11","title":"A network approach for researching partnerships in health","type":"article-journal","volume":"2"},"uris":["http://www.mendeley.com/documents/?uuid=edc98b1d-b6e5-4d0e-9cbf-4d38aca4e7ae"]}],"mendeley":{"formattedCitation":"&lt;sup&gt;178&lt;/sup&gt;","manualFormatting":"Lewis (2005)","plainTextFormattedCitation":"178","previouslyFormattedCitation":"&lt;sup&gt;178&lt;/sup&gt;"},"properties":{"noteIndex":0},"schema":"https://github.com/citation-style-language/schema/raw/master/csl-citation.json"}</w:instrText>
            </w:r>
            <w:r w:rsidRPr="00C6520A">
              <w:rPr>
                <w:sz w:val="20"/>
                <w:szCs w:val="20"/>
              </w:rPr>
              <w:fldChar w:fldCharType="separate"/>
            </w:r>
            <w:r w:rsidRPr="00E4022F">
              <w:rPr>
                <w:noProof/>
                <w:sz w:val="20"/>
                <w:szCs w:val="20"/>
              </w:rPr>
              <w:t>Lewis</w:t>
            </w:r>
            <w:r>
              <w:rPr>
                <w:noProof/>
                <w:sz w:val="20"/>
                <w:szCs w:val="20"/>
              </w:rPr>
              <w:t xml:space="preserve"> </w:t>
            </w:r>
            <w:r w:rsidRPr="00C6520A">
              <w:rPr>
                <w:noProof/>
                <w:sz w:val="20"/>
                <w:szCs w:val="20"/>
              </w:rPr>
              <w:t>(</w:t>
            </w:r>
            <w:r w:rsidRPr="00E4022F">
              <w:rPr>
                <w:noProof/>
                <w:sz w:val="20"/>
                <w:szCs w:val="20"/>
              </w:rPr>
              <w:t>2005)</w:t>
            </w:r>
            <w:r w:rsidRPr="00C6520A">
              <w:rPr>
                <w:sz w:val="20"/>
                <w:szCs w:val="20"/>
              </w:rPr>
              <w:fldChar w:fldCharType="end"/>
            </w:r>
          </w:p>
        </w:tc>
        <w:tc>
          <w:tcPr>
            <w:tcW w:w="336" w:type="pct"/>
          </w:tcPr>
          <w:p w14:paraId="21FED5DE" w14:textId="77777777" w:rsidR="00EE501D" w:rsidRPr="00C6520A" w:rsidRDefault="00EE501D" w:rsidP="00525BE0">
            <w:pPr>
              <w:spacing w:line="360" w:lineRule="auto"/>
              <w:jc w:val="both"/>
              <w:rPr>
                <w:sz w:val="20"/>
                <w:szCs w:val="20"/>
              </w:rPr>
            </w:pPr>
            <w:r>
              <w:rPr>
                <w:sz w:val="20"/>
                <w:szCs w:val="20"/>
              </w:rPr>
              <w:t>Australia</w:t>
            </w:r>
          </w:p>
        </w:tc>
        <w:tc>
          <w:tcPr>
            <w:tcW w:w="807" w:type="pct"/>
          </w:tcPr>
          <w:p w14:paraId="485F5E5E" w14:textId="77777777" w:rsidR="00EE501D" w:rsidRPr="00C6520A" w:rsidRDefault="00EE501D" w:rsidP="00525BE0">
            <w:pPr>
              <w:spacing w:line="360" w:lineRule="auto"/>
              <w:jc w:val="both"/>
              <w:rPr>
                <w:sz w:val="20"/>
                <w:szCs w:val="20"/>
              </w:rPr>
            </w:pPr>
            <w:r w:rsidRPr="00C6520A">
              <w:rPr>
                <w:sz w:val="20"/>
                <w:szCs w:val="20"/>
              </w:rPr>
              <w:t>Primary care partnership</w:t>
            </w:r>
          </w:p>
        </w:tc>
        <w:tc>
          <w:tcPr>
            <w:tcW w:w="639" w:type="pct"/>
          </w:tcPr>
          <w:p w14:paraId="0DB4293F" w14:textId="77777777" w:rsidR="00EE501D" w:rsidRPr="00C6520A" w:rsidRDefault="00EE501D" w:rsidP="00525BE0">
            <w:pPr>
              <w:spacing w:line="360" w:lineRule="auto"/>
              <w:jc w:val="both"/>
              <w:rPr>
                <w:sz w:val="20"/>
                <w:szCs w:val="20"/>
              </w:rPr>
            </w:pPr>
            <w:r>
              <w:rPr>
                <w:sz w:val="20"/>
                <w:szCs w:val="20"/>
              </w:rPr>
              <w:t>Primary care</w:t>
            </w:r>
          </w:p>
        </w:tc>
        <w:tc>
          <w:tcPr>
            <w:tcW w:w="1919" w:type="pct"/>
          </w:tcPr>
          <w:p w14:paraId="539F1B58" w14:textId="77777777" w:rsidR="00EE501D" w:rsidRPr="00C6520A" w:rsidRDefault="00EE501D" w:rsidP="00525BE0">
            <w:pPr>
              <w:spacing w:line="360" w:lineRule="auto"/>
              <w:jc w:val="both"/>
              <w:rPr>
                <w:sz w:val="20"/>
                <w:szCs w:val="20"/>
              </w:rPr>
            </w:pPr>
            <w:r>
              <w:rPr>
                <w:sz w:val="20"/>
                <w:szCs w:val="20"/>
              </w:rPr>
              <w:t>Case study of two PCPs; using a network research methodology including both surveys and interviews with 37 people</w:t>
            </w:r>
          </w:p>
        </w:tc>
        <w:tc>
          <w:tcPr>
            <w:tcW w:w="530" w:type="pct"/>
          </w:tcPr>
          <w:p w14:paraId="19E8E76C" w14:textId="77777777" w:rsidR="00EE501D" w:rsidRDefault="00EE501D" w:rsidP="00525BE0">
            <w:pPr>
              <w:spacing w:line="360" w:lineRule="auto"/>
              <w:jc w:val="both"/>
              <w:rPr>
                <w:sz w:val="20"/>
                <w:szCs w:val="20"/>
              </w:rPr>
            </w:pPr>
            <w:r>
              <w:rPr>
                <w:sz w:val="20"/>
                <w:szCs w:val="20"/>
              </w:rPr>
              <w:t>Refinement</w:t>
            </w:r>
          </w:p>
        </w:tc>
      </w:tr>
      <w:tr w:rsidR="00EE501D" w:rsidRPr="00C6520A" w14:paraId="1E6A3B14" w14:textId="77777777" w:rsidTr="00A77C56">
        <w:trPr>
          <w:trHeight w:val="236"/>
        </w:trPr>
        <w:tc>
          <w:tcPr>
            <w:tcW w:w="768" w:type="pct"/>
          </w:tcPr>
          <w:p w14:paraId="62CB4314" w14:textId="0F381456"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{"citationItems":[{"id":"ITEM-1","itemData":{"ISSN":"1478-4491","abstract":"BACKGROUND: Hospital mergers began in the UK in the late 1990s to deal with underperformance. Despite their prevalence, there is a lack of research on how such organizational changes affect the staff morale. This study aims to assess the impact of NHS hospital mergers between financial years 2009/10 and 2011/12 on staff job satisfaction and to identify factors contributing to satisfaction. METHODS: Data on staff job satisfaction were obtained from the annual NHS Staff Survey. A list of mergers was compiled using data provided by the Cooperation and Competition Panel and the Department of Health. Other sources of data included the NHS Hospital Estates and Facilities Statistics, the NHS 'Quarter' publication, official reports from health service regulators, individual hospitals' annual accounts, data from the NHS Information Centre and the NHS Recurrent Revenue Allocations Exposition Book. Only full mergers of acute and mental health hospitals were analyzed. Propensity scores were generated using observable factors likely to affect merger decision to select three comparable hospitals for every constituent hospital in a merger to act as a control group. A difference-in-difference was estimated between baseline (3 years before merger approval) and each subsequent year up to 4 years post-merger, controlling for work environment, drivers of job satisfaction, data year, type of hospital and occupation group. RESULTS: There were nine mergers during the study period. Only job satisfaction scores 1 to 2 years before (0.03 to 0.04 point) and 1 year after merger approval (0.06 point) were higher (P&lt;0.01) than baseline. Robustness testing produced consistent findings. Assuming other conditions were equal, an increase in autonomy, staff support, perceived quality and job clarity ratings would increase job satisfaction scores. Higher job satisfaction scores were also associated with being classified as medical, dental, management or administrative staff and working in a mental health trust. CONCLUSION: Hospital mergers have a small, transient positive impact on staff job satisfaction in the year immediately before and after merger approval. Continuous staff support and management of staff expectations throughout a merger may help to increase staff job satisfaction during the challenging period of merger. [Abstract]","author":[{"dropping-particle":"","family":"Lim","given":"Ka","non-dropping-particle":"","parse-names":false,"suffix":""}],"container-title":"Human Resources for Health","id":"ITEM-1","issue":"70","issued":{"date-parts":[["2014"]]},"publisher":"2014","title":"Impact of hospital mergers on staff job satisfaction : a quantitative study.","type":"article-journal","volume":"12"},"uris":["http://www.mendeley.com/documents/?uuid=0e62caa5-f4cd-4b45-9a6a-c7ba4f0fb127"]}],"mendeley":{"formattedCitation":"&lt;sup&gt;179&lt;/sup&gt;","manualFormatting":"Lim (2014)","plainTextFormattedCitation":"179","previouslyFormattedCitation":"&lt;sup&gt;179&lt;/sup&gt;"},"properties":{"noteIndex":0},"schema":"https://github.com/citation-style-language/schema/raw/master/csl-citation.json"}</w:instrText>
            </w:r>
            <w:r w:rsidRPr="00C6520A">
              <w:rPr>
                <w:sz w:val="20"/>
                <w:szCs w:val="20"/>
              </w:rPr>
              <w:fldChar w:fldCharType="separate"/>
            </w:r>
            <w:r w:rsidRPr="00E4022F">
              <w:rPr>
                <w:noProof/>
                <w:sz w:val="20"/>
                <w:szCs w:val="20"/>
              </w:rPr>
              <w:t>Lim</w:t>
            </w:r>
            <w:r>
              <w:rPr>
                <w:noProof/>
                <w:sz w:val="20"/>
                <w:szCs w:val="20"/>
              </w:rPr>
              <w:t xml:space="preserve"> </w:t>
            </w:r>
            <w:r w:rsidRPr="00C6520A">
              <w:rPr>
                <w:noProof/>
                <w:sz w:val="20"/>
                <w:szCs w:val="20"/>
              </w:rPr>
              <w:t>(</w:t>
            </w:r>
            <w:r w:rsidRPr="00E4022F">
              <w:rPr>
                <w:noProof/>
                <w:sz w:val="20"/>
                <w:szCs w:val="20"/>
              </w:rPr>
              <w:t>2014)</w:t>
            </w:r>
            <w:r w:rsidRPr="00C6520A">
              <w:rPr>
                <w:sz w:val="20"/>
                <w:szCs w:val="20"/>
              </w:rPr>
              <w:fldChar w:fldCharType="end"/>
            </w:r>
          </w:p>
        </w:tc>
        <w:tc>
          <w:tcPr>
            <w:tcW w:w="336" w:type="pct"/>
          </w:tcPr>
          <w:p w14:paraId="2AD9472F" w14:textId="77777777" w:rsidR="00EE501D" w:rsidRPr="00C6520A" w:rsidRDefault="00EE501D" w:rsidP="00525BE0">
            <w:pPr>
              <w:spacing w:line="360" w:lineRule="auto"/>
              <w:jc w:val="both"/>
              <w:rPr>
                <w:sz w:val="20"/>
                <w:szCs w:val="20"/>
              </w:rPr>
            </w:pPr>
            <w:r>
              <w:rPr>
                <w:sz w:val="20"/>
                <w:szCs w:val="20"/>
              </w:rPr>
              <w:t>UK</w:t>
            </w:r>
          </w:p>
        </w:tc>
        <w:tc>
          <w:tcPr>
            <w:tcW w:w="807" w:type="pct"/>
          </w:tcPr>
          <w:p w14:paraId="6C8CA5A5" w14:textId="77777777" w:rsidR="00EE501D" w:rsidRPr="00C6520A" w:rsidRDefault="00EE501D" w:rsidP="00525BE0">
            <w:pPr>
              <w:spacing w:line="360" w:lineRule="auto"/>
              <w:jc w:val="both"/>
              <w:rPr>
                <w:sz w:val="20"/>
                <w:szCs w:val="20"/>
              </w:rPr>
            </w:pPr>
            <w:r w:rsidRPr="00C6520A">
              <w:rPr>
                <w:sz w:val="20"/>
                <w:szCs w:val="20"/>
              </w:rPr>
              <w:t>Merger</w:t>
            </w:r>
          </w:p>
        </w:tc>
        <w:tc>
          <w:tcPr>
            <w:tcW w:w="639" w:type="pct"/>
          </w:tcPr>
          <w:p w14:paraId="6ABBA765"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3C11C2A8" w14:textId="77777777" w:rsidR="00EE501D" w:rsidRPr="00C6520A" w:rsidRDefault="00EE501D" w:rsidP="00525BE0">
            <w:pPr>
              <w:spacing w:line="360" w:lineRule="auto"/>
              <w:jc w:val="both"/>
              <w:rPr>
                <w:sz w:val="20"/>
                <w:szCs w:val="20"/>
              </w:rPr>
            </w:pPr>
            <w:r>
              <w:rPr>
                <w:sz w:val="20"/>
                <w:szCs w:val="20"/>
              </w:rPr>
              <w:t>Quantitative analysis of merger data from nine hospitals relating to staff job satisfaction</w:t>
            </w:r>
          </w:p>
        </w:tc>
        <w:tc>
          <w:tcPr>
            <w:tcW w:w="530" w:type="pct"/>
          </w:tcPr>
          <w:p w14:paraId="10656F44"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5A7DDD8C" w14:textId="77777777" w:rsidTr="00A77C56">
        <w:trPr>
          <w:trHeight w:val="221"/>
        </w:trPr>
        <w:tc>
          <w:tcPr>
            <w:tcW w:w="768" w:type="pct"/>
          </w:tcPr>
          <w:p w14:paraId="6C692AA8" w14:textId="77777777" w:rsidR="00EE501D" w:rsidRPr="00C6520A" w:rsidRDefault="00EE501D" w:rsidP="00525BE0">
            <w:pPr>
              <w:spacing w:line="360" w:lineRule="auto"/>
              <w:jc w:val="both"/>
              <w:rPr>
                <w:sz w:val="20"/>
                <w:szCs w:val="20"/>
              </w:rPr>
            </w:pPr>
            <w:r>
              <w:rPr>
                <w:sz w:val="20"/>
                <w:szCs w:val="20"/>
              </w:rPr>
              <w:t>Mandell &amp; Steelman (2003)</w:t>
            </w:r>
          </w:p>
        </w:tc>
        <w:tc>
          <w:tcPr>
            <w:tcW w:w="336" w:type="pct"/>
          </w:tcPr>
          <w:p w14:paraId="1996584F" w14:textId="77777777" w:rsidR="00EE501D" w:rsidRDefault="00EE501D" w:rsidP="00525BE0">
            <w:pPr>
              <w:spacing w:line="360" w:lineRule="auto"/>
              <w:jc w:val="both"/>
              <w:rPr>
                <w:sz w:val="20"/>
                <w:szCs w:val="20"/>
              </w:rPr>
            </w:pPr>
            <w:r>
              <w:rPr>
                <w:sz w:val="20"/>
                <w:szCs w:val="20"/>
              </w:rPr>
              <w:t>Mixed</w:t>
            </w:r>
          </w:p>
        </w:tc>
        <w:tc>
          <w:tcPr>
            <w:tcW w:w="807" w:type="pct"/>
          </w:tcPr>
          <w:p w14:paraId="37C68A1E" w14:textId="77777777" w:rsidR="00EE501D" w:rsidRPr="00C6520A" w:rsidRDefault="00EE501D" w:rsidP="00525BE0">
            <w:pPr>
              <w:spacing w:line="360" w:lineRule="auto"/>
              <w:jc w:val="both"/>
              <w:rPr>
                <w:sz w:val="20"/>
                <w:szCs w:val="20"/>
              </w:rPr>
            </w:pPr>
            <w:r>
              <w:rPr>
                <w:sz w:val="20"/>
                <w:szCs w:val="20"/>
              </w:rPr>
              <w:t>Partnerships (mixed)</w:t>
            </w:r>
          </w:p>
        </w:tc>
        <w:tc>
          <w:tcPr>
            <w:tcW w:w="639" w:type="pct"/>
          </w:tcPr>
          <w:p w14:paraId="56AD7C4F" w14:textId="77777777" w:rsidR="00EE501D" w:rsidRDefault="00EE501D" w:rsidP="00525BE0">
            <w:pPr>
              <w:spacing w:line="360" w:lineRule="auto"/>
              <w:jc w:val="both"/>
              <w:rPr>
                <w:sz w:val="20"/>
                <w:szCs w:val="20"/>
              </w:rPr>
            </w:pPr>
            <w:r>
              <w:rPr>
                <w:sz w:val="20"/>
                <w:szCs w:val="20"/>
              </w:rPr>
              <w:t>Public sector</w:t>
            </w:r>
          </w:p>
        </w:tc>
        <w:tc>
          <w:tcPr>
            <w:tcW w:w="1919" w:type="pct"/>
          </w:tcPr>
          <w:p w14:paraId="5886D39D" w14:textId="77777777" w:rsidR="00EE501D" w:rsidRDefault="00EE501D" w:rsidP="00525BE0">
            <w:pPr>
              <w:spacing w:line="360" w:lineRule="auto"/>
              <w:jc w:val="both"/>
              <w:rPr>
                <w:sz w:val="20"/>
                <w:szCs w:val="20"/>
              </w:rPr>
            </w:pPr>
            <w:r>
              <w:rPr>
                <w:sz w:val="20"/>
                <w:szCs w:val="20"/>
              </w:rPr>
              <w:t>Review</w:t>
            </w:r>
          </w:p>
        </w:tc>
        <w:tc>
          <w:tcPr>
            <w:tcW w:w="530" w:type="pct"/>
          </w:tcPr>
          <w:p w14:paraId="477123F9" w14:textId="77777777" w:rsidR="00EE501D" w:rsidRDefault="00EE501D" w:rsidP="00525BE0">
            <w:pPr>
              <w:spacing w:line="360" w:lineRule="auto"/>
              <w:jc w:val="both"/>
              <w:rPr>
                <w:sz w:val="20"/>
                <w:szCs w:val="20"/>
              </w:rPr>
            </w:pPr>
            <w:r>
              <w:rPr>
                <w:sz w:val="20"/>
                <w:szCs w:val="20"/>
              </w:rPr>
              <w:t>Gleaning</w:t>
            </w:r>
          </w:p>
        </w:tc>
      </w:tr>
      <w:tr w:rsidR="00EE501D" w:rsidRPr="00C6520A" w14:paraId="47BA567C" w14:textId="77777777" w:rsidTr="00A77C56">
        <w:trPr>
          <w:trHeight w:val="221"/>
        </w:trPr>
        <w:tc>
          <w:tcPr>
            <w:tcW w:w="768" w:type="pct"/>
          </w:tcPr>
          <w:p w14:paraId="29A938C0" w14:textId="68190D58"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{"citationItems":[{"id":"ITEM-1","itemData":{"author":[{"dropping-particle":"","family":"Maniatopoulos","given":"Gregory","non-dropping-particle":"","parse-names":false,"suffix":""},{"dropping-particle":"","family":"Hunter","given":"David J","non-dropping-particle":"","parse-names":false,"suffix":""},{"dropping-particle":"","family":"Erskine","given":"Jonathan","non-dropping-particle":"","parse-names":false,"suffix":""},{"dropping-particle":"","family":"Hudson","given":"Bob","non-dropping-particle":"","parse-names":false,"suffix":""}],"container-title":"Transitions and Boundaries in the Coordination and Reform of Health Services","id":"ITEM-1","issued":{"date-parts":[["2020"]]},"page":"3-27","publisher":"Palgrave Macmillan","title":"Implementing the New Care Models in the NHS: Reconfiguring the Multilevel Nature of Context to Make It Happen","type":"chapter"},"uris":["http://www.mendeley.com/documents/?uuid=39abc5ef-6e24-46f0-b382-e9337d5943e6"]}],"mendeley":{"formattedCitation":"&lt;sup&gt;181&lt;/sup&gt;","manualFormatting":"Maniatopoulos et al. (2020)","plainTextFormattedCitation":"181","previouslyFormattedCitation":"&lt;sup&gt;181&lt;/sup&gt;"},"properties":{"noteIndex":0},"schema":"https://github.com/citation-style-language/schema/raw/master/csl-citation.json"}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Maniatopoulos </w:t>
            </w:r>
            <w:r w:rsidRPr="00E4022F">
              <w:rPr>
                <w:i/>
                <w:noProof/>
                <w:sz w:val="20"/>
                <w:szCs w:val="20"/>
              </w:rPr>
              <w:t>et al.</w:t>
            </w:r>
            <w:r>
              <w:rPr>
                <w:i/>
                <w:noProof/>
                <w:sz w:val="20"/>
                <w:szCs w:val="20"/>
              </w:rPr>
              <w:t xml:space="preserve"> </w:t>
            </w:r>
            <w:r w:rsidRPr="00C6520A">
              <w:rPr>
                <w:noProof/>
                <w:sz w:val="20"/>
                <w:szCs w:val="20"/>
              </w:rPr>
              <w:t>(</w:t>
            </w:r>
            <w:r w:rsidRPr="00E4022F">
              <w:rPr>
                <w:noProof/>
                <w:sz w:val="20"/>
                <w:szCs w:val="20"/>
              </w:rPr>
              <w:t>2020)</w:t>
            </w:r>
            <w:r w:rsidRPr="00C6520A">
              <w:rPr>
                <w:sz w:val="20"/>
                <w:szCs w:val="20"/>
              </w:rPr>
              <w:fldChar w:fldCharType="end"/>
            </w:r>
          </w:p>
        </w:tc>
        <w:tc>
          <w:tcPr>
            <w:tcW w:w="336" w:type="pct"/>
          </w:tcPr>
          <w:p w14:paraId="5BF2DF03" w14:textId="77777777" w:rsidR="00EE501D" w:rsidRPr="00C6520A" w:rsidRDefault="00EE501D" w:rsidP="00525BE0">
            <w:pPr>
              <w:spacing w:line="360" w:lineRule="auto"/>
              <w:jc w:val="both"/>
              <w:rPr>
                <w:sz w:val="20"/>
                <w:szCs w:val="20"/>
              </w:rPr>
            </w:pPr>
            <w:r>
              <w:rPr>
                <w:sz w:val="20"/>
                <w:szCs w:val="20"/>
              </w:rPr>
              <w:t>UK</w:t>
            </w:r>
          </w:p>
        </w:tc>
        <w:tc>
          <w:tcPr>
            <w:tcW w:w="807" w:type="pct"/>
          </w:tcPr>
          <w:p w14:paraId="0F6257F3" w14:textId="77777777" w:rsidR="00EE501D" w:rsidRPr="00C6520A" w:rsidRDefault="00EE501D" w:rsidP="00525BE0">
            <w:pPr>
              <w:spacing w:line="360" w:lineRule="auto"/>
              <w:jc w:val="both"/>
              <w:rPr>
                <w:sz w:val="20"/>
                <w:szCs w:val="20"/>
              </w:rPr>
            </w:pPr>
            <w:r w:rsidRPr="00C6520A">
              <w:rPr>
                <w:sz w:val="20"/>
                <w:szCs w:val="20"/>
              </w:rPr>
              <w:t>Vanguards (eleven different cases)</w:t>
            </w:r>
          </w:p>
        </w:tc>
        <w:tc>
          <w:tcPr>
            <w:tcW w:w="639" w:type="pct"/>
          </w:tcPr>
          <w:p w14:paraId="4AD4C14B"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5F08470A" w14:textId="77777777" w:rsidR="00EE501D" w:rsidRPr="00C6520A" w:rsidRDefault="00EE501D" w:rsidP="00525BE0">
            <w:pPr>
              <w:spacing w:line="360" w:lineRule="auto"/>
              <w:jc w:val="both"/>
              <w:rPr>
                <w:sz w:val="20"/>
                <w:szCs w:val="20"/>
              </w:rPr>
            </w:pPr>
            <w:r>
              <w:rPr>
                <w:sz w:val="20"/>
                <w:szCs w:val="20"/>
              </w:rPr>
              <w:t xml:space="preserve">Comparative case studies including 66 semi-structured qualitative interviews across nine vanguards, as well as documentary analysis of included </w:t>
            </w:r>
          </w:p>
        </w:tc>
        <w:tc>
          <w:tcPr>
            <w:tcW w:w="530" w:type="pct"/>
          </w:tcPr>
          <w:p w14:paraId="5B9A40F1" w14:textId="77777777" w:rsidR="00EE501D" w:rsidRDefault="00EE501D" w:rsidP="00525BE0">
            <w:pPr>
              <w:spacing w:line="360" w:lineRule="auto"/>
              <w:jc w:val="both"/>
              <w:rPr>
                <w:sz w:val="20"/>
                <w:szCs w:val="20"/>
              </w:rPr>
            </w:pPr>
            <w:r>
              <w:rPr>
                <w:sz w:val="20"/>
                <w:szCs w:val="20"/>
              </w:rPr>
              <w:t>Refinement</w:t>
            </w:r>
          </w:p>
        </w:tc>
      </w:tr>
      <w:tr w:rsidR="00EE501D" w14:paraId="17B7E7B3" w14:textId="77777777" w:rsidTr="00A77C56">
        <w:trPr>
          <w:trHeight w:val="236"/>
        </w:trPr>
        <w:tc>
          <w:tcPr>
            <w:tcW w:w="768" w:type="pct"/>
          </w:tcPr>
          <w:p w14:paraId="5294B354" w14:textId="6A05B7B9" w:rsidR="00EE501D" w:rsidRPr="00C6520A" w:rsidRDefault="00EE501D" w:rsidP="00525BE0">
            <w:pPr>
              <w:spacing w:line="360" w:lineRule="auto"/>
              <w:jc w:val="both"/>
              <w:rPr>
                <w:sz w:val="20"/>
                <w:szCs w:val="20"/>
              </w:rPr>
            </w:pPr>
            <w:r>
              <w:rPr>
                <w:sz w:val="20"/>
                <w:szCs w:val="20"/>
              </w:rPr>
              <w:fldChar w:fldCharType="begin" w:fldLock="1"/>
            </w:r>
            <w:r w:rsidR="00EA4B53">
              <w:rPr>
                <w:sz w:val="20"/>
                <w:szCs w:val="20"/>
              </w:rPr>
              <w:instrText>ADDIN CSL_CITATION {"citationItems":[{"id":"ITEM-1","itemData":{"DOI":"https://doi.org/10.1108/IJOA-05-2018-1415","author":[{"dropping-particle":"","family":"Mervyn","given":"K","non-dropping-particle":"","parse-names":false,"suffix":""},{"dropping-particle":"","family":"Amoo","given":"N A","non-dropping-particle":"","parse-names":false,"suffix":""},{"dropping-particle":"","family":"Malby","given":"R","non-dropping-particle":"","parse-names":false,"suffix":""}],"container-title":"International Journal of Organizational Analysis","id":"ITEM-1","issue":"4","issued":{"date-parts":[["2019"]]},"page":"875-902","title":"Challenges and Insights in Inter-Organizational Collaborative Healthcare Networks: An Empirical Case Study of a Place-Based Network","type":"article-journal","volume":"27"},"uris":["http://www.mendeley.com/documents/?uuid=aa6dd05a-caa5-4fee-9d38-0a4cd50fa898"]}],"mendeley":{"formattedCitation":"&lt;sup&gt;182&lt;/sup&gt;","manualFormatting":"Mervyn, Amoo and Malby (2019)","plainTextFormattedCitation":"182","previouslyFormattedCitation":"&lt;sup&gt;182&lt;/sup&gt;"},"properties":{"noteIndex":0},"schema":"https://github.com/citation-style-language/schema/raw/master/csl-citation.json"}</w:instrText>
            </w:r>
            <w:r>
              <w:rPr>
                <w:sz w:val="20"/>
                <w:szCs w:val="20"/>
              </w:rPr>
              <w:fldChar w:fldCharType="separate"/>
            </w:r>
            <w:r w:rsidRPr="00E4022F">
              <w:rPr>
                <w:noProof/>
                <w:sz w:val="20"/>
                <w:szCs w:val="20"/>
              </w:rPr>
              <w:t>Mervyn, Amoo and Malby</w:t>
            </w:r>
            <w:r>
              <w:rPr>
                <w:noProof/>
                <w:sz w:val="20"/>
                <w:szCs w:val="20"/>
              </w:rPr>
              <w:t xml:space="preserve"> </w:t>
            </w:r>
            <w:r w:rsidRPr="00C6520A">
              <w:rPr>
                <w:noProof/>
                <w:sz w:val="20"/>
                <w:szCs w:val="20"/>
              </w:rPr>
              <w:t>(</w:t>
            </w:r>
            <w:r w:rsidRPr="00E4022F">
              <w:rPr>
                <w:noProof/>
                <w:sz w:val="20"/>
                <w:szCs w:val="20"/>
              </w:rPr>
              <w:t>2019)</w:t>
            </w:r>
            <w:r>
              <w:rPr>
                <w:sz w:val="20"/>
                <w:szCs w:val="20"/>
              </w:rPr>
              <w:fldChar w:fldCharType="end"/>
            </w:r>
          </w:p>
        </w:tc>
        <w:tc>
          <w:tcPr>
            <w:tcW w:w="336" w:type="pct"/>
          </w:tcPr>
          <w:p w14:paraId="2DB08704" w14:textId="77777777" w:rsidR="00EE501D" w:rsidRDefault="00EE501D" w:rsidP="00525BE0">
            <w:pPr>
              <w:spacing w:line="360" w:lineRule="auto"/>
              <w:jc w:val="both"/>
              <w:rPr>
                <w:sz w:val="20"/>
                <w:szCs w:val="20"/>
              </w:rPr>
            </w:pPr>
            <w:r>
              <w:rPr>
                <w:sz w:val="20"/>
                <w:szCs w:val="20"/>
              </w:rPr>
              <w:t>England</w:t>
            </w:r>
          </w:p>
        </w:tc>
        <w:tc>
          <w:tcPr>
            <w:tcW w:w="807" w:type="pct"/>
          </w:tcPr>
          <w:p w14:paraId="683874B3" w14:textId="77777777" w:rsidR="00EE501D" w:rsidRPr="00C6520A" w:rsidRDefault="00EE501D" w:rsidP="00525BE0">
            <w:pPr>
              <w:spacing w:line="360" w:lineRule="auto"/>
              <w:jc w:val="both"/>
              <w:rPr>
                <w:sz w:val="20"/>
                <w:szCs w:val="20"/>
              </w:rPr>
            </w:pPr>
            <w:r>
              <w:rPr>
                <w:sz w:val="20"/>
                <w:szCs w:val="20"/>
              </w:rPr>
              <w:t>Network</w:t>
            </w:r>
          </w:p>
        </w:tc>
        <w:tc>
          <w:tcPr>
            <w:tcW w:w="639" w:type="pct"/>
          </w:tcPr>
          <w:p w14:paraId="58E1E578"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6D2D22C1" w14:textId="77777777" w:rsidR="00EE501D" w:rsidRDefault="00EE501D" w:rsidP="00525BE0">
            <w:pPr>
              <w:spacing w:line="360" w:lineRule="auto"/>
              <w:jc w:val="both"/>
              <w:rPr>
                <w:sz w:val="20"/>
                <w:szCs w:val="20"/>
              </w:rPr>
            </w:pPr>
            <w:r>
              <w:rPr>
                <w:sz w:val="20"/>
                <w:szCs w:val="20"/>
              </w:rPr>
              <w:t>Exploratory case study employing 12 initial semi-structured interviews, a literature review, and then an additional 21 interviews with another sample</w:t>
            </w:r>
          </w:p>
        </w:tc>
        <w:tc>
          <w:tcPr>
            <w:tcW w:w="530" w:type="pct"/>
          </w:tcPr>
          <w:p w14:paraId="779B311C" w14:textId="77777777" w:rsidR="00EE501D" w:rsidRDefault="00EE501D" w:rsidP="00525BE0">
            <w:pPr>
              <w:spacing w:line="360" w:lineRule="auto"/>
              <w:jc w:val="both"/>
              <w:rPr>
                <w:sz w:val="20"/>
                <w:szCs w:val="20"/>
              </w:rPr>
            </w:pPr>
            <w:r>
              <w:rPr>
                <w:sz w:val="20"/>
                <w:szCs w:val="20"/>
              </w:rPr>
              <w:t>Refinement</w:t>
            </w:r>
          </w:p>
        </w:tc>
      </w:tr>
      <w:tr w:rsidR="00EE501D" w:rsidRPr="00C6520A" w14:paraId="7794EC9A" w14:textId="77777777" w:rsidTr="00A77C56">
        <w:trPr>
          <w:trHeight w:val="236"/>
        </w:trPr>
        <w:tc>
          <w:tcPr>
            <w:tcW w:w="768" w:type="pct"/>
          </w:tcPr>
          <w:p w14:paraId="0540807E" w14:textId="4C5A4361" w:rsidR="00EE501D" w:rsidRPr="00C6520A" w:rsidRDefault="00EE501D" w:rsidP="00525BE0">
            <w:pPr>
              <w:spacing w:line="360" w:lineRule="auto"/>
              <w:jc w:val="both"/>
              <w:rPr>
                <w:sz w:val="20"/>
                <w:szCs w:val="20"/>
              </w:rPr>
            </w:pPr>
            <w:r w:rsidRPr="00C6520A">
              <w:rPr>
                <w:sz w:val="20"/>
                <w:szCs w:val="20"/>
              </w:rPr>
              <w:fldChar w:fldCharType="begin" w:fldLock="1"/>
            </w:r>
            <w:r w:rsidR="00804189">
              <w:rPr>
                <w:sz w:val="20"/>
                <w:szCs w:val="20"/>
              </w:rPr>
              <w:instrText>ADDIN CSL_CITATION {"citationItems":[{"id":"ITEM-1","itemData":{"DOI":"10.1111/1468-0009.12356","ISSN":"14680009","abstract":"Policy Points Accountable care organizations (ACOs) form alliances with management partners to access financial, technical, and managerial support. Alliances between ACOs and management partners are subject to destabilizing tension around decision-making authority, distribution of shared savings, and conflicting goals and values. Management partners may serve either as trainers, ultimately breaking off from the ACO, or as central drivers of the ACO. Management partner participation in ACOs is currently unregulated, and management partners may receive a significant portion (in some cases, majority) of shared savings. Context: Accountable care organizations (ACOs) are a prominent payment and delivery model. Though ACOs are often described as groups of health care providers, nearly 4 in 10 ACOs partner with a management company for services such as financial investment, contracting, data analytics, and care management, according to recent research. However, we know little about how and why these partnerships form. This article aims to understand the reasons providers seek partners, the nature of these relationships, and factors critical to the success or failure of these alliances. Methods: We used qualitative data collected longitudinally from 2012 to 2017 at 2 ACOs to understand relationships between management partners and ACO providers. The data include 115 semistructured interviews and observational data from 7 site visits. Two coders applied 48 codes to the data. We reviewed coded data for emergent themes in the context of alliance life cycle theory. Findings: Qualitative data revealed that management partners brought specific skills and services and also gave providers confidence in pursuing an ACO. Over time, tension between providers and management partners arose around decision-making authority, distribution of shared savings, and conflicting goals and values. We observed 2 outcomes of partnerships: cemented partnerships and dissolution. Key factors distinguishing alliance outcome in these 2 cases include degree of trust between organizations in the alliance; approach to conflict resolution; distribution of power in the alliance; skills and confidence acquired by the ACO over the life of the alliance; continuity of management partner delivery on promised resources; and proportion of savings going to the management partner. Conclusions: The diverging paths for ACOs with management partners suggest 2 different roles that management partners may pla…","author":[{"dropping-particle":"","family":"Murray","given":"Genevra F.","non-dropping-particle":"","parse-names":false,"suffix":""},{"dropping-particle":"","family":"D'Aunno","given":"Thomas","non-dropping-particle":"","parse-names":false,"suffix":""},{"dropping-particle":"","family":"Lewis","given":"Valerie A.","non-dropping-particle":"","parse-names":false,"suffix":""}],"container-title":"Milbank Quarterly","id":"ITEM-1","issue":"4","issued":{"date-parts":[["2018"]]},"page":"755-781","title":"Trust, Money, and Power: Life Cycle Dynamics in Alliances Between Management Partners and Accountable Care Organizations","type":"article-journal","volume":"96"},"uris":["http://www.mendeley.com/documents/?uuid=87ed0673-8dc6-4539-95b4-fffb3d412316"]}],"mendeley":{"formattedCitation":"&lt;sup&gt;100&lt;/sup&gt;","manualFormatting":"Murray, D’Aunno and Lewis (2018)","plainTextFormattedCitation":"100","previouslyFormattedCitation":"&lt;sup&gt;100&lt;/sup&gt;"},"properties":{"noteIndex":0},"schema":"https://github.com/citation-style-language/schema/raw/master/csl-citation.json"}</w:instrText>
            </w:r>
            <w:r w:rsidRPr="00C6520A">
              <w:rPr>
                <w:sz w:val="20"/>
                <w:szCs w:val="20"/>
              </w:rPr>
              <w:fldChar w:fldCharType="separate"/>
            </w:r>
            <w:r w:rsidRPr="00E4022F">
              <w:rPr>
                <w:noProof/>
                <w:sz w:val="20"/>
                <w:szCs w:val="20"/>
              </w:rPr>
              <w:t>Murray, D’Aunno and Lewis</w:t>
            </w:r>
            <w:r>
              <w:rPr>
                <w:noProof/>
                <w:sz w:val="20"/>
                <w:szCs w:val="20"/>
              </w:rPr>
              <w:t xml:space="preserve"> </w:t>
            </w:r>
            <w:r w:rsidRPr="00C6520A">
              <w:rPr>
                <w:noProof/>
                <w:sz w:val="20"/>
                <w:szCs w:val="20"/>
              </w:rPr>
              <w:t>(</w:t>
            </w:r>
            <w:r w:rsidRPr="00E4022F">
              <w:rPr>
                <w:noProof/>
                <w:sz w:val="20"/>
                <w:szCs w:val="20"/>
              </w:rPr>
              <w:t>2018)</w:t>
            </w:r>
            <w:r w:rsidRPr="00C6520A">
              <w:rPr>
                <w:sz w:val="20"/>
                <w:szCs w:val="20"/>
              </w:rPr>
              <w:fldChar w:fldCharType="end"/>
            </w:r>
          </w:p>
        </w:tc>
        <w:tc>
          <w:tcPr>
            <w:tcW w:w="336" w:type="pct"/>
          </w:tcPr>
          <w:p w14:paraId="168E19AC" w14:textId="77777777" w:rsidR="00EE501D" w:rsidRPr="00C6520A" w:rsidRDefault="00EE501D" w:rsidP="00525BE0">
            <w:pPr>
              <w:spacing w:line="360" w:lineRule="auto"/>
              <w:jc w:val="both"/>
              <w:rPr>
                <w:sz w:val="20"/>
                <w:szCs w:val="20"/>
              </w:rPr>
            </w:pPr>
            <w:r>
              <w:rPr>
                <w:sz w:val="20"/>
                <w:szCs w:val="20"/>
              </w:rPr>
              <w:t>USA</w:t>
            </w:r>
          </w:p>
        </w:tc>
        <w:tc>
          <w:tcPr>
            <w:tcW w:w="807" w:type="pct"/>
          </w:tcPr>
          <w:p w14:paraId="647BA24A" w14:textId="77777777" w:rsidR="00EE501D" w:rsidRPr="00C6520A" w:rsidRDefault="00EE501D" w:rsidP="00525BE0">
            <w:pPr>
              <w:spacing w:line="360" w:lineRule="auto"/>
              <w:jc w:val="both"/>
              <w:rPr>
                <w:sz w:val="20"/>
                <w:szCs w:val="20"/>
              </w:rPr>
            </w:pPr>
            <w:r w:rsidRPr="00C6520A">
              <w:rPr>
                <w:sz w:val="20"/>
                <w:szCs w:val="20"/>
              </w:rPr>
              <w:t>Accountable care organisation</w:t>
            </w:r>
          </w:p>
        </w:tc>
        <w:tc>
          <w:tcPr>
            <w:tcW w:w="639" w:type="pct"/>
          </w:tcPr>
          <w:p w14:paraId="760DE3AC"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0DE421D1" w14:textId="77777777" w:rsidR="00EE501D" w:rsidRPr="00C6520A" w:rsidRDefault="00EE501D" w:rsidP="00525BE0">
            <w:pPr>
              <w:spacing w:line="360" w:lineRule="auto"/>
              <w:jc w:val="both"/>
              <w:rPr>
                <w:sz w:val="20"/>
                <w:szCs w:val="20"/>
              </w:rPr>
            </w:pPr>
            <w:r>
              <w:rPr>
                <w:sz w:val="20"/>
                <w:szCs w:val="20"/>
              </w:rPr>
              <w:t>Longitudinal case studies from 2012 to 2017 with two ACOs, including 115 semi-structured interviews and observational data based on 7 site visits</w:t>
            </w:r>
          </w:p>
        </w:tc>
        <w:tc>
          <w:tcPr>
            <w:tcW w:w="530" w:type="pct"/>
          </w:tcPr>
          <w:p w14:paraId="03F20ACC"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5B1EFB77" w14:textId="77777777" w:rsidTr="00A77C56">
        <w:trPr>
          <w:trHeight w:val="236"/>
        </w:trPr>
        <w:tc>
          <w:tcPr>
            <w:tcW w:w="768" w:type="pct"/>
          </w:tcPr>
          <w:p w14:paraId="2745CE80" w14:textId="5E290740"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{"citationItems":[{"id":"ITEM-1","itemData":{"ISBN":"9781909029","abstract":"A core part of the vision laid out in the NHS five year forward view (Forward View) involves acute hospitals becoming more closely integrated with other forms of care. If the health and social care system is to respond to the changing needs of the population, and also address the financial challenges it faces, acute hospitals will need to play a fundamentally different role within local health economies. This will involve: • moving from an organisational focus to a system-wide perspective • working more closely with local partners, including primary care, social care and community services • developing integrated service models that span organisational boundaries • providing services through horizontal networks with other acute hospitals. This report explores the role that acute hospitals can play in integrated care, drawing on learning from five case study sites in England where acute hospital providers have engaged actively with the integration agenda.","author":[{"dropping-particle":"","family":"Naylor","given":"Chris","non-dropping-particle":"","parse-names":false,"suffix":""},{"dropping-particle":"","family":"Alderwick","given":"Hugh","non-dropping-particle":"","parse-names":false,"suffix":""},{"dropping-particle":"","family":"Honeyman","given":"Matthew","non-dropping-particle":"","parse-names":false,"suffix":""}],"container-title":"King's Fund (revista electrónica)","id":"ITEM-1","issue":"March","issued":{"date-parts":[["2015"]]},"page":"1-90","title":"Acute hospitals and integrated care. From hospitals to health systems.","type":"article-journal"},"uris":["http://www.mendeley.com/documents/?uuid=934e1f78-de81-450c-9f54-205563a3bb17"]}],"mendeley":{"formattedCitation":"&lt;sup&gt;183&lt;/sup&gt;","manualFormatting":"Naylor, Alderwick and Honeyman (2015)","plainTextFormattedCitation":"183","previouslyFormattedCitation":"&lt;sup&gt;183&lt;/sup&gt;"},"properties":{"noteIndex":0},"schema":"https://github.com/citation-style-language/schema/raw/master/csl-citation.json"}</w:instrText>
            </w:r>
            <w:r w:rsidRPr="00C6520A">
              <w:rPr>
                <w:sz w:val="20"/>
                <w:szCs w:val="20"/>
              </w:rPr>
              <w:fldChar w:fldCharType="separate"/>
            </w:r>
            <w:r w:rsidRPr="00E4022F">
              <w:rPr>
                <w:noProof/>
                <w:sz w:val="20"/>
                <w:szCs w:val="20"/>
              </w:rPr>
              <w:t>Naylor, Alderwick and Honeyman</w:t>
            </w:r>
            <w:r>
              <w:rPr>
                <w:noProof/>
                <w:sz w:val="20"/>
                <w:szCs w:val="20"/>
              </w:rPr>
              <w:t xml:space="preserve"> </w:t>
            </w:r>
            <w:r w:rsidRPr="00C6520A">
              <w:rPr>
                <w:noProof/>
                <w:sz w:val="20"/>
                <w:szCs w:val="20"/>
              </w:rPr>
              <w:t>(</w:t>
            </w:r>
            <w:r w:rsidRPr="00E4022F">
              <w:rPr>
                <w:noProof/>
                <w:sz w:val="20"/>
                <w:szCs w:val="20"/>
              </w:rPr>
              <w:t>2015)</w:t>
            </w:r>
            <w:r w:rsidRPr="00C6520A">
              <w:rPr>
                <w:sz w:val="20"/>
                <w:szCs w:val="20"/>
              </w:rPr>
              <w:fldChar w:fldCharType="end"/>
            </w:r>
          </w:p>
        </w:tc>
        <w:tc>
          <w:tcPr>
            <w:tcW w:w="336" w:type="pct"/>
          </w:tcPr>
          <w:p w14:paraId="3C0FD666"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46A0CEFC" w14:textId="77777777" w:rsidR="00EE501D" w:rsidRPr="00C6520A" w:rsidRDefault="00EE501D" w:rsidP="00525BE0">
            <w:pPr>
              <w:spacing w:line="360" w:lineRule="auto"/>
              <w:jc w:val="both"/>
              <w:rPr>
                <w:sz w:val="20"/>
                <w:szCs w:val="20"/>
              </w:rPr>
            </w:pPr>
            <w:r w:rsidRPr="00C6520A">
              <w:rPr>
                <w:sz w:val="20"/>
                <w:szCs w:val="20"/>
              </w:rPr>
              <w:t>Integrated care</w:t>
            </w:r>
          </w:p>
        </w:tc>
        <w:tc>
          <w:tcPr>
            <w:tcW w:w="639" w:type="pct"/>
          </w:tcPr>
          <w:p w14:paraId="223181C6"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604C55CE" w14:textId="77777777" w:rsidR="00EE501D" w:rsidRPr="00C6520A" w:rsidRDefault="00EE501D" w:rsidP="00525BE0">
            <w:pPr>
              <w:spacing w:line="360" w:lineRule="auto"/>
              <w:jc w:val="both"/>
              <w:rPr>
                <w:sz w:val="20"/>
                <w:szCs w:val="20"/>
              </w:rPr>
            </w:pPr>
            <w:r>
              <w:rPr>
                <w:sz w:val="20"/>
                <w:szCs w:val="20"/>
              </w:rPr>
              <w:t>Five case study sites with acute hospital providers that have moved towards integrated care, utilising 39 in-depth interviews and site visits</w:t>
            </w:r>
          </w:p>
        </w:tc>
        <w:tc>
          <w:tcPr>
            <w:tcW w:w="530" w:type="pct"/>
          </w:tcPr>
          <w:p w14:paraId="6B84A79C" w14:textId="77777777" w:rsidR="00EE501D" w:rsidRDefault="00EE501D" w:rsidP="00525BE0">
            <w:pPr>
              <w:spacing w:line="360" w:lineRule="auto"/>
              <w:jc w:val="both"/>
              <w:rPr>
                <w:sz w:val="20"/>
                <w:szCs w:val="20"/>
              </w:rPr>
            </w:pPr>
            <w:r>
              <w:rPr>
                <w:sz w:val="20"/>
                <w:szCs w:val="20"/>
              </w:rPr>
              <w:t>Refinement</w:t>
            </w:r>
          </w:p>
        </w:tc>
      </w:tr>
      <w:tr w:rsidR="00EE501D" w:rsidRPr="00C6520A" w14:paraId="01BD58A0" w14:textId="77777777" w:rsidTr="00A77C56">
        <w:trPr>
          <w:trHeight w:val="236"/>
        </w:trPr>
        <w:tc>
          <w:tcPr>
            <w:tcW w:w="768" w:type="pct"/>
          </w:tcPr>
          <w:p w14:paraId="4EA1DE5E" w14:textId="0AD3311B"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{"citationItems":[{"id":"ITEM-1","itemData":{"author":[{"dropping-particle":"","family":"NHS Employers","given":"","non-dropping-particle":"","parse-names":false,"suffix":""}],"id":"ITEM-1","issued":{"date-parts":[["2017"]]},"page":"1-56","title":"Trustworthy Collaboration","type":"article-journal"},"uris":["http://www.mendeley.com/documents/?uuid=419502eb-b01f-41ca-aec3-bc02a63dec92"]}],"mendeley":{"formattedCitation":"&lt;sup&gt;44&lt;/sup&gt;","manualFormatting":"NHS Employers (2017)","plainTextFormattedCitation":"44","previouslyFormattedCitation":"&lt;sup&gt;44&lt;/sup&gt;"},"properties":{"noteIndex":0},"schema":"https://github.com/citation-style-language/schema/raw/master/csl-citation.json"}</w:instrText>
            </w:r>
            <w:r w:rsidRPr="00C6520A">
              <w:rPr>
                <w:sz w:val="20"/>
                <w:szCs w:val="20"/>
              </w:rPr>
              <w:fldChar w:fldCharType="separate"/>
            </w:r>
            <w:r>
              <w:rPr>
                <w:noProof/>
                <w:sz w:val="20"/>
                <w:szCs w:val="20"/>
              </w:rPr>
              <w:t>N</w:t>
            </w:r>
            <w:r w:rsidRPr="00E4022F">
              <w:rPr>
                <w:noProof/>
                <w:sz w:val="20"/>
                <w:szCs w:val="20"/>
              </w:rPr>
              <w:t>HS Employers</w:t>
            </w:r>
            <w:r>
              <w:rPr>
                <w:noProof/>
                <w:sz w:val="20"/>
                <w:szCs w:val="20"/>
              </w:rPr>
              <w:t xml:space="preserve"> </w:t>
            </w:r>
            <w:r w:rsidRPr="00C6520A">
              <w:rPr>
                <w:noProof/>
                <w:sz w:val="20"/>
                <w:szCs w:val="20"/>
              </w:rPr>
              <w:t>(</w:t>
            </w:r>
            <w:r w:rsidRPr="00E4022F">
              <w:rPr>
                <w:noProof/>
                <w:sz w:val="20"/>
                <w:szCs w:val="20"/>
              </w:rPr>
              <w:t>2017)</w:t>
            </w:r>
            <w:r w:rsidRPr="00C6520A">
              <w:rPr>
                <w:sz w:val="20"/>
                <w:szCs w:val="20"/>
              </w:rPr>
              <w:fldChar w:fldCharType="end"/>
            </w:r>
          </w:p>
        </w:tc>
        <w:tc>
          <w:tcPr>
            <w:tcW w:w="336" w:type="pct"/>
          </w:tcPr>
          <w:p w14:paraId="32DCA9B2"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5666DA91" w14:textId="77777777" w:rsidR="00EE501D" w:rsidRPr="00C6520A" w:rsidRDefault="00EE501D" w:rsidP="00525BE0">
            <w:pPr>
              <w:spacing w:line="360" w:lineRule="auto"/>
              <w:jc w:val="both"/>
              <w:rPr>
                <w:sz w:val="20"/>
                <w:szCs w:val="20"/>
              </w:rPr>
            </w:pPr>
            <w:r w:rsidRPr="00C6520A">
              <w:rPr>
                <w:sz w:val="20"/>
                <w:szCs w:val="20"/>
              </w:rPr>
              <w:t>Vanguards</w:t>
            </w:r>
          </w:p>
        </w:tc>
        <w:tc>
          <w:tcPr>
            <w:tcW w:w="639" w:type="pct"/>
          </w:tcPr>
          <w:p w14:paraId="42DBE2C3"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089736DF" w14:textId="77777777" w:rsidR="00EE501D" w:rsidRPr="00C6520A" w:rsidRDefault="00EE501D" w:rsidP="00525BE0">
            <w:pPr>
              <w:spacing w:line="360" w:lineRule="auto"/>
              <w:jc w:val="both"/>
              <w:rPr>
                <w:sz w:val="20"/>
                <w:szCs w:val="20"/>
              </w:rPr>
            </w:pPr>
            <w:r>
              <w:rPr>
                <w:sz w:val="20"/>
                <w:szCs w:val="20"/>
              </w:rPr>
              <w:t>In-depth case studies on three vanguards including semi-structured interviews (n=13), focus groups (n=3), and documentary evidence</w:t>
            </w:r>
          </w:p>
        </w:tc>
        <w:tc>
          <w:tcPr>
            <w:tcW w:w="530" w:type="pct"/>
          </w:tcPr>
          <w:p w14:paraId="2C20CF4C" w14:textId="77777777" w:rsidR="00EE501D" w:rsidRDefault="00EE501D" w:rsidP="00525BE0">
            <w:pPr>
              <w:spacing w:line="360" w:lineRule="auto"/>
              <w:jc w:val="both"/>
              <w:rPr>
                <w:sz w:val="20"/>
                <w:szCs w:val="20"/>
              </w:rPr>
            </w:pPr>
            <w:r>
              <w:rPr>
                <w:sz w:val="20"/>
                <w:szCs w:val="20"/>
              </w:rPr>
              <w:t>Refinement</w:t>
            </w:r>
          </w:p>
        </w:tc>
      </w:tr>
      <w:tr w:rsidR="00EE501D" w:rsidRPr="00C6520A" w14:paraId="4E175C93" w14:textId="77777777" w:rsidTr="00A77C56">
        <w:trPr>
          <w:trHeight w:val="236"/>
        </w:trPr>
        <w:tc>
          <w:tcPr>
            <w:tcW w:w="768" w:type="pct"/>
          </w:tcPr>
          <w:p w14:paraId="57FDA693" w14:textId="77777777" w:rsidR="00EE501D" w:rsidRPr="00C6520A" w:rsidRDefault="00EE501D" w:rsidP="00525BE0">
            <w:pPr>
              <w:spacing w:line="360" w:lineRule="auto"/>
              <w:jc w:val="both"/>
              <w:rPr>
                <w:sz w:val="20"/>
                <w:szCs w:val="20"/>
              </w:rPr>
            </w:pPr>
            <w:r>
              <w:rPr>
                <w:sz w:val="20"/>
                <w:szCs w:val="20"/>
              </w:rPr>
              <w:t>NHS Professionals (2019)</w:t>
            </w:r>
          </w:p>
        </w:tc>
        <w:tc>
          <w:tcPr>
            <w:tcW w:w="336" w:type="pct"/>
          </w:tcPr>
          <w:p w14:paraId="38EC34F0" w14:textId="77777777" w:rsidR="00EE501D" w:rsidRDefault="00EE501D" w:rsidP="00525BE0">
            <w:pPr>
              <w:spacing w:line="360" w:lineRule="auto"/>
              <w:jc w:val="both"/>
              <w:rPr>
                <w:sz w:val="20"/>
                <w:szCs w:val="20"/>
              </w:rPr>
            </w:pPr>
            <w:r>
              <w:rPr>
                <w:sz w:val="20"/>
                <w:szCs w:val="20"/>
              </w:rPr>
              <w:t>England</w:t>
            </w:r>
          </w:p>
        </w:tc>
        <w:tc>
          <w:tcPr>
            <w:tcW w:w="807" w:type="pct"/>
          </w:tcPr>
          <w:p w14:paraId="58B7BC5E" w14:textId="77777777" w:rsidR="00EE501D" w:rsidRPr="00C6520A" w:rsidRDefault="00EE501D" w:rsidP="00525BE0">
            <w:pPr>
              <w:spacing w:line="360" w:lineRule="auto"/>
              <w:jc w:val="both"/>
              <w:rPr>
                <w:sz w:val="20"/>
                <w:szCs w:val="20"/>
              </w:rPr>
            </w:pPr>
            <w:r>
              <w:rPr>
                <w:sz w:val="20"/>
                <w:szCs w:val="20"/>
              </w:rPr>
              <w:t>Partnerships (mixed)</w:t>
            </w:r>
          </w:p>
        </w:tc>
        <w:tc>
          <w:tcPr>
            <w:tcW w:w="639" w:type="pct"/>
          </w:tcPr>
          <w:p w14:paraId="1BC2528B" w14:textId="77777777" w:rsidR="00EE501D" w:rsidRDefault="00EE501D" w:rsidP="00525BE0">
            <w:pPr>
              <w:spacing w:line="360" w:lineRule="auto"/>
              <w:jc w:val="both"/>
              <w:rPr>
                <w:sz w:val="20"/>
                <w:szCs w:val="20"/>
              </w:rPr>
            </w:pPr>
            <w:r>
              <w:rPr>
                <w:sz w:val="20"/>
                <w:szCs w:val="20"/>
              </w:rPr>
              <w:t>Health and social care</w:t>
            </w:r>
          </w:p>
        </w:tc>
        <w:tc>
          <w:tcPr>
            <w:tcW w:w="1919" w:type="pct"/>
          </w:tcPr>
          <w:p w14:paraId="08E563A9" w14:textId="77777777" w:rsidR="00EE501D" w:rsidRDefault="00EE501D" w:rsidP="00525BE0">
            <w:pPr>
              <w:spacing w:line="360" w:lineRule="auto"/>
              <w:jc w:val="both"/>
              <w:rPr>
                <w:sz w:val="20"/>
                <w:szCs w:val="20"/>
              </w:rPr>
            </w:pPr>
            <w:r>
              <w:rPr>
                <w:sz w:val="20"/>
                <w:szCs w:val="20"/>
              </w:rPr>
              <w:t>Review</w:t>
            </w:r>
          </w:p>
        </w:tc>
        <w:tc>
          <w:tcPr>
            <w:tcW w:w="530" w:type="pct"/>
          </w:tcPr>
          <w:p w14:paraId="632CF09B" w14:textId="77777777" w:rsidR="00EE501D" w:rsidRDefault="00EE501D" w:rsidP="00525BE0">
            <w:pPr>
              <w:spacing w:line="360" w:lineRule="auto"/>
              <w:jc w:val="both"/>
              <w:rPr>
                <w:sz w:val="20"/>
                <w:szCs w:val="20"/>
              </w:rPr>
            </w:pPr>
            <w:r>
              <w:rPr>
                <w:sz w:val="20"/>
                <w:szCs w:val="20"/>
              </w:rPr>
              <w:t>Gleaning</w:t>
            </w:r>
          </w:p>
        </w:tc>
      </w:tr>
      <w:tr w:rsidR="00EE501D" w:rsidRPr="00C6520A" w14:paraId="35778AD3" w14:textId="77777777" w:rsidTr="00A77C56">
        <w:trPr>
          <w:trHeight w:val="236"/>
        </w:trPr>
        <w:tc>
          <w:tcPr>
            <w:tcW w:w="768" w:type="pct"/>
          </w:tcPr>
          <w:p w14:paraId="71474D50" w14:textId="49DE0EC2"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{"citationItems":[{"id":"ITEM-1","itemData":{"ISSN":"03630277","author":[{"dropping-particle":"","family":"NHS Providers","given":"","non-dropping-particle":"","parse-names":false,"suffix":""}],"id":"ITEM-1","issued":{"date-parts":[["2019"]]},"title":"A place to work: system approaches to workforce challenges in the NHS","type":"report"},"uris":["http://www.mendeley.com/documents/?uuid=345744db-5d57-4ec4-988d-71ae78fe0e66"]}],"mendeley":{"formattedCitation":"&lt;sup&gt;185&lt;/sup&gt;","manualFormatting":"NHS Providers (2019)","plainTextFormattedCitation":"185","previouslyFormattedCitation":"&lt;sup&gt;185&lt;/sup&gt;"},"properties":{"noteIndex":0},"schema":"https://github.com/citation-style-language/schema/raw/master/csl-citation.json"}</w:instrText>
            </w:r>
            <w:r w:rsidRPr="00C6520A">
              <w:rPr>
                <w:sz w:val="20"/>
                <w:szCs w:val="20"/>
              </w:rPr>
              <w:fldChar w:fldCharType="separate"/>
            </w:r>
            <w:r w:rsidRPr="00E4022F">
              <w:rPr>
                <w:noProof/>
                <w:sz w:val="20"/>
                <w:szCs w:val="20"/>
              </w:rPr>
              <w:t>NHS Providers</w:t>
            </w:r>
            <w:r>
              <w:rPr>
                <w:noProof/>
                <w:sz w:val="20"/>
                <w:szCs w:val="20"/>
              </w:rPr>
              <w:t xml:space="preserve"> </w:t>
            </w:r>
            <w:r w:rsidRPr="00C6520A">
              <w:rPr>
                <w:noProof/>
                <w:sz w:val="20"/>
                <w:szCs w:val="20"/>
              </w:rPr>
              <w:t>(</w:t>
            </w:r>
            <w:r w:rsidRPr="00E4022F">
              <w:rPr>
                <w:noProof/>
                <w:sz w:val="20"/>
                <w:szCs w:val="20"/>
              </w:rPr>
              <w:t>2019)</w:t>
            </w:r>
            <w:r w:rsidRPr="00C6520A">
              <w:rPr>
                <w:sz w:val="20"/>
                <w:szCs w:val="20"/>
              </w:rPr>
              <w:fldChar w:fldCharType="end"/>
            </w:r>
          </w:p>
        </w:tc>
        <w:tc>
          <w:tcPr>
            <w:tcW w:w="336" w:type="pct"/>
          </w:tcPr>
          <w:p w14:paraId="576DF511"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305F6285" w14:textId="77777777" w:rsidR="00EE501D" w:rsidRPr="00C6520A" w:rsidRDefault="00EE501D" w:rsidP="00525BE0">
            <w:pPr>
              <w:spacing w:line="360" w:lineRule="auto"/>
              <w:jc w:val="both"/>
              <w:rPr>
                <w:sz w:val="20"/>
                <w:szCs w:val="20"/>
              </w:rPr>
            </w:pPr>
            <w:r w:rsidRPr="00C6520A">
              <w:rPr>
                <w:sz w:val="20"/>
                <w:szCs w:val="20"/>
              </w:rPr>
              <w:t>Integrated care</w:t>
            </w:r>
          </w:p>
        </w:tc>
        <w:tc>
          <w:tcPr>
            <w:tcW w:w="639" w:type="pct"/>
          </w:tcPr>
          <w:p w14:paraId="56535DE2"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57459193" w14:textId="77777777" w:rsidR="00EE501D" w:rsidRPr="00C6520A" w:rsidRDefault="00EE501D" w:rsidP="00525BE0">
            <w:pPr>
              <w:spacing w:line="360" w:lineRule="auto"/>
              <w:jc w:val="both"/>
              <w:rPr>
                <w:sz w:val="20"/>
                <w:szCs w:val="20"/>
              </w:rPr>
            </w:pPr>
            <w:r>
              <w:rPr>
                <w:sz w:val="20"/>
                <w:szCs w:val="20"/>
              </w:rPr>
              <w:t>A briefing by a policy organisation that uses interviews (unknown number)</w:t>
            </w:r>
          </w:p>
        </w:tc>
        <w:tc>
          <w:tcPr>
            <w:tcW w:w="530" w:type="pct"/>
          </w:tcPr>
          <w:p w14:paraId="22EE9284" w14:textId="77777777" w:rsidR="00EE501D" w:rsidRDefault="00EE501D" w:rsidP="00525BE0">
            <w:pPr>
              <w:spacing w:line="360" w:lineRule="auto"/>
              <w:jc w:val="both"/>
              <w:rPr>
                <w:sz w:val="20"/>
                <w:szCs w:val="20"/>
              </w:rPr>
            </w:pPr>
            <w:r>
              <w:rPr>
                <w:sz w:val="20"/>
                <w:szCs w:val="20"/>
              </w:rPr>
              <w:t>Refinement</w:t>
            </w:r>
          </w:p>
        </w:tc>
      </w:tr>
      <w:tr w:rsidR="00EE501D" w:rsidRPr="00C6520A" w14:paraId="105973A3" w14:textId="77777777" w:rsidTr="00A77C56">
        <w:trPr>
          <w:trHeight w:val="236"/>
        </w:trPr>
        <w:tc>
          <w:tcPr>
            <w:tcW w:w="768" w:type="pct"/>
          </w:tcPr>
          <w:p w14:paraId="46159552" w14:textId="603CE280"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{"citationItems":[{"id":"ITEM-1","itemData":{"author":[{"dropping-particle":"","family":"NHS Providers","given":"","non-dropping-particle":"","parse-names":false,"suffix":""}],"container-title":"NHS Providers","id":"ITEM-1","issue":"November","issued":{"date-parts":[["2018"]]},"title":"Collaborative working: tackling governance challenges in practice","type":"article-journal"},"uris":["http://www.mendeley.com/documents/?uuid=0c4ec821-3dba-4131-99a5-692997a9c94a"]}],"mendeley":{"formattedCitation":"&lt;sup&gt;186&lt;/sup&gt;","manualFormatting":"NHS Providers (2018)","plainTextFormattedCitation":"186","previouslyFormattedCitation":"&lt;sup&gt;186&lt;/sup&gt;"},"properties":{"noteIndex":0},"schema":"https://github.com/citation-style-language/schema/raw/master/csl-citation.json"}</w:instrText>
            </w:r>
            <w:r w:rsidRPr="00C6520A">
              <w:rPr>
                <w:sz w:val="20"/>
                <w:szCs w:val="20"/>
              </w:rPr>
              <w:fldChar w:fldCharType="separate"/>
            </w:r>
            <w:r w:rsidRPr="00E4022F">
              <w:rPr>
                <w:noProof/>
                <w:sz w:val="20"/>
                <w:szCs w:val="20"/>
              </w:rPr>
              <w:t>NHS Providers</w:t>
            </w:r>
            <w:r>
              <w:rPr>
                <w:noProof/>
                <w:sz w:val="20"/>
                <w:szCs w:val="20"/>
              </w:rPr>
              <w:t xml:space="preserve"> </w:t>
            </w:r>
            <w:r w:rsidRPr="00C6520A">
              <w:rPr>
                <w:noProof/>
                <w:sz w:val="20"/>
                <w:szCs w:val="20"/>
              </w:rPr>
              <w:t>(</w:t>
            </w:r>
            <w:r w:rsidRPr="00E4022F">
              <w:rPr>
                <w:noProof/>
                <w:sz w:val="20"/>
                <w:szCs w:val="20"/>
              </w:rPr>
              <w:t>2018)</w:t>
            </w:r>
            <w:r w:rsidRPr="00C6520A">
              <w:rPr>
                <w:sz w:val="20"/>
                <w:szCs w:val="20"/>
              </w:rPr>
              <w:fldChar w:fldCharType="end"/>
            </w:r>
          </w:p>
        </w:tc>
        <w:tc>
          <w:tcPr>
            <w:tcW w:w="336" w:type="pct"/>
          </w:tcPr>
          <w:p w14:paraId="450E4E5E"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50E15559" w14:textId="77777777" w:rsidR="00EE501D" w:rsidRPr="00C6520A" w:rsidRDefault="00EE501D" w:rsidP="00525BE0">
            <w:pPr>
              <w:spacing w:line="360" w:lineRule="auto"/>
              <w:jc w:val="both"/>
              <w:rPr>
                <w:sz w:val="20"/>
                <w:szCs w:val="20"/>
              </w:rPr>
            </w:pPr>
            <w:r w:rsidRPr="00C6520A">
              <w:rPr>
                <w:sz w:val="20"/>
                <w:szCs w:val="20"/>
              </w:rPr>
              <w:t>Integrated care</w:t>
            </w:r>
          </w:p>
        </w:tc>
        <w:tc>
          <w:tcPr>
            <w:tcW w:w="639" w:type="pct"/>
          </w:tcPr>
          <w:p w14:paraId="6F941211"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1E86151B" w14:textId="77777777" w:rsidR="00EE501D" w:rsidRPr="00C6520A" w:rsidRDefault="00EE501D" w:rsidP="00525BE0">
            <w:pPr>
              <w:spacing w:line="360" w:lineRule="auto"/>
              <w:jc w:val="both"/>
              <w:rPr>
                <w:sz w:val="20"/>
                <w:szCs w:val="20"/>
              </w:rPr>
            </w:pPr>
            <w:r>
              <w:rPr>
                <w:sz w:val="20"/>
                <w:szCs w:val="20"/>
              </w:rPr>
              <w:t>Case studies from three health and social care partnerships in England, in the format of a series of organisational reports</w:t>
            </w:r>
          </w:p>
        </w:tc>
        <w:tc>
          <w:tcPr>
            <w:tcW w:w="530" w:type="pct"/>
          </w:tcPr>
          <w:p w14:paraId="18E47B43" w14:textId="77777777" w:rsidR="00EE501D" w:rsidRDefault="00EE501D" w:rsidP="00525BE0">
            <w:pPr>
              <w:spacing w:line="360" w:lineRule="auto"/>
              <w:jc w:val="both"/>
              <w:rPr>
                <w:sz w:val="20"/>
                <w:szCs w:val="20"/>
              </w:rPr>
            </w:pPr>
            <w:r>
              <w:rPr>
                <w:sz w:val="20"/>
                <w:szCs w:val="20"/>
              </w:rPr>
              <w:t>Refinement</w:t>
            </w:r>
          </w:p>
        </w:tc>
      </w:tr>
      <w:tr w:rsidR="00EE501D" w:rsidRPr="00C6520A" w14:paraId="59ED118D" w14:textId="77777777" w:rsidTr="00A77C56">
        <w:trPr>
          <w:trHeight w:val="473"/>
        </w:trPr>
        <w:tc>
          <w:tcPr>
            <w:tcW w:w="768" w:type="pct"/>
          </w:tcPr>
          <w:p w14:paraId="52B5F3D4" w14:textId="27E475E2"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{"citationItems":[{"id":"ITEM-1","itemData":{"ISSN":"09678638","author":[{"dropping-particle":"","family":"NHS Providers","given":"","non-dropping-particle":"","parse-names":false,"suffix":""},{"dropping-particle":"","family":"NHS Clinical Commissioners","given":"","non-dropping-particle":"","parse-names":false,"suffix":""}],"container-title":"NHS Providers","id":"ITEM-1","issued":{"date-parts":[["2018"]]},"title":"Driving forward system working: a snapshot of early progress in collaborative commissioning","type":"report"},"uris":["http://www.mendeley.com/documents/?uuid=b34cd3cf-2571-4d34-a9b8-e8eebde5cb2a"]}],"mendeley":{"formattedCitation":"&lt;sup&gt;187&lt;/sup&gt;","manualFormatting":"NHS Providers and NHS Clinical Commissioners (2018)","plainTextFormattedCitation":"187","previouslyFormattedCitation":"&lt;sup&gt;187&lt;/sup&gt;"},"properties":{"noteIndex":0},"schema":"https://github.com/citation-style-language/schema/raw/master/csl-citation.json"}</w:instrText>
            </w:r>
            <w:r w:rsidRPr="00C6520A">
              <w:rPr>
                <w:sz w:val="20"/>
                <w:szCs w:val="20"/>
              </w:rPr>
              <w:fldChar w:fldCharType="separate"/>
            </w:r>
            <w:r>
              <w:rPr>
                <w:noProof/>
                <w:sz w:val="20"/>
                <w:szCs w:val="20"/>
              </w:rPr>
              <w:t>N</w:t>
            </w:r>
            <w:r w:rsidRPr="00E4022F">
              <w:rPr>
                <w:noProof/>
                <w:sz w:val="20"/>
                <w:szCs w:val="20"/>
              </w:rPr>
              <w:t>HS Providers and NHS Clinical Commissioners</w:t>
            </w:r>
            <w:r>
              <w:rPr>
                <w:noProof/>
                <w:sz w:val="20"/>
                <w:szCs w:val="20"/>
              </w:rPr>
              <w:t xml:space="preserve"> </w:t>
            </w:r>
            <w:r w:rsidRPr="00C6520A">
              <w:rPr>
                <w:noProof/>
                <w:sz w:val="20"/>
                <w:szCs w:val="20"/>
              </w:rPr>
              <w:t>(</w:t>
            </w:r>
            <w:r w:rsidRPr="00E4022F">
              <w:rPr>
                <w:noProof/>
                <w:sz w:val="20"/>
                <w:szCs w:val="20"/>
              </w:rPr>
              <w:t>2018)</w:t>
            </w:r>
            <w:r w:rsidRPr="00C6520A">
              <w:rPr>
                <w:sz w:val="20"/>
                <w:szCs w:val="20"/>
              </w:rPr>
              <w:fldChar w:fldCharType="end"/>
            </w:r>
          </w:p>
        </w:tc>
        <w:tc>
          <w:tcPr>
            <w:tcW w:w="336" w:type="pct"/>
          </w:tcPr>
          <w:p w14:paraId="2957EE06"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2D532623" w14:textId="77777777" w:rsidR="00EE501D" w:rsidRPr="00C6520A" w:rsidRDefault="00EE501D" w:rsidP="00525BE0">
            <w:pPr>
              <w:spacing w:line="360" w:lineRule="auto"/>
              <w:jc w:val="both"/>
              <w:rPr>
                <w:sz w:val="20"/>
                <w:szCs w:val="20"/>
              </w:rPr>
            </w:pPr>
            <w:r w:rsidRPr="00C6520A">
              <w:rPr>
                <w:sz w:val="20"/>
                <w:szCs w:val="20"/>
              </w:rPr>
              <w:t>Joint commissioning</w:t>
            </w:r>
          </w:p>
        </w:tc>
        <w:tc>
          <w:tcPr>
            <w:tcW w:w="639" w:type="pct"/>
          </w:tcPr>
          <w:p w14:paraId="69EACAE7"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6F76F6FA" w14:textId="77777777" w:rsidR="00EE501D" w:rsidRPr="00C6520A" w:rsidRDefault="00EE501D" w:rsidP="00525BE0">
            <w:pPr>
              <w:spacing w:line="360" w:lineRule="auto"/>
              <w:jc w:val="both"/>
              <w:rPr>
                <w:sz w:val="20"/>
                <w:szCs w:val="20"/>
              </w:rPr>
            </w:pPr>
            <w:r>
              <w:rPr>
                <w:sz w:val="20"/>
                <w:szCs w:val="20"/>
              </w:rPr>
              <w:t>Policy report drawing on a literature review and in-depth semi-structured interviews with clinical commissioning (n=9), national thought (n=5) and provider leaders (n=10)</w:t>
            </w:r>
          </w:p>
        </w:tc>
        <w:tc>
          <w:tcPr>
            <w:tcW w:w="530" w:type="pct"/>
          </w:tcPr>
          <w:p w14:paraId="41EDC6B6" w14:textId="77777777" w:rsidR="00EE501D" w:rsidRDefault="00EE501D" w:rsidP="00525BE0">
            <w:pPr>
              <w:spacing w:line="360" w:lineRule="auto"/>
              <w:jc w:val="both"/>
              <w:rPr>
                <w:sz w:val="20"/>
                <w:szCs w:val="20"/>
              </w:rPr>
            </w:pPr>
            <w:r>
              <w:rPr>
                <w:sz w:val="20"/>
                <w:szCs w:val="20"/>
              </w:rPr>
              <w:t>Refinement</w:t>
            </w:r>
          </w:p>
        </w:tc>
      </w:tr>
      <w:tr w:rsidR="00EE501D" w:rsidRPr="00C6520A" w14:paraId="32C2312F" w14:textId="77777777" w:rsidTr="00A77C56">
        <w:trPr>
          <w:trHeight w:val="236"/>
        </w:trPr>
        <w:tc>
          <w:tcPr>
            <w:tcW w:w="768" w:type="pct"/>
          </w:tcPr>
          <w:p w14:paraId="76C73B77" w14:textId="10E069A8"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{"citationItems":[{"id":"ITEM-1","itemData":{"DOI":"10.1080/13561820120080454","ISSN":"13561820","PMID":"11725579","abstract":"On the 1st of April 1999 Somerset Health Authority and Somerset County Council established a Joint Commissioning Board (JCB) to commission mental health services. Simultaneously, the Somerset Partnerships Health and Social Care NHS Trust was set-up as a combined health and social care services provider; for the first time in England, the majority of social services mental health staff transferred their employment to this Trust. The JCB commissioned an evaluation of the impact of these innovations on users and carers, staff and senior officers and members in the organisations concerned. In the course of the research, one concept frequently recurred as a source of both optimism and concern: 'culture'. However, the meanings attributed to this term varied significantly between stakeholders. After summarising the methodology and the results to date of the evaluation, this paper briefly reviews the conceptions of culture in the literature on organisations, and introduces a taxonomy for discussing culture. That taxonomy is then deployed to explore the ways in which the notion of 'culture' is being applied to and within the combined Trust in Somerset, and the implications of those applications for local practice and national policy around partnership.","author":[{"dropping-particle":"","family":"Peck","given":"E.","non-dropping-particle":"","parse-names":false,"suffix":""},{"dropping-particle":"","family":"Towell","given":"D.","non-dropping-particle":"","parse-names":false,"suffix":""},{"dropping-particle":"","family":"Gulliver","given":"P.","non-dropping-particle":"","parse-names":false,"suffix":""}],"container-title":"Journal of Interprofessional Care","id":"ITEM-1","issue":"4","issued":{"date-parts":[["2001"]]},"page":"319-327","title":"The meanings of 'culture' in health and social care: A case study of the combined Trust in Somerset","type":"article-journal","volume":"15"},"uris":["http://www.mendeley.com/documents/?uuid=05594aaf-6703-4eea-a503-148c06567ff0"]}],"mendeley":{"formattedCitation":"&lt;sup&gt;188&lt;/sup&gt;","manualFormatting":"Peck, Towell and Gulliver (2001)","plainTextFormattedCitation":"188","previouslyFormattedCitation":"&lt;sup&gt;188&lt;/sup&gt;"},"properties":{"noteIndex":0},"schema":"https://github.com/citation-style-language/schema/raw/master/csl-citation.json"}</w:instrText>
            </w:r>
            <w:r w:rsidRPr="00C6520A">
              <w:rPr>
                <w:sz w:val="20"/>
                <w:szCs w:val="20"/>
              </w:rPr>
              <w:fldChar w:fldCharType="separate"/>
            </w:r>
            <w:r w:rsidRPr="00E4022F">
              <w:rPr>
                <w:noProof/>
                <w:sz w:val="20"/>
                <w:szCs w:val="20"/>
              </w:rPr>
              <w:t>Peck, Towell and Gulliver</w:t>
            </w:r>
            <w:r>
              <w:rPr>
                <w:noProof/>
                <w:sz w:val="20"/>
                <w:szCs w:val="20"/>
              </w:rPr>
              <w:t xml:space="preserve"> </w:t>
            </w:r>
            <w:r w:rsidRPr="00C6520A">
              <w:rPr>
                <w:noProof/>
                <w:sz w:val="20"/>
                <w:szCs w:val="20"/>
              </w:rPr>
              <w:t>(</w:t>
            </w:r>
            <w:r w:rsidRPr="00E4022F">
              <w:rPr>
                <w:noProof/>
                <w:sz w:val="20"/>
                <w:szCs w:val="20"/>
              </w:rPr>
              <w:t>2001)</w:t>
            </w:r>
            <w:r w:rsidRPr="00C6520A">
              <w:rPr>
                <w:sz w:val="20"/>
                <w:szCs w:val="20"/>
              </w:rPr>
              <w:fldChar w:fldCharType="end"/>
            </w:r>
          </w:p>
        </w:tc>
        <w:tc>
          <w:tcPr>
            <w:tcW w:w="336" w:type="pct"/>
          </w:tcPr>
          <w:p w14:paraId="54413DFD"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65F3F331" w14:textId="77777777" w:rsidR="00EE501D" w:rsidRPr="00C6520A" w:rsidRDefault="00EE501D" w:rsidP="00525BE0">
            <w:pPr>
              <w:spacing w:line="360" w:lineRule="auto"/>
              <w:jc w:val="both"/>
              <w:rPr>
                <w:sz w:val="20"/>
                <w:szCs w:val="20"/>
              </w:rPr>
            </w:pPr>
            <w:r w:rsidRPr="00C6520A">
              <w:rPr>
                <w:sz w:val="20"/>
                <w:szCs w:val="20"/>
              </w:rPr>
              <w:t>Joint commissioning</w:t>
            </w:r>
          </w:p>
        </w:tc>
        <w:tc>
          <w:tcPr>
            <w:tcW w:w="639" w:type="pct"/>
          </w:tcPr>
          <w:p w14:paraId="5AC5884C"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670AC238" w14:textId="77777777" w:rsidR="00EE501D" w:rsidRPr="00C6520A" w:rsidRDefault="00EE501D" w:rsidP="00525BE0">
            <w:pPr>
              <w:spacing w:line="360" w:lineRule="auto"/>
              <w:jc w:val="both"/>
              <w:rPr>
                <w:sz w:val="20"/>
                <w:szCs w:val="20"/>
              </w:rPr>
            </w:pPr>
            <w:r>
              <w:rPr>
                <w:sz w:val="20"/>
                <w:szCs w:val="20"/>
              </w:rPr>
              <w:t>Case study of a combined Trust; using annual semi-structured interviews with managers, postal surveys with (n=169 in 1999 and n=143 in 2000), and exploratory workgroups</w:t>
            </w:r>
          </w:p>
        </w:tc>
        <w:tc>
          <w:tcPr>
            <w:tcW w:w="530" w:type="pct"/>
          </w:tcPr>
          <w:p w14:paraId="22C9CCCA"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67711C62" w14:textId="77777777" w:rsidTr="00A77C56">
        <w:trPr>
          <w:trHeight w:val="236"/>
        </w:trPr>
        <w:tc>
          <w:tcPr>
            <w:tcW w:w="768" w:type="pct"/>
          </w:tcPr>
          <w:p w14:paraId="5EE59CB5" w14:textId="13A00FEE"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{"citationItems":[{"id":"ITEM-1","itemData":{"ISSN":"1461-5436","abstract":"This local case study reviews progress in joint working in adult services in a country which has been developing innovative partnership arrangements for some years. It is a follow-up to an article in this journal in Issue 10.2 April 2002 (The road to integration in Hertfordshire) and focuses particularly on practical issues which have now arisen from the work of the county-wide joint commissioning board. This will be of interest to other localities where complex collaborative arrangements are needed because several PCTs are working with one local authority. 1 table [Abstract]","author":[{"dropping-particle":"","family":"Pickup","given":"Sarah","non-dropping-particle":"","parse-names":false,"suffix":""}],"container-title":"Journal of Integrated Care","id":"ITEM-1","issue":"2","issued":{"date-parts":[["2004"]]},"note":"From Duplicate 1 (Partnership and governance : the Hertfordshire experience. - Pickup, Sarah)\n\nNot very relevant\n\nFrom Duplicate 2 (Partnership and governance : the Hertfordshire experience. - Pickup, Sarah)\n\nFrom Duplicate 1 (Partnership and governance : the Hertfordshire experience. - Pickup, Sarah)\n\nNot very relevant","page":"14-19","publisher":"2004","title":"Partnership and governance : the Hertfordshire experience.","type":"article-journal","volume":"12"},"uris":["http://www.mendeley.com/documents/?uuid=9c27c2f7-259b-44ae-ad2f-e4a3e284f1af"]}],"mendeley":{"formattedCitation":"&lt;sup&gt;189&lt;/sup&gt;","manualFormatting":"Pickup (2004)","plainTextFormattedCitation":"189","previouslyFormattedCitation":"&lt;sup&gt;189&lt;/sup&gt;"},"properties":{"noteIndex":0},"schema":"https://github.com/citation-style-language/schema/raw/master/csl-citation.json"}</w:instrText>
            </w:r>
            <w:r w:rsidRPr="00C6520A">
              <w:rPr>
                <w:sz w:val="20"/>
                <w:szCs w:val="20"/>
              </w:rPr>
              <w:fldChar w:fldCharType="separate"/>
            </w:r>
            <w:r w:rsidRPr="00E4022F">
              <w:rPr>
                <w:noProof/>
                <w:sz w:val="20"/>
                <w:szCs w:val="20"/>
              </w:rPr>
              <w:t>Pickup</w:t>
            </w:r>
            <w:r>
              <w:rPr>
                <w:noProof/>
                <w:sz w:val="20"/>
                <w:szCs w:val="20"/>
              </w:rPr>
              <w:t xml:space="preserve"> </w:t>
            </w:r>
            <w:r w:rsidRPr="00C6520A">
              <w:rPr>
                <w:noProof/>
                <w:sz w:val="20"/>
                <w:szCs w:val="20"/>
              </w:rPr>
              <w:t>(</w:t>
            </w:r>
            <w:r w:rsidRPr="00E4022F">
              <w:rPr>
                <w:noProof/>
                <w:sz w:val="20"/>
                <w:szCs w:val="20"/>
              </w:rPr>
              <w:t>2004)</w:t>
            </w:r>
            <w:r w:rsidRPr="00C6520A">
              <w:rPr>
                <w:sz w:val="20"/>
                <w:szCs w:val="20"/>
              </w:rPr>
              <w:fldChar w:fldCharType="end"/>
            </w:r>
          </w:p>
        </w:tc>
        <w:tc>
          <w:tcPr>
            <w:tcW w:w="336" w:type="pct"/>
          </w:tcPr>
          <w:p w14:paraId="29B9B448"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5445F08B" w14:textId="77777777" w:rsidR="00EE501D" w:rsidRPr="00C6520A" w:rsidRDefault="00EE501D" w:rsidP="00525BE0">
            <w:pPr>
              <w:spacing w:line="360" w:lineRule="auto"/>
              <w:jc w:val="both"/>
              <w:rPr>
                <w:sz w:val="20"/>
                <w:szCs w:val="20"/>
              </w:rPr>
            </w:pPr>
            <w:r w:rsidRPr="00C6520A">
              <w:rPr>
                <w:sz w:val="20"/>
                <w:szCs w:val="20"/>
              </w:rPr>
              <w:t>Integrated care/joint commissioning, mental health</w:t>
            </w:r>
          </w:p>
        </w:tc>
        <w:tc>
          <w:tcPr>
            <w:tcW w:w="639" w:type="pct"/>
          </w:tcPr>
          <w:p w14:paraId="1A29DBCA" w14:textId="77777777" w:rsidR="00EE501D" w:rsidRPr="00C6520A" w:rsidRDefault="00EE501D" w:rsidP="00525BE0">
            <w:pPr>
              <w:spacing w:line="360" w:lineRule="auto"/>
              <w:jc w:val="both"/>
              <w:rPr>
                <w:sz w:val="20"/>
                <w:szCs w:val="20"/>
              </w:rPr>
            </w:pPr>
            <w:r>
              <w:rPr>
                <w:sz w:val="20"/>
                <w:szCs w:val="20"/>
              </w:rPr>
              <w:t>Adult services</w:t>
            </w:r>
          </w:p>
        </w:tc>
        <w:tc>
          <w:tcPr>
            <w:tcW w:w="1919" w:type="pct"/>
          </w:tcPr>
          <w:p w14:paraId="52E19F4F" w14:textId="77777777" w:rsidR="00EE501D" w:rsidRPr="00C6520A" w:rsidRDefault="00EE501D" w:rsidP="00525BE0">
            <w:pPr>
              <w:spacing w:line="360" w:lineRule="auto"/>
              <w:jc w:val="both"/>
              <w:rPr>
                <w:sz w:val="20"/>
                <w:szCs w:val="20"/>
              </w:rPr>
            </w:pPr>
            <w:r>
              <w:rPr>
                <w:sz w:val="20"/>
                <w:szCs w:val="20"/>
              </w:rPr>
              <w:t>Case study in the format of an ‘experiential report’</w:t>
            </w:r>
          </w:p>
        </w:tc>
        <w:tc>
          <w:tcPr>
            <w:tcW w:w="530" w:type="pct"/>
          </w:tcPr>
          <w:p w14:paraId="34A98C1E" w14:textId="77777777" w:rsidR="00EE501D" w:rsidRDefault="00EE501D" w:rsidP="00525BE0">
            <w:pPr>
              <w:spacing w:line="360" w:lineRule="auto"/>
              <w:jc w:val="both"/>
              <w:rPr>
                <w:sz w:val="20"/>
                <w:szCs w:val="20"/>
              </w:rPr>
            </w:pPr>
            <w:r>
              <w:rPr>
                <w:sz w:val="20"/>
                <w:szCs w:val="20"/>
              </w:rPr>
              <w:t>Refinement</w:t>
            </w:r>
          </w:p>
        </w:tc>
      </w:tr>
      <w:tr w:rsidR="00EE501D" w:rsidRPr="00C6520A" w14:paraId="7AA61FAE" w14:textId="77777777" w:rsidTr="00A77C56">
        <w:trPr>
          <w:trHeight w:val="236"/>
        </w:trPr>
        <w:tc>
          <w:tcPr>
            <w:tcW w:w="768" w:type="pct"/>
          </w:tcPr>
          <w:p w14:paraId="795AD25C" w14:textId="07385279"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{"citationItems":[{"id":"ITEM-1","itemData":{"DOI":"10.1108/JICA-02-2018-0020","ISSN":"14769018","abstract":"Purpose: A well-funded, four-year integrated care programme was implemented in south London. The programme attempted to integrate care across primary, acute, community, mental health and social care. The purpose of this paper is to reduce hospital admissions and nursing home placements. Programme evaluation aimed to identify what worked well and what did not; lessons learnt; the value of integrated care investment. Design/methodology/approach: Qualitative data were obtained from documentary analysis, stakeholder interviews, focus groups and observational data from programme meetings. Framework analysis was applied to stakeholder interview and focus group data in order to generate themes. Findings: The integrated care project had not delivered expected radical reductions in hospital or nursing home utilisation. In response, the scheme was reformulated to focus on feasible service integration. Other benefits emerged, particularly system transformation. Nine themes emerged: shared vision/case for change; interventions; leadership; relationships; organisational structures and governance; citizens and patients; evaluation and monitoring; macro level. Each theme was interpreted in terms of “successes”, “challenges” and “lessons learnt”. Research limitations/implications: Evaluation was hampered by lack of a clear evaluation strategy from programme inception to conclusion, and of the evidence required to corroborate claims of benefit. Practical implications: Key lessons learnt included: importance of strong clinical leadership, shared ownership and inbuilt evaluation. Originality/value: Primary care was a key player in the integrated care programme. Initial resistance delayed implementation and related to concerns about vertical integration and scepticism about unrealistic goals. A focus on clinical care and shared ownership contributed to eventual system transformation.","author":[{"dropping-particle":"","family":"Round","given":"Thomas","non-dropping-particle":"","parse-names":false,"suffix":""},{"dropping-particle":"","family":"Ashworth","given":"Mark","non-dropping-particle":"","parse-names":false,"suffix":""},{"dropping-particle":"","family":"Crilly","given":"Tessa","non-dropping-particle":"","parse-names":false,"suffix":""},{"dropping-particle":"","family":"Ferlie","given":"Ewan","non-dropping-particle":"","parse-names":false,"suffix":""},{"dropping-particle":"","family":"Wolfe","given":"Charles","non-dropping-particle":"","parse-names":false,"suffix":""}],"container-title":"Journal of Integrated Care","id":"ITEM-1","issue":"4","issued":{"date-parts":[["2018"]]},"page":"296-308","title":"An integrated care programme in London: qualitative evaluation","type":"article-journal","volume":"26"},"uris":["http://www.mendeley.com/documents/?uuid=e263ee79-2190-410e-9e91-e6e67fc0ccb3"]}],"mendeley":{"formattedCitation":"&lt;sup&gt;190&lt;/sup&gt;","manualFormatting":"Round et al. (2018)","plainTextFormattedCitation":"190","previouslyFormattedCitation":"&lt;sup&gt;190&lt;/sup&gt;"},"properties":{"noteIndex":0},"schema":"https://github.com/citation-style-language/schema/raw/master/csl-citation.json"}</w:instrText>
            </w:r>
            <w:r w:rsidRPr="00C6520A">
              <w:rPr>
                <w:sz w:val="20"/>
                <w:szCs w:val="20"/>
              </w:rPr>
              <w:fldChar w:fldCharType="separate"/>
            </w:r>
            <w:r w:rsidRPr="00E4022F">
              <w:rPr>
                <w:noProof/>
                <w:sz w:val="20"/>
                <w:szCs w:val="20"/>
              </w:rPr>
              <w:t xml:space="preserve">Round </w:t>
            </w:r>
            <w:r w:rsidRPr="00E4022F">
              <w:rPr>
                <w:i/>
                <w:noProof/>
                <w:sz w:val="20"/>
                <w:szCs w:val="20"/>
              </w:rPr>
              <w:t>et al.</w:t>
            </w:r>
            <w:r>
              <w:rPr>
                <w:i/>
                <w:noProof/>
                <w:sz w:val="20"/>
                <w:szCs w:val="20"/>
              </w:rPr>
              <w:t xml:space="preserve"> </w:t>
            </w:r>
            <w:r w:rsidRPr="00C6520A">
              <w:rPr>
                <w:noProof/>
                <w:sz w:val="20"/>
                <w:szCs w:val="20"/>
              </w:rPr>
              <w:t>(</w:t>
            </w:r>
            <w:r w:rsidRPr="00E4022F">
              <w:rPr>
                <w:noProof/>
                <w:sz w:val="20"/>
                <w:szCs w:val="20"/>
              </w:rPr>
              <w:t>2018)</w:t>
            </w:r>
            <w:r w:rsidRPr="00C6520A">
              <w:rPr>
                <w:sz w:val="20"/>
                <w:szCs w:val="20"/>
              </w:rPr>
              <w:fldChar w:fldCharType="end"/>
            </w:r>
          </w:p>
        </w:tc>
        <w:tc>
          <w:tcPr>
            <w:tcW w:w="336" w:type="pct"/>
          </w:tcPr>
          <w:p w14:paraId="2C450FCE"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707C1964" w14:textId="77777777" w:rsidR="00EE501D" w:rsidRPr="00C6520A" w:rsidRDefault="00EE501D" w:rsidP="00525BE0">
            <w:pPr>
              <w:spacing w:line="360" w:lineRule="auto"/>
              <w:jc w:val="both"/>
              <w:rPr>
                <w:sz w:val="20"/>
                <w:szCs w:val="20"/>
              </w:rPr>
            </w:pPr>
            <w:r w:rsidRPr="00C6520A">
              <w:rPr>
                <w:sz w:val="20"/>
                <w:szCs w:val="20"/>
              </w:rPr>
              <w:t>Integrated care</w:t>
            </w:r>
          </w:p>
        </w:tc>
        <w:tc>
          <w:tcPr>
            <w:tcW w:w="639" w:type="pct"/>
          </w:tcPr>
          <w:p w14:paraId="63E6FD13" w14:textId="77777777" w:rsidR="00EE501D" w:rsidRPr="00C6520A" w:rsidRDefault="00EE501D" w:rsidP="00525BE0">
            <w:pPr>
              <w:spacing w:line="360" w:lineRule="auto"/>
              <w:jc w:val="both"/>
              <w:rPr>
                <w:sz w:val="20"/>
                <w:szCs w:val="20"/>
              </w:rPr>
            </w:pPr>
            <w:r>
              <w:rPr>
                <w:sz w:val="20"/>
                <w:szCs w:val="20"/>
              </w:rPr>
              <w:t>Primary, acute, community, mental health and social care</w:t>
            </w:r>
          </w:p>
        </w:tc>
        <w:tc>
          <w:tcPr>
            <w:tcW w:w="1919" w:type="pct"/>
          </w:tcPr>
          <w:p w14:paraId="2F87A389" w14:textId="77777777" w:rsidR="00EE501D" w:rsidRPr="00C6520A" w:rsidRDefault="00EE501D" w:rsidP="00525BE0">
            <w:pPr>
              <w:spacing w:line="360" w:lineRule="auto"/>
              <w:jc w:val="both"/>
              <w:rPr>
                <w:sz w:val="20"/>
                <w:szCs w:val="20"/>
              </w:rPr>
            </w:pPr>
            <w:r>
              <w:rPr>
                <w:sz w:val="20"/>
                <w:szCs w:val="20"/>
              </w:rPr>
              <w:t>Programme evaluation design; using documentary analysis, 31 stakeholder semi-structured interviews, focus groups, and observational data</w:t>
            </w:r>
          </w:p>
        </w:tc>
        <w:tc>
          <w:tcPr>
            <w:tcW w:w="530" w:type="pct"/>
          </w:tcPr>
          <w:p w14:paraId="01998C40"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428DEB60" w14:textId="77777777" w:rsidTr="00A77C56">
        <w:trPr>
          <w:trHeight w:val="236"/>
        </w:trPr>
        <w:tc>
          <w:tcPr>
            <w:tcW w:w="768" w:type="pct"/>
          </w:tcPr>
          <w:p w14:paraId="521A4B66" w14:textId="762B42E8"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{"citationItems":[{"id":"ITEM-1","itemData":{"DOI":"10.1258/095148402320589019","ISSN":"09514848","abstract":"Research in two recently merged teaching hospitals has studied the effects of merger on the organizational culture of the hospitals and individual staff. Organizational culture is both a tool for managers introducing change and also an observable indicator of change, and hospitals have particularly strong cultures. After reviewing different approaches to analysing culture, and adopting Hofstede's six-dimensional model, the researchers describe one hospital as an aggressive, entrepreneurial, results-oriented organization, with a loosely controlled, devolved management, high expectations of staff and limited participation in decision making. The other is described as a tightly controlled, centralized and paternalistic organization, concerned for its staff and open to dialogue, with a principled commitment to partnership. The management's vision for the new trust combines elements of both cultures. In studying the effects of the merger on staff, the research documents individuals' journey through the merger experience, using Stuart's 'map' of the processes of change. The principal experiences are categorized as sensing, worry work, positioning, shock, hoping and sharing, holding on, letting go, moving, and moving on or away. Individuals' perceptions of the changing hospital cultures show a slow convergence but with new 'fault lines' opening up in the organization.","author":[{"dropping-particle":"","family":"Shaw","given":"Jane","non-dropping-particle":"","parse-names":false,"suffix":""}],"container-title":"Health Services Management Research","id":"ITEM-1","issue":"4","issued":{"date-parts":[["2002"]]},"page":"211-222","title":"Tracking the merger: The human experience","type":"article-journal","volume":"15"},"uris":["http://www.mendeley.com/documents/?uuid=8c60ed4f-7bed-45c2-92f3-af1e6119713d"]}],"mendeley":{"formattedCitation":"&lt;sup&gt;191&lt;/sup&gt;","manualFormatting":"Shaw (2002)","plainTextFormattedCitation":"191","previouslyFormattedCitation":"&lt;sup&gt;191&lt;/sup&gt;"},"properties":{"noteIndex":0},"schema":"https://github.com/citation-style-language/schema/raw/master/csl-citation.json"}</w:instrText>
            </w:r>
            <w:r w:rsidRPr="00C6520A">
              <w:rPr>
                <w:sz w:val="20"/>
                <w:szCs w:val="20"/>
              </w:rPr>
              <w:fldChar w:fldCharType="separate"/>
            </w:r>
            <w:r w:rsidRPr="00E4022F">
              <w:rPr>
                <w:noProof/>
                <w:sz w:val="20"/>
                <w:szCs w:val="20"/>
              </w:rPr>
              <w:t>Shaw</w:t>
            </w:r>
            <w:r>
              <w:rPr>
                <w:noProof/>
                <w:sz w:val="20"/>
                <w:szCs w:val="20"/>
              </w:rPr>
              <w:t xml:space="preserve"> </w:t>
            </w:r>
            <w:r w:rsidRPr="00C6520A">
              <w:rPr>
                <w:noProof/>
                <w:sz w:val="20"/>
                <w:szCs w:val="20"/>
              </w:rPr>
              <w:t>(</w:t>
            </w:r>
            <w:r w:rsidRPr="00E4022F">
              <w:rPr>
                <w:noProof/>
                <w:sz w:val="20"/>
                <w:szCs w:val="20"/>
              </w:rPr>
              <w:t>2002)</w:t>
            </w:r>
            <w:r w:rsidRPr="00C6520A">
              <w:rPr>
                <w:sz w:val="20"/>
                <w:szCs w:val="20"/>
              </w:rPr>
              <w:fldChar w:fldCharType="end"/>
            </w:r>
          </w:p>
        </w:tc>
        <w:tc>
          <w:tcPr>
            <w:tcW w:w="336" w:type="pct"/>
          </w:tcPr>
          <w:p w14:paraId="55CB70BA"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78B08641" w14:textId="77777777" w:rsidR="00EE501D" w:rsidRPr="00C6520A" w:rsidRDefault="00EE501D" w:rsidP="00525BE0">
            <w:pPr>
              <w:spacing w:line="360" w:lineRule="auto"/>
              <w:jc w:val="both"/>
              <w:rPr>
                <w:sz w:val="20"/>
                <w:szCs w:val="20"/>
              </w:rPr>
            </w:pPr>
            <w:r w:rsidRPr="00C6520A">
              <w:rPr>
                <w:sz w:val="20"/>
                <w:szCs w:val="20"/>
              </w:rPr>
              <w:t>Mergers</w:t>
            </w:r>
          </w:p>
        </w:tc>
        <w:tc>
          <w:tcPr>
            <w:tcW w:w="639" w:type="pct"/>
          </w:tcPr>
          <w:p w14:paraId="271B6107" w14:textId="77777777" w:rsidR="00EE501D" w:rsidRPr="00C6520A" w:rsidRDefault="00EE501D" w:rsidP="00525BE0">
            <w:pPr>
              <w:spacing w:line="360" w:lineRule="auto"/>
              <w:jc w:val="both"/>
              <w:rPr>
                <w:sz w:val="20"/>
                <w:szCs w:val="20"/>
              </w:rPr>
            </w:pPr>
            <w:r>
              <w:rPr>
                <w:sz w:val="20"/>
                <w:szCs w:val="20"/>
              </w:rPr>
              <w:t>Health and social care, integrated Trust</w:t>
            </w:r>
          </w:p>
        </w:tc>
        <w:tc>
          <w:tcPr>
            <w:tcW w:w="1919" w:type="pct"/>
          </w:tcPr>
          <w:p w14:paraId="6066154B" w14:textId="77777777" w:rsidR="00EE501D" w:rsidRPr="00C6520A" w:rsidRDefault="00EE501D" w:rsidP="00525BE0">
            <w:pPr>
              <w:spacing w:line="360" w:lineRule="auto"/>
              <w:jc w:val="both"/>
              <w:rPr>
                <w:sz w:val="20"/>
                <w:szCs w:val="20"/>
              </w:rPr>
            </w:pPr>
            <w:r>
              <w:rPr>
                <w:sz w:val="20"/>
                <w:szCs w:val="20"/>
              </w:rPr>
              <w:t>Case study of merger of two trusts; using qualitative methods and semi-structured interviews with 42 people. Documentary analysis was also used</w:t>
            </w:r>
          </w:p>
        </w:tc>
        <w:tc>
          <w:tcPr>
            <w:tcW w:w="530" w:type="pct"/>
          </w:tcPr>
          <w:p w14:paraId="474BD096" w14:textId="77777777" w:rsidR="00EE501D" w:rsidRDefault="00EE501D" w:rsidP="00525BE0">
            <w:pPr>
              <w:spacing w:line="360" w:lineRule="auto"/>
              <w:jc w:val="both"/>
              <w:rPr>
                <w:sz w:val="20"/>
                <w:szCs w:val="20"/>
              </w:rPr>
            </w:pPr>
            <w:r>
              <w:rPr>
                <w:sz w:val="20"/>
                <w:szCs w:val="20"/>
              </w:rPr>
              <w:t>Gleaning and refinement</w:t>
            </w:r>
          </w:p>
        </w:tc>
      </w:tr>
      <w:tr w:rsidR="00EE501D" w14:paraId="704BA226" w14:textId="77777777" w:rsidTr="00A77C56">
        <w:trPr>
          <w:trHeight w:val="236"/>
        </w:trPr>
        <w:tc>
          <w:tcPr>
            <w:tcW w:w="768" w:type="pct"/>
          </w:tcPr>
          <w:p w14:paraId="598B9665" w14:textId="1EB28C01" w:rsidR="00EE501D" w:rsidRPr="00C6520A" w:rsidRDefault="00EE501D" w:rsidP="00525BE0">
            <w:pPr>
              <w:spacing w:line="360" w:lineRule="auto"/>
              <w:jc w:val="both"/>
              <w:rPr>
                <w:sz w:val="20"/>
                <w:szCs w:val="20"/>
              </w:rPr>
            </w:pPr>
            <w:r>
              <w:rPr>
                <w:sz w:val="20"/>
                <w:szCs w:val="20"/>
              </w:rPr>
              <w:fldChar w:fldCharType="begin" w:fldLock="1"/>
            </w:r>
            <w:r w:rsidR="00EA4B53">
              <w:rPr>
                <w:sz w:val="20"/>
                <w:szCs w:val="20"/>
              </w:rPr>
              <w:instrText>ADDIN CSL_CITATION {"citationItems":[{"id":"ITEM-1","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-1","issue":"November","issued":{"date-parts":[["2020"]]},"title":"HS &amp; DR Rapid Evaluation Centre Topic Report Early evidence of the development of primary care networks in England: a rapid evaluation study","type":"report"},"uris":["http://www.mendeley.com/documents/?uuid=d8ac51e3-1c56-426a-b71e-68e97e21b386"]}],"mendeley":{"formattedCitation":"&lt;sup&gt;37&lt;/sup&gt;","manualFormatting":"Smith et al. (2020)","plainTextFormattedCitation":"37","previouslyFormattedCitation":"&lt;sup&gt;37&lt;/sup&gt;"},"properties":{"noteIndex":0},"schema":"https://github.com/citation-style-language/schema/raw/master/csl-citation.json"}</w:instrText>
            </w:r>
            <w:r>
              <w:rPr>
                <w:sz w:val="20"/>
                <w:szCs w:val="20"/>
              </w:rPr>
              <w:fldChar w:fldCharType="separate"/>
            </w:r>
            <w:r w:rsidRPr="00E4022F">
              <w:rPr>
                <w:noProof/>
                <w:sz w:val="20"/>
                <w:szCs w:val="20"/>
              </w:rPr>
              <w:t xml:space="preserve">Smith </w:t>
            </w:r>
            <w:r w:rsidRPr="00E4022F">
              <w:rPr>
                <w:i/>
                <w:noProof/>
                <w:sz w:val="20"/>
                <w:szCs w:val="20"/>
              </w:rPr>
              <w:t>et al.</w:t>
            </w:r>
            <w:r>
              <w:rPr>
                <w:i/>
                <w:noProof/>
                <w:sz w:val="20"/>
                <w:szCs w:val="20"/>
              </w:rPr>
              <w:t xml:space="preserve"> </w:t>
            </w:r>
            <w:r w:rsidRPr="00C6520A">
              <w:rPr>
                <w:noProof/>
                <w:sz w:val="20"/>
                <w:szCs w:val="20"/>
              </w:rPr>
              <w:t>(</w:t>
            </w:r>
            <w:r w:rsidRPr="00E4022F">
              <w:rPr>
                <w:noProof/>
                <w:sz w:val="20"/>
                <w:szCs w:val="20"/>
              </w:rPr>
              <w:t>2020)</w:t>
            </w:r>
            <w:r>
              <w:rPr>
                <w:sz w:val="20"/>
                <w:szCs w:val="20"/>
              </w:rPr>
              <w:fldChar w:fldCharType="end"/>
            </w:r>
          </w:p>
        </w:tc>
        <w:tc>
          <w:tcPr>
            <w:tcW w:w="336" w:type="pct"/>
          </w:tcPr>
          <w:p w14:paraId="5B157655" w14:textId="77777777" w:rsidR="00EE501D" w:rsidRDefault="00EE501D" w:rsidP="00525BE0">
            <w:pPr>
              <w:spacing w:line="360" w:lineRule="auto"/>
              <w:jc w:val="both"/>
              <w:rPr>
                <w:sz w:val="20"/>
                <w:szCs w:val="20"/>
              </w:rPr>
            </w:pPr>
            <w:r>
              <w:rPr>
                <w:sz w:val="20"/>
                <w:szCs w:val="20"/>
              </w:rPr>
              <w:t>England</w:t>
            </w:r>
          </w:p>
        </w:tc>
        <w:tc>
          <w:tcPr>
            <w:tcW w:w="807" w:type="pct"/>
          </w:tcPr>
          <w:p w14:paraId="61698C52" w14:textId="77777777" w:rsidR="00EE501D" w:rsidRPr="00C6520A" w:rsidRDefault="00EE501D" w:rsidP="00525BE0">
            <w:pPr>
              <w:spacing w:line="360" w:lineRule="auto"/>
              <w:jc w:val="both"/>
              <w:rPr>
                <w:sz w:val="20"/>
                <w:szCs w:val="20"/>
              </w:rPr>
            </w:pPr>
            <w:r>
              <w:rPr>
                <w:sz w:val="20"/>
                <w:szCs w:val="20"/>
              </w:rPr>
              <w:t>Primary care networks</w:t>
            </w:r>
          </w:p>
        </w:tc>
        <w:tc>
          <w:tcPr>
            <w:tcW w:w="639" w:type="pct"/>
          </w:tcPr>
          <w:p w14:paraId="2938FFC8" w14:textId="77777777" w:rsidR="00EE501D" w:rsidRDefault="00EE501D" w:rsidP="00525BE0">
            <w:pPr>
              <w:spacing w:line="360" w:lineRule="auto"/>
              <w:jc w:val="both"/>
              <w:rPr>
                <w:sz w:val="20"/>
                <w:szCs w:val="20"/>
              </w:rPr>
            </w:pPr>
            <w:r>
              <w:rPr>
                <w:sz w:val="20"/>
                <w:szCs w:val="20"/>
              </w:rPr>
              <w:t>Primary care</w:t>
            </w:r>
          </w:p>
        </w:tc>
        <w:tc>
          <w:tcPr>
            <w:tcW w:w="1919" w:type="pct"/>
          </w:tcPr>
          <w:p w14:paraId="0AB954E8" w14:textId="77777777" w:rsidR="00EE501D" w:rsidRDefault="00EE501D" w:rsidP="00525BE0">
            <w:pPr>
              <w:spacing w:line="360" w:lineRule="auto"/>
              <w:jc w:val="both"/>
              <w:rPr>
                <w:sz w:val="20"/>
                <w:szCs w:val="20"/>
              </w:rPr>
            </w:pPr>
            <w:r>
              <w:rPr>
                <w:sz w:val="20"/>
                <w:szCs w:val="20"/>
              </w:rPr>
              <w:t xml:space="preserve">Qualitative cross-comparative case study across four sites using: rapid evidence assessment, a workshop with academics and policy experts, interviews with stakeholders, observations, survey, documentary analysis </w:t>
            </w:r>
          </w:p>
        </w:tc>
        <w:tc>
          <w:tcPr>
            <w:tcW w:w="530" w:type="pct"/>
          </w:tcPr>
          <w:p w14:paraId="02FAF312" w14:textId="77777777" w:rsidR="00EE501D" w:rsidRDefault="00EE501D" w:rsidP="00525BE0">
            <w:pPr>
              <w:spacing w:line="360" w:lineRule="auto"/>
              <w:jc w:val="both"/>
              <w:rPr>
                <w:sz w:val="20"/>
                <w:szCs w:val="20"/>
              </w:rPr>
            </w:pPr>
            <w:r>
              <w:rPr>
                <w:sz w:val="20"/>
                <w:szCs w:val="20"/>
              </w:rPr>
              <w:t>Refinement</w:t>
            </w:r>
          </w:p>
        </w:tc>
      </w:tr>
      <w:tr w:rsidR="00EE501D" w:rsidRPr="00C6520A" w14:paraId="5F4AE53C" w14:textId="77777777" w:rsidTr="00A77C56">
        <w:trPr>
          <w:trHeight w:val="236"/>
        </w:trPr>
        <w:tc>
          <w:tcPr>
            <w:tcW w:w="768" w:type="pct"/>
          </w:tcPr>
          <w:p w14:paraId="209876E2" w14:textId="2784E47C"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{"citationItems":[{"id":"ITEM-1","itemData":{"DOI":"10.1111/hsc.12538","ISSN":"13652524","PMID":"29327484","abstract":"Collaborative working between general practice (GP) and voluntary and community sector (VCS) organisations is increasingly championed as a means of primary care doing more with less and of addressing patients’ “wicked problems”. This paper aims to add to the knowledge base around collaborative practice between GPs and VCS organisations by examining the factors that aid or inhibit such collaboration. A case study design was used to examine the lived-experience of GPs and VCS organisations working collaboratively. Four cases, each consisting of a GP and a VCS organisation with whom they work collaboratively, were identified. Interviews (n = 18) and a focus group (n = 1) were conducted with staff within each organisation. Transcribed data were analysed thematically. Whilet there are similarities across cases in their use of, for example, Health Trainers and social prescribing, the form and function of GP-VCS collaborations were unique to their local context. The identified factors affecting GP-VCS collaboration reflect those found in previous service evaluations and the broader literature on partnership working; shared understanding, time and resources, trust, strong leadership, operational systems and governance and the “negotiation” of professional boundaries. While the current political environment may represent an opportunity for collaborations to develop, there are issues yet to be resolved before collaboration—especially more holistic and integrated approaches—becomes systematically embedded into practice.","author":[{"dropping-particle":"","family":"Southby","given":"Kris","non-dropping-particle":"","parse-names":false,"suffix":""},{"dropping-particle":"","family":"Gamsu","given":"Mark","non-dropping-particle":"","parse-names":false,"suffix":""}],"container-title":"Health and Social Care in the Community","id":"ITEM-1","issue":"3","issued":{"date-parts":[["2018"]]},"page":"e360-e369","publisher":"Wiley","title":"Factors affecting general practice collaboration with voluntary and community sector organisations","type":"article-journal","volume":"26"},"uris":["http://www.mendeley.com/documents/?uuid=f0d15fce-3c5c-4526-ba00-52c75ddf0021"]}],"mendeley":{"formattedCitation":"&lt;sup&gt;192&lt;/sup&gt;","manualFormatting":"Southby and Gamsu (2018)","plainTextFormattedCitation":"192","previouslyFormattedCitation":"&lt;sup&gt;192&lt;/sup&gt;"},"properties":{"noteIndex":0},"schema":"https://github.com/citation-style-language/schema/raw/master/csl-citation.json"}</w:instrText>
            </w:r>
            <w:r w:rsidRPr="00C6520A">
              <w:rPr>
                <w:sz w:val="20"/>
                <w:szCs w:val="20"/>
              </w:rPr>
              <w:fldChar w:fldCharType="separate"/>
            </w:r>
            <w:r w:rsidRPr="00E4022F">
              <w:rPr>
                <w:noProof/>
                <w:sz w:val="20"/>
                <w:szCs w:val="20"/>
              </w:rPr>
              <w:t>Southby and Gamsu</w:t>
            </w:r>
            <w:r>
              <w:rPr>
                <w:noProof/>
                <w:sz w:val="20"/>
                <w:szCs w:val="20"/>
              </w:rPr>
              <w:t xml:space="preserve"> </w:t>
            </w:r>
            <w:r w:rsidRPr="00C6520A">
              <w:rPr>
                <w:noProof/>
                <w:sz w:val="20"/>
                <w:szCs w:val="20"/>
              </w:rPr>
              <w:t>(</w:t>
            </w:r>
            <w:r w:rsidRPr="00E4022F">
              <w:rPr>
                <w:noProof/>
                <w:sz w:val="20"/>
                <w:szCs w:val="20"/>
              </w:rPr>
              <w:t>2018)</w:t>
            </w:r>
            <w:r w:rsidRPr="00C6520A">
              <w:rPr>
                <w:sz w:val="20"/>
                <w:szCs w:val="20"/>
              </w:rPr>
              <w:fldChar w:fldCharType="end"/>
            </w:r>
          </w:p>
        </w:tc>
        <w:tc>
          <w:tcPr>
            <w:tcW w:w="336" w:type="pct"/>
          </w:tcPr>
          <w:p w14:paraId="141575E0"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1657C794" w14:textId="77777777" w:rsidR="00EE501D" w:rsidRPr="00C6520A" w:rsidRDefault="00EE501D" w:rsidP="00525BE0">
            <w:pPr>
              <w:spacing w:line="360" w:lineRule="auto"/>
              <w:jc w:val="both"/>
              <w:rPr>
                <w:sz w:val="20"/>
                <w:szCs w:val="20"/>
              </w:rPr>
            </w:pPr>
            <w:r w:rsidRPr="00C6520A">
              <w:rPr>
                <w:sz w:val="20"/>
                <w:szCs w:val="20"/>
              </w:rPr>
              <w:t>Integrated care, primary care networks</w:t>
            </w:r>
          </w:p>
        </w:tc>
        <w:tc>
          <w:tcPr>
            <w:tcW w:w="639" w:type="pct"/>
          </w:tcPr>
          <w:p w14:paraId="40902AE5" w14:textId="77777777" w:rsidR="00EE501D" w:rsidRPr="00C6520A" w:rsidRDefault="00EE501D" w:rsidP="00525BE0">
            <w:pPr>
              <w:spacing w:line="360" w:lineRule="auto"/>
              <w:jc w:val="both"/>
              <w:rPr>
                <w:sz w:val="20"/>
                <w:szCs w:val="20"/>
              </w:rPr>
            </w:pPr>
            <w:r>
              <w:rPr>
                <w:sz w:val="20"/>
                <w:szCs w:val="20"/>
              </w:rPr>
              <w:t>Primary care and voluntary and community sectors</w:t>
            </w:r>
          </w:p>
        </w:tc>
        <w:tc>
          <w:tcPr>
            <w:tcW w:w="1919" w:type="pct"/>
          </w:tcPr>
          <w:p w14:paraId="75CA5A85" w14:textId="77777777" w:rsidR="00EE501D" w:rsidRPr="00C6520A" w:rsidRDefault="00EE501D" w:rsidP="00525BE0">
            <w:pPr>
              <w:spacing w:line="360" w:lineRule="auto"/>
              <w:jc w:val="both"/>
              <w:rPr>
                <w:sz w:val="20"/>
                <w:szCs w:val="20"/>
              </w:rPr>
            </w:pPr>
            <w:r>
              <w:rPr>
                <w:sz w:val="20"/>
                <w:szCs w:val="20"/>
              </w:rPr>
              <w:t>Case study design comprising four cases, each with a GP and VCS organisation; using 18 semi-structured interviews with GPs, practice managers, practice nurses, and senior managers, and a focus group of 14 participants</w:t>
            </w:r>
          </w:p>
        </w:tc>
        <w:tc>
          <w:tcPr>
            <w:tcW w:w="530" w:type="pct"/>
          </w:tcPr>
          <w:p w14:paraId="6EFF9D85" w14:textId="77777777" w:rsidR="00EE501D" w:rsidRDefault="00EE501D" w:rsidP="00525BE0">
            <w:pPr>
              <w:spacing w:line="360" w:lineRule="auto"/>
              <w:jc w:val="both"/>
              <w:rPr>
                <w:sz w:val="20"/>
                <w:szCs w:val="20"/>
              </w:rPr>
            </w:pPr>
            <w:r>
              <w:rPr>
                <w:sz w:val="20"/>
                <w:szCs w:val="20"/>
              </w:rPr>
              <w:t>Refinement</w:t>
            </w:r>
          </w:p>
        </w:tc>
      </w:tr>
      <w:tr w:rsidR="00EE501D" w:rsidRPr="00C6520A" w14:paraId="4D1F551A" w14:textId="77777777" w:rsidTr="00A77C56">
        <w:trPr>
          <w:trHeight w:val="473"/>
        </w:trPr>
        <w:tc>
          <w:tcPr>
            <w:tcW w:w="768" w:type="pct"/>
          </w:tcPr>
          <w:p w14:paraId="57491A9E" w14:textId="78BAC89F"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{"citationItems":[{"id":"ITEM-1","itemData":{"author":[{"dropping-particle":"","family":"Southwark and Lambeth Integrated Care","given":"","non-dropping-particle":"","parse-names":false,"suffix":""}],"id":"ITEM-1","issued":{"date-parts":[["2016"]]},"title":"Integrating Care in Southwark and Lambeth: What we did and how we did it","type":"report"},"uris":["http://www.mendeley.com/documents/?uuid=fbf3cca7-ffcb-4e8f-8ade-b8b08d58e8b0"]}],"mendeley":{"formattedCitation":"&lt;sup&gt;193&lt;/sup&gt;","manualFormatting":"Southwark and Lambeth Integrated Care (2016)","plainTextFormattedCitation":"193","previouslyFormattedCitation":"&lt;sup&gt;193&lt;/sup&gt;"},"properties":{"noteIndex":0},"schema":"https://github.com/citation-style-language/schema/raw/master/csl-citation.json"}</w:instrText>
            </w:r>
            <w:r w:rsidRPr="00C6520A">
              <w:rPr>
                <w:sz w:val="20"/>
                <w:szCs w:val="20"/>
              </w:rPr>
              <w:fldChar w:fldCharType="separate"/>
            </w:r>
            <w:r w:rsidRPr="00E4022F">
              <w:rPr>
                <w:noProof/>
                <w:sz w:val="20"/>
                <w:szCs w:val="20"/>
              </w:rPr>
              <w:t>Southwark and Lambeth Integrated Care</w:t>
            </w:r>
            <w:r>
              <w:rPr>
                <w:noProof/>
                <w:sz w:val="20"/>
                <w:szCs w:val="20"/>
              </w:rPr>
              <w:t xml:space="preserve"> </w:t>
            </w:r>
            <w:r w:rsidRPr="00C6520A">
              <w:rPr>
                <w:noProof/>
                <w:sz w:val="20"/>
                <w:szCs w:val="20"/>
              </w:rPr>
              <w:t>(</w:t>
            </w:r>
            <w:r w:rsidRPr="00E4022F">
              <w:rPr>
                <w:noProof/>
                <w:sz w:val="20"/>
                <w:szCs w:val="20"/>
              </w:rPr>
              <w:t>2016)</w:t>
            </w:r>
            <w:r w:rsidRPr="00C6520A">
              <w:rPr>
                <w:sz w:val="20"/>
                <w:szCs w:val="20"/>
              </w:rPr>
              <w:fldChar w:fldCharType="end"/>
            </w:r>
          </w:p>
        </w:tc>
        <w:tc>
          <w:tcPr>
            <w:tcW w:w="336" w:type="pct"/>
          </w:tcPr>
          <w:p w14:paraId="2A8F07DA"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4C2CF19D" w14:textId="77777777" w:rsidR="00EE501D" w:rsidRPr="00C6520A" w:rsidRDefault="00EE501D" w:rsidP="00525BE0">
            <w:pPr>
              <w:spacing w:line="360" w:lineRule="auto"/>
              <w:jc w:val="both"/>
              <w:rPr>
                <w:sz w:val="20"/>
                <w:szCs w:val="20"/>
              </w:rPr>
            </w:pPr>
            <w:r w:rsidRPr="00C6520A">
              <w:rPr>
                <w:sz w:val="20"/>
                <w:szCs w:val="20"/>
              </w:rPr>
              <w:t>Integrated care</w:t>
            </w:r>
          </w:p>
        </w:tc>
        <w:tc>
          <w:tcPr>
            <w:tcW w:w="639" w:type="pct"/>
          </w:tcPr>
          <w:p w14:paraId="733DEF72"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2A17D955" w14:textId="77777777" w:rsidR="00EE501D" w:rsidRPr="00C6520A" w:rsidRDefault="00EE501D" w:rsidP="00525BE0">
            <w:pPr>
              <w:spacing w:line="360" w:lineRule="auto"/>
              <w:jc w:val="both"/>
              <w:rPr>
                <w:sz w:val="20"/>
                <w:szCs w:val="20"/>
              </w:rPr>
            </w:pPr>
            <w:r>
              <w:rPr>
                <w:sz w:val="20"/>
                <w:szCs w:val="20"/>
              </w:rPr>
              <w:t>Report regarding organisational experience of an integrated care programme; using evaluative as well as anecdotal evidence</w:t>
            </w:r>
          </w:p>
        </w:tc>
        <w:tc>
          <w:tcPr>
            <w:tcW w:w="530" w:type="pct"/>
          </w:tcPr>
          <w:p w14:paraId="6FF96186" w14:textId="77777777" w:rsidR="00EE501D" w:rsidRDefault="00EE501D" w:rsidP="00525BE0">
            <w:pPr>
              <w:spacing w:line="360" w:lineRule="auto"/>
              <w:jc w:val="both"/>
              <w:rPr>
                <w:sz w:val="20"/>
                <w:szCs w:val="20"/>
              </w:rPr>
            </w:pPr>
            <w:r>
              <w:rPr>
                <w:sz w:val="20"/>
                <w:szCs w:val="20"/>
              </w:rPr>
              <w:t>Refinement</w:t>
            </w:r>
          </w:p>
        </w:tc>
      </w:tr>
      <w:tr w:rsidR="00EE501D" w:rsidRPr="00C6520A" w14:paraId="0C922EF3" w14:textId="77777777" w:rsidTr="00A77C56">
        <w:trPr>
          <w:trHeight w:val="236"/>
        </w:trPr>
        <w:tc>
          <w:tcPr>
            <w:tcW w:w="768" w:type="pct"/>
          </w:tcPr>
          <w:p w14:paraId="4610B75D" w14:textId="3877CDB8"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{"citationItems":[{"id":"ITEM-1","itemData":{"ISSN":"2053-4345","abstract":"In 2014, the body that leads the National Health Service in England published a new strategic vision for the National Health Service. A major part of this strategy was a three-year-long national programme to develop new care models to coordinate care across primary care, community services and hospitals that could be replicated across the country. Local 'vanguard sites' were selected to develop five types of new care model with support from a national team. The new care models programme provided support for local leaders to enable them to collaborate to improve care for their local populations. We interviewed leaders in the vanguard sites to better understand how they made changes to care locally. Drawing on the insights from these interviews and the literature on cross-organisational change and improvement we devised a framework of ten lessons for health and care leaders seeking to develop and implement new models of care. The framework emphasises the importance of developing relationships and building capability locally to enable areas to continuously develop and test new ideas. [Abstract]","author":[{"dropping-particle":"","family":"Starling","given":"Anna","non-dropping-particle":"","parse-names":false,"suffix":""}],"container-title":"International Journal of Care Coordination","editor":[{"dropping-particle":"","family":"Foundation","given":"The Health","non-dropping-particle":"","parse-names":false,"suffix":""}],"id":"ITEM-1","issue":"1-2","issued":{"date-parts":[["2018"]]},"note":"Useful contextual factors and diagrams","page":"50-54","publisher":"2018","title":"Implementing new models of care : lessons from the new care models programme in England.","type":"article-journal","volume":"21"},"uris":["http://www.mendeley.com/documents/?uuid=cdc384a1-937e-4c4c-93d3-7ab93407c602"]}],"mendeley":{"formattedCitation":"&lt;sup&gt;194&lt;/sup&gt;","manualFormatting":"Starling (2018)","plainTextFormattedCitation":"194","previouslyFormattedCitation":"&lt;sup&gt;194&lt;/sup&gt;"},"properties":{"noteIndex":0},"schema":"https://github.com/citation-style-language/schema/raw/master/csl-citation.json"}</w:instrText>
            </w:r>
            <w:r w:rsidRPr="00C6520A">
              <w:rPr>
                <w:sz w:val="20"/>
                <w:szCs w:val="20"/>
              </w:rPr>
              <w:fldChar w:fldCharType="separate"/>
            </w:r>
            <w:r w:rsidRPr="00E4022F">
              <w:rPr>
                <w:noProof/>
                <w:sz w:val="20"/>
                <w:szCs w:val="20"/>
              </w:rPr>
              <w:t>Starling</w:t>
            </w:r>
            <w:r>
              <w:rPr>
                <w:noProof/>
                <w:sz w:val="20"/>
                <w:szCs w:val="20"/>
              </w:rPr>
              <w:t xml:space="preserve"> </w:t>
            </w:r>
            <w:r w:rsidRPr="00C6520A">
              <w:rPr>
                <w:noProof/>
                <w:sz w:val="20"/>
                <w:szCs w:val="20"/>
              </w:rPr>
              <w:t>(</w:t>
            </w:r>
            <w:r w:rsidRPr="00E4022F">
              <w:rPr>
                <w:noProof/>
                <w:sz w:val="20"/>
                <w:szCs w:val="20"/>
              </w:rPr>
              <w:t>2018)</w:t>
            </w:r>
            <w:r w:rsidRPr="00C6520A">
              <w:rPr>
                <w:sz w:val="20"/>
                <w:szCs w:val="20"/>
              </w:rPr>
              <w:fldChar w:fldCharType="end"/>
            </w:r>
          </w:p>
        </w:tc>
        <w:tc>
          <w:tcPr>
            <w:tcW w:w="336" w:type="pct"/>
          </w:tcPr>
          <w:p w14:paraId="0A573A5D"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4F66B184" w14:textId="77777777" w:rsidR="00EE501D" w:rsidRPr="00C6520A" w:rsidRDefault="00EE501D" w:rsidP="00525BE0">
            <w:pPr>
              <w:spacing w:line="360" w:lineRule="auto"/>
              <w:jc w:val="both"/>
              <w:rPr>
                <w:sz w:val="20"/>
                <w:szCs w:val="20"/>
              </w:rPr>
            </w:pPr>
            <w:r w:rsidRPr="00C6520A">
              <w:rPr>
                <w:sz w:val="20"/>
                <w:szCs w:val="20"/>
              </w:rPr>
              <w:t>Vanguards</w:t>
            </w:r>
          </w:p>
        </w:tc>
        <w:tc>
          <w:tcPr>
            <w:tcW w:w="639" w:type="pct"/>
          </w:tcPr>
          <w:p w14:paraId="31B4E37B"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0387A6F3" w14:textId="77777777" w:rsidR="00EE501D" w:rsidRPr="00C6520A" w:rsidRDefault="00EE501D" w:rsidP="00525BE0">
            <w:pPr>
              <w:spacing w:line="360" w:lineRule="auto"/>
              <w:jc w:val="both"/>
              <w:rPr>
                <w:sz w:val="20"/>
                <w:szCs w:val="20"/>
              </w:rPr>
            </w:pPr>
            <w:r>
              <w:rPr>
                <w:sz w:val="20"/>
                <w:szCs w:val="20"/>
              </w:rPr>
              <w:t>Case studies, interviewing 45 middle-to-senior clinical and non-clinical leaders and evaluators across eight vanguard sites</w:t>
            </w:r>
          </w:p>
        </w:tc>
        <w:tc>
          <w:tcPr>
            <w:tcW w:w="530" w:type="pct"/>
          </w:tcPr>
          <w:p w14:paraId="061C73C6" w14:textId="77777777" w:rsidR="00EE501D" w:rsidRDefault="00EE501D" w:rsidP="00525BE0">
            <w:pPr>
              <w:spacing w:line="360" w:lineRule="auto"/>
              <w:jc w:val="both"/>
              <w:rPr>
                <w:sz w:val="20"/>
                <w:szCs w:val="20"/>
              </w:rPr>
            </w:pPr>
            <w:r>
              <w:rPr>
                <w:sz w:val="20"/>
                <w:szCs w:val="20"/>
              </w:rPr>
              <w:t>Gleaning and refinement</w:t>
            </w:r>
          </w:p>
        </w:tc>
      </w:tr>
      <w:tr w:rsidR="00EE501D" w14:paraId="44C26D2C" w14:textId="77777777" w:rsidTr="00A77C56">
        <w:trPr>
          <w:trHeight w:val="236"/>
        </w:trPr>
        <w:tc>
          <w:tcPr>
            <w:tcW w:w="768" w:type="pct"/>
          </w:tcPr>
          <w:p w14:paraId="5F1FE6B5" w14:textId="6F86935A" w:rsidR="00EE501D" w:rsidRPr="00C6520A" w:rsidRDefault="00EE501D" w:rsidP="00525BE0">
            <w:pPr>
              <w:spacing w:line="360" w:lineRule="auto"/>
              <w:jc w:val="both"/>
              <w:rPr>
                <w:sz w:val="20"/>
                <w:szCs w:val="20"/>
              </w:rPr>
            </w:pPr>
            <w:r>
              <w:rPr>
                <w:sz w:val="20"/>
                <w:szCs w:val="20"/>
              </w:rPr>
              <w:fldChar w:fldCharType="begin" w:fldLock="1"/>
            </w:r>
            <w:r w:rsidR="00EA4B53">
              <w:rPr>
                <w:sz w:val="20"/>
                <w:szCs w:val="20"/>
              </w:rPr>
              <w:instrText>ADDIN CSL_CITATION {"citationItems":[{"id":"ITEM-1","itemData":{"ISSN":"1879-8365","abstract":"In 2016, a new university hospital merged from three former independent Austrian hospitals started its operation. This paper presents a process model developed to coordinate the IT migration after the merger, using five phases to meet the requirements of the specific setting. A methodological mix of interviews, surveys and workshops was applied during the IT migration process. High stakeholder participation and a transparent methodical approach led to a broad agreement on success factors, migration objectives, and evaluation results. Thus, acceptance for the finally selected migration scenario was very high among employees, which is known to be crucial for the success of migration projects.","author":[{"dropping-particle":"","family":"Steininger","given":"Katharina","non-dropping-particle":"","parse-names":false,"suffix":""},{"dropping-particle":"","family":"Kempinger","given":"Birgit","non-dropping-particle":"","parse-names":false,"suffix":""},{"dropping-particle":"","family":"Schiffer","given":"Stefan","non-dropping-particle":"","parse-names":false,"suffix":""},{"dropping-particle":"","family":"Pomberger","given":"Gustav","non-dropping-particle":"","parse-names":false,"suffix":""}],"container-title":"Studies in health technology and informatics","id":"ITEM-1","issued":{"date-parts":[["2016"]]},"note":"Useful for integration of IT systems","page":"182-190","publisher-place":"Netherlands","title":"A Process Model for IT Migrations in the Context of a Hospital Merger - Results from an Austrian Case Study.","type":"article-journal","volume":"223"},"uris":["http://www.mendeley.com/documents/?uuid=7d55ef9f-e7ae-422f-98e5-796759f3a3f1"]}],"mendeley":{"formattedCitation":"&lt;sup&gt;195&lt;/sup&gt;","manualFormatting":"Steininger et al. (2016)","plainTextFormattedCitation":"195","previouslyFormattedCitation":"&lt;sup&gt;195&lt;/sup&gt;"},"properties":{"noteIndex":0},"schema":"https://github.com/citation-style-language/schema/raw/master/csl-citation.json"}</w:instrText>
            </w:r>
            <w:r>
              <w:rPr>
                <w:sz w:val="20"/>
                <w:szCs w:val="20"/>
              </w:rPr>
              <w:fldChar w:fldCharType="separate"/>
            </w:r>
            <w:r w:rsidRPr="00E4022F">
              <w:rPr>
                <w:noProof/>
                <w:sz w:val="20"/>
                <w:szCs w:val="20"/>
              </w:rPr>
              <w:t xml:space="preserve">Steininger </w:t>
            </w:r>
            <w:r w:rsidRPr="00E4022F">
              <w:rPr>
                <w:i/>
                <w:noProof/>
                <w:sz w:val="20"/>
                <w:szCs w:val="20"/>
              </w:rPr>
              <w:t>et al.</w:t>
            </w:r>
            <w:r>
              <w:rPr>
                <w:i/>
                <w:noProof/>
                <w:sz w:val="20"/>
                <w:szCs w:val="20"/>
              </w:rPr>
              <w:t xml:space="preserve"> </w:t>
            </w:r>
            <w:r w:rsidRPr="00C6520A">
              <w:rPr>
                <w:noProof/>
                <w:sz w:val="20"/>
                <w:szCs w:val="20"/>
              </w:rPr>
              <w:t>(</w:t>
            </w:r>
            <w:r w:rsidRPr="00E4022F">
              <w:rPr>
                <w:noProof/>
                <w:sz w:val="20"/>
                <w:szCs w:val="20"/>
              </w:rPr>
              <w:t>2016)</w:t>
            </w:r>
            <w:r>
              <w:rPr>
                <w:sz w:val="20"/>
                <w:szCs w:val="20"/>
              </w:rPr>
              <w:fldChar w:fldCharType="end"/>
            </w:r>
          </w:p>
        </w:tc>
        <w:tc>
          <w:tcPr>
            <w:tcW w:w="336" w:type="pct"/>
          </w:tcPr>
          <w:p w14:paraId="65E2A410" w14:textId="77777777" w:rsidR="00EE501D" w:rsidRPr="00C6520A" w:rsidRDefault="00EE501D" w:rsidP="00525BE0">
            <w:pPr>
              <w:spacing w:line="360" w:lineRule="auto"/>
              <w:jc w:val="both"/>
              <w:rPr>
                <w:sz w:val="20"/>
                <w:szCs w:val="20"/>
              </w:rPr>
            </w:pPr>
            <w:r>
              <w:rPr>
                <w:sz w:val="20"/>
                <w:szCs w:val="20"/>
              </w:rPr>
              <w:t>Austria</w:t>
            </w:r>
          </w:p>
        </w:tc>
        <w:tc>
          <w:tcPr>
            <w:tcW w:w="807" w:type="pct"/>
          </w:tcPr>
          <w:p w14:paraId="42BCF2BF" w14:textId="77777777" w:rsidR="00EE501D" w:rsidRPr="00C6520A" w:rsidRDefault="00EE501D" w:rsidP="00525BE0">
            <w:pPr>
              <w:spacing w:line="360" w:lineRule="auto"/>
              <w:jc w:val="both"/>
              <w:rPr>
                <w:sz w:val="20"/>
                <w:szCs w:val="20"/>
              </w:rPr>
            </w:pPr>
            <w:r>
              <w:rPr>
                <w:sz w:val="20"/>
                <w:szCs w:val="20"/>
              </w:rPr>
              <w:t>Hospital merger</w:t>
            </w:r>
          </w:p>
        </w:tc>
        <w:tc>
          <w:tcPr>
            <w:tcW w:w="639" w:type="pct"/>
          </w:tcPr>
          <w:p w14:paraId="65B969AB" w14:textId="77777777" w:rsidR="00EE501D" w:rsidRDefault="00EE501D" w:rsidP="00525BE0">
            <w:pPr>
              <w:spacing w:line="360" w:lineRule="auto"/>
              <w:jc w:val="both"/>
              <w:rPr>
                <w:sz w:val="20"/>
                <w:szCs w:val="20"/>
              </w:rPr>
            </w:pPr>
            <w:r>
              <w:rPr>
                <w:sz w:val="20"/>
                <w:szCs w:val="20"/>
              </w:rPr>
              <w:t>Acute care</w:t>
            </w:r>
          </w:p>
        </w:tc>
        <w:tc>
          <w:tcPr>
            <w:tcW w:w="1919" w:type="pct"/>
          </w:tcPr>
          <w:p w14:paraId="1517AEA0" w14:textId="77777777" w:rsidR="00EE501D" w:rsidRDefault="00EE501D" w:rsidP="00525BE0">
            <w:pPr>
              <w:spacing w:line="360" w:lineRule="auto"/>
              <w:jc w:val="both"/>
              <w:rPr>
                <w:sz w:val="20"/>
                <w:szCs w:val="20"/>
              </w:rPr>
            </w:pPr>
            <w:r>
              <w:rPr>
                <w:sz w:val="20"/>
                <w:szCs w:val="20"/>
              </w:rPr>
              <w:t>Qualitative case study of the merge of IT systems; involving interviews with 40 stakeholders</w:t>
            </w:r>
          </w:p>
        </w:tc>
        <w:tc>
          <w:tcPr>
            <w:tcW w:w="530" w:type="pct"/>
          </w:tcPr>
          <w:p w14:paraId="4892DA02" w14:textId="77777777" w:rsidR="00EE501D" w:rsidRDefault="00EE501D" w:rsidP="00525BE0">
            <w:pPr>
              <w:spacing w:line="360" w:lineRule="auto"/>
              <w:jc w:val="both"/>
              <w:rPr>
                <w:sz w:val="20"/>
                <w:szCs w:val="20"/>
              </w:rPr>
            </w:pPr>
            <w:r>
              <w:rPr>
                <w:sz w:val="20"/>
                <w:szCs w:val="20"/>
              </w:rPr>
              <w:t>Refinement</w:t>
            </w:r>
          </w:p>
        </w:tc>
      </w:tr>
      <w:tr w:rsidR="00EE501D" w:rsidRPr="00C6520A" w14:paraId="1A8CF228" w14:textId="77777777" w:rsidTr="00A77C56">
        <w:trPr>
          <w:trHeight w:val="236"/>
        </w:trPr>
        <w:tc>
          <w:tcPr>
            <w:tcW w:w="768" w:type="pct"/>
          </w:tcPr>
          <w:p w14:paraId="71E300C8" w14:textId="6FB794ED"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{"citationItems":[{"id":"ITEM-1","itemData":{"abstract":"This report was commissioned by the King's Fund as part of the process of evaluating the impact and effectiveness of their work in the five development sites of the project. The two questions the report attempted to answer were: to what extent the sites had met the service change targets they set themselves for joint commissioning activities, and the likelihood that these activities would lead to significant and sustainable changes in services; and how useful and effective the development sites have found the support received from the project. [SMD]","author":[{"dropping-particle":"","family":"The King's Fund","given":"","non-dropping-particle":"","parse-names":false,"suffix":""}],"editor":[{"dropping-particle":"","family":"Associates","given":"Rob Greig and","non-dropping-particle":"","parse-names":false,"suffix":""}],"id":"ITEM-1","issued":{"date-parts":[["2005"]]},"note":"Relates to success factors with joint commissioning","publisher":"Bath : Rob Greig &amp; Associates, 1996?","title":"Distilling the lessons : a review of the King's Fund Joint Community Care Commissioning Project.","type":"article-journal"},"uris":["http://www.mendeley.com/documents/?uuid=039ce719-caa1-406c-bfc8-0d58865783f9"]}],"mendeley":{"formattedCitation":"&lt;sup&gt;196&lt;/sup&gt;","manualFormatting":"The King’s Fund (2005)","plainTextFormattedCitation":"196","previouslyFormattedCitation":"&lt;sup&gt;196&lt;/sup&gt;"},"properties":{"noteIndex":0},"schema":"https://github.com/citation-style-language/schema/raw/master/csl-citation.json"}</w:instrText>
            </w:r>
            <w:r w:rsidRPr="00C6520A">
              <w:rPr>
                <w:sz w:val="20"/>
                <w:szCs w:val="20"/>
              </w:rPr>
              <w:fldChar w:fldCharType="separate"/>
            </w:r>
            <w:r>
              <w:rPr>
                <w:noProof/>
                <w:sz w:val="20"/>
                <w:szCs w:val="20"/>
              </w:rPr>
              <w:t>T</w:t>
            </w:r>
            <w:r w:rsidRPr="00E4022F">
              <w:rPr>
                <w:noProof/>
                <w:sz w:val="20"/>
                <w:szCs w:val="20"/>
              </w:rPr>
              <w:t>he King’s Fund</w:t>
            </w:r>
            <w:r>
              <w:rPr>
                <w:noProof/>
                <w:sz w:val="20"/>
                <w:szCs w:val="20"/>
              </w:rPr>
              <w:t xml:space="preserve"> </w:t>
            </w:r>
            <w:r w:rsidRPr="00C6520A">
              <w:rPr>
                <w:noProof/>
                <w:sz w:val="20"/>
                <w:szCs w:val="20"/>
              </w:rPr>
              <w:t>(</w:t>
            </w:r>
            <w:r w:rsidRPr="00E4022F">
              <w:rPr>
                <w:noProof/>
                <w:sz w:val="20"/>
                <w:szCs w:val="20"/>
              </w:rPr>
              <w:t>2005)</w:t>
            </w:r>
            <w:r w:rsidRPr="00C6520A">
              <w:rPr>
                <w:sz w:val="20"/>
                <w:szCs w:val="20"/>
              </w:rPr>
              <w:fldChar w:fldCharType="end"/>
            </w:r>
          </w:p>
        </w:tc>
        <w:tc>
          <w:tcPr>
            <w:tcW w:w="336" w:type="pct"/>
          </w:tcPr>
          <w:p w14:paraId="2CA1E3A8"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59A76631" w14:textId="77777777" w:rsidR="00EE501D" w:rsidRPr="00C6520A" w:rsidRDefault="00EE501D" w:rsidP="00525BE0">
            <w:pPr>
              <w:spacing w:line="360" w:lineRule="auto"/>
              <w:jc w:val="both"/>
              <w:rPr>
                <w:sz w:val="20"/>
                <w:szCs w:val="20"/>
              </w:rPr>
            </w:pPr>
            <w:r w:rsidRPr="00C6520A">
              <w:rPr>
                <w:sz w:val="20"/>
                <w:szCs w:val="20"/>
              </w:rPr>
              <w:t>Joint commissioning</w:t>
            </w:r>
          </w:p>
        </w:tc>
        <w:tc>
          <w:tcPr>
            <w:tcW w:w="639" w:type="pct"/>
          </w:tcPr>
          <w:p w14:paraId="06084E8E" w14:textId="77777777" w:rsidR="00EE501D" w:rsidRPr="00C6520A" w:rsidRDefault="00EE501D" w:rsidP="00525BE0">
            <w:pPr>
              <w:spacing w:line="360" w:lineRule="auto"/>
              <w:jc w:val="both"/>
              <w:rPr>
                <w:sz w:val="20"/>
                <w:szCs w:val="20"/>
              </w:rPr>
            </w:pPr>
            <w:r>
              <w:rPr>
                <w:sz w:val="20"/>
                <w:szCs w:val="20"/>
              </w:rPr>
              <w:t>Community care</w:t>
            </w:r>
          </w:p>
        </w:tc>
        <w:tc>
          <w:tcPr>
            <w:tcW w:w="1919" w:type="pct"/>
          </w:tcPr>
          <w:p w14:paraId="07BA4E85" w14:textId="77777777" w:rsidR="00EE501D" w:rsidRPr="00C6520A" w:rsidRDefault="00EE501D" w:rsidP="00525BE0">
            <w:pPr>
              <w:spacing w:line="360" w:lineRule="auto"/>
              <w:jc w:val="both"/>
              <w:rPr>
                <w:sz w:val="20"/>
                <w:szCs w:val="20"/>
              </w:rPr>
            </w:pPr>
            <w:r>
              <w:rPr>
                <w:sz w:val="20"/>
                <w:szCs w:val="20"/>
              </w:rPr>
              <w:t>Report as part of an evaluation; observation and interviews were used (unclear quantities)</w:t>
            </w:r>
          </w:p>
        </w:tc>
        <w:tc>
          <w:tcPr>
            <w:tcW w:w="530" w:type="pct"/>
          </w:tcPr>
          <w:p w14:paraId="1162E8E2" w14:textId="77777777" w:rsidR="00EE501D" w:rsidRDefault="00EE501D" w:rsidP="00525BE0">
            <w:pPr>
              <w:spacing w:line="360" w:lineRule="auto"/>
              <w:jc w:val="both"/>
              <w:rPr>
                <w:sz w:val="20"/>
                <w:szCs w:val="20"/>
              </w:rPr>
            </w:pPr>
            <w:r>
              <w:rPr>
                <w:sz w:val="20"/>
                <w:szCs w:val="20"/>
              </w:rPr>
              <w:t>Gleaning and refinement</w:t>
            </w:r>
          </w:p>
        </w:tc>
      </w:tr>
      <w:tr w:rsidR="00EE501D" w:rsidRPr="00C6520A" w14:paraId="28B84153" w14:textId="77777777" w:rsidTr="00A77C56">
        <w:trPr>
          <w:trHeight w:val="221"/>
        </w:trPr>
        <w:tc>
          <w:tcPr>
            <w:tcW w:w="768" w:type="pct"/>
          </w:tcPr>
          <w:p w14:paraId="2C32AA05" w14:textId="3B204D69" w:rsidR="00EE501D" w:rsidRPr="00C6520A" w:rsidRDefault="00EE501D" w:rsidP="00525BE0">
            <w:pPr>
              <w:spacing w:line="360" w:lineRule="auto"/>
              <w:jc w:val="both"/>
              <w:rPr>
                <w:sz w:val="20"/>
                <w:szCs w:val="20"/>
              </w:rPr>
            </w:pPr>
            <w:r w:rsidRPr="00C6520A">
              <w:rPr>
                <w:sz w:val="20"/>
                <w:szCs w:val="20"/>
              </w:rPr>
              <w:fldChar w:fldCharType="begin" w:fldLock="1"/>
            </w:r>
            <w:r w:rsidR="00EA4B53">
              <w:rPr>
                <w:sz w:val="20"/>
                <w:szCs w:val="20"/>
              </w:rPr>
              <w:instrText>ADDIN CSL_CITATION {"citationItems":[{"id":"ITEM-1","itemData":{"ISBN":"978 1 909029 95 8","author":[{"dropping-particle":"","family":"Timmins","given":"Nicholas","non-dropping-particle":"","parse-names":false,"suffix":""}],"id":"ITEM-1","issue":"November","issued":{"date-parts":[["2019"]]},"page":"3-25","title":"Leading for integrated care: 'If you think competition is hard, you should try collaboration'","type":"article-journal"},"uris":["http://www.mendeley.com/documents/?uuid=5a8583bf-e072-46b5-b3cd-6d247894e29e"]}],"mendeley":{"formattedCitation":"&lt;sup&gt;197&lt;/sup&gt;","manualFormatting":"Timmins (2019)","plainTextFormattedCitation":"197","previouslyFormattedCitation":"&lt;sup&gt;197&lt;/sup&gt;"},"properties":{"noteIndex":0},"schema":"https://github.com/citation-style-language/schema/raw/master/csl-citation.json"}</w:instrText>
            </w:r>
            <w:r w:rsidRPr="00C6520A">
              <w:rPr>
                <w:sz w:val="20"/>
                <w:szCs w:val="20"/>
              </w:rPr>
              <w:fldChar w:fldCharType="separate"/>
            </w:r>
            <w:r w:rsidRPr="00E4022F">
              <w:rPr>
                <w:noProof/>
                <w:sz w:val="20"/>
                <w:szCs w:val="20"/>
              </w:rPr>
              <w:t>Timmins</w:t>
            </w:r>
            <w:r>
              <w:rPr>
                <w:noProof/>
                <w:sz w:val="20"/>
                <w:szCs w:val="20"/>
              </w:rPr>
              <w:t xml:space="preserve"> </w:t>
            </w:r>
            <w:r w:rsidRPr="00C6520A">
              <w:rPr>
                <w:noProof/>
                <w:sz w:val="20"/>
                <w:szCs w:val="20"/>
              </w:rPr>
              <w:t>(</w:t>
            </w:r>
            <w:r w:rsidRPr="00E4022F">
              <w:rPr>
                <w:noProof/>
                <w:sz w:val="20"/>
                <w:szCs w:val="20"/>
              </w:rPr>
              <w:t>2019)</w:t>
            </w:r>
            <w:r w:rsidRPr="00C6520A">
              <w:rPr>
                <w:sz w:val="20"/>
                <w:szCs w:val="20"/>
              </w:rPr>
              <w:fldChar w:fldCharType="end"/>
            </w:r>
          </w:p>
        </w:tc>
        <w:tc>
          <w:tcPr>
            <w:tcW w:w="336" w:type="pct"/>
          </w:tcPr>
          <w:p w14:paraId="2EB15237" w14:textId="77777777" w:rsidR="00EE501D" w:rsidRPr="00C6520A" w:rsidRDefault="00EE501D" w:rsidP="00525BE0">
            <w:pPr>
              <w:spacing w:line="360" w:lineRule="auto"/>
              <w:jc w:val="both"/>
              <w:rPr>
                <w:sz w:val="20"/>
                <w:szCs w:val="20"/>
              </w:rPr>
            </w:pPr>
            <w:r>
              <w:rPr>
                <w:sz w:val="20"/>
                <w:szCs w:val="20"/>
              </w:rPr>
              <w:t>England</w:t>
            </w:r>
          </w:p>
        </w:tc>
        <w:tc>
          <w:tcPr>
            <w:tcW w:w="807" w:type="pct"/>
          </w:tcPr>
          <w:p w14:paraId="63ABDDFF" w14:textId="77777777" w:rsidR="00EE501D" w:rsidRPr="00C6520A" w:rsidRDefault="00EE501D" w:rsidP="00525BE0">
            <w:pPr>
              <w:spacing w:line="360" w:lineRule="auto"/>
              <w:jc w:val="both"/>
              <w:rPr>
                <w:sz w:val="20"/>
                <w:szCs w:val="20"/>
              </w:rPr>
            </w:pPr>
            <w:r w:rsidRPr="00C6520A">
              <w:rPr>
                <w:sz w:val="20"/>
                <w:szCs w:val="20"/>
              </w:rPr>
              <w:t>Integrated care</w:t>
            </w:r>
          </w:p>
        </w:tc>
        <w:tc>
          <w:tcPr>
            <w:tcW w:w="639" w:type="pct"/>
          </w:tcPr>
          <w:p w14:paraId="53706D8E" w14:textId="77777777" w:rsidR="00EE501D" w:rsidRPr="00C6520A" w:rsidRDefault="00EE501D" w:rsidP="00525BE0">
            <w:pPr>
              <w:spacing w:line="360" w:lineRule="auto"/>
              <w:jc w:val="both"/>
              <w:rPr>
                <w:sz w:val="20"/>
                <w:szCs w:val="20"/>
              </w:rPr>
            </w:pPr>
            <w:r>
              <w:rPr>
                <w:sz w:val="20"/>
                <w:szCs w:val="20"/>
              </w:rPr>
              <w:t>Health and social care</w:t>
            </w:r>
          </w:p>
        </w:tc>
        <w:tc>
          <w:tcPr>
            <w:tcW w:w="1919" w:type="pct"/>
          </w:tcPr>
          <w:p w14:paraId="1B27CC56" w14:textId="77777777" w:rsidR="00EE501D" w:rsidRPr="00C6520A" w:rsidRDefault="00EE501D" w:rsidP="00525BE0">
            <w:pPr>
              <w:spacing w:line="360" w:lineRule="auto"/>
              <w:jc w:val="both"/>
              <w:rPr>
                <w:sz w:val="20"/>
                <w:szCs w:val="20"/>
              </w:rPr>
            </w:pPr>
            <w:r>
              <w:rPr>
                <w:sz w:val="20"/>
                <w:szCs w:val="20"/>
              </w:rPr>
              <w:t>Analysis of leaders’ experiences with integrated care and collaboration in a report format; based on interviews with 16 chairs and leads</w:t>
            </w:r>
          </w:p>
        </w:tc>
        <w:tc>
          <w:tcPr>
            <w:tcW w:w="530" w:type="pct"/>
          </w:tcPr>
          <w:p w14:paraId="60D6BA5C" w14:textId="77777777" w:rsidR="00EE501D" w:rsidRDefault="00EE501D" w:rsidP="00525BE0">
            <w:pPr>
              <w:spacing w:line="360" w:lineRule="auto"/>
              <w:jc w:val="both"/>
              <w:rPr>
                <w:sz w:val="20"/>
                <w:szCs w:val="20"/>
              </w:rPr>
            </w:pPr>
            <w:r>
              <w:rPr>
                <w:sz w:val="20"/>
                <w:szCs w:val="20"/>
              </w:rPr>
              <w:t>Refinement</w:t>
            </w:r>
          </w:p>
        </w:tc>
      </w:tr>
      <w:tr w:rsidR="00EE501D" w:rsidRPr="00C6520A" w14:paraId="1AD7F986" w14:textId="77777777" w:rsidTr="00A77C56">
        <w:trPr>
          <w:trHeight w:val="221"/>
        </w:trPr>
        <w:tc>
          <w:tcPr>
            <w:tcW w:w="768" w:type="pct"/>
          </w:tcPr>
          <w:p w14:paraId="3FAEE831" w14:textId="77777777" w:rsidR="00EE501D" w:rsidRPr="00C6520A" w:rsidRDefault="00EE501D" w:rsidP="00525BE0">
            <w:pPr>
              <w:spacing w:line="360" w:lineRule="auto"/>
              <w:jc w:val="both"/>
              <w:rPr>
                <w:sz w:val="20"/>
                <w:szCs w:val="20"/>
              </w:rPr>
            </w:pPr>
            <w:r>
              <w:rPr>
                <w:sz w:val="20"/>
                <w:szCs w:val="20"/>
              </w:rPr>
              <w:t>What Works Scotland (2015)</w:t>
            </w:r>
          </w:p>
        </w:tc>
        <w:tc>
          <w:tcPr>
            <w:tcW w:w="336" w:type="pct"/>
          </w:tcPr>
          <w:p w14:paraId="340E6DE1" w14:textId="77777777" w:rsidR="00EE501D" w:rsidRDefault="00EE501D" w:rsidP="00525BE0">
            <w:pPr>
              <w:spacing w:line="360" w:lineRule="auto"/>
              <w:jc w:val="both"/>
              <w:rPr>
                <w:sz w:val="20"/>
                <w:szCs w:val="20"/>
              </w:rPr>
            </w:pPr>
            <w:r>
              <w:rPr>
                <w:sz w:val="20"/>
                <w:szCs w:val="20"/>
              </w:rPr>
              <w:t>UK</w:t>
            </w:r>
          </w:p>
        </w:tc>
        <w:tc>
          <w:tcPr>
            <w:tcW w:w="807" w:type="pct"/>
          </w:tcPr>
          <w:p w14:paraId="289A0E8E" w14:textId="77777777" w:rsidR="00EE501D" w:rsidRPr="00C6520A" w:rsidRDefault="00EE501D" w:rsidP="00525BE0">
            <w:pPr>
              <w:spacing w:line="360" w:lineRule="auto"/>
              <w:jc w:val="both"/>
              <w:rPr>
                <w:sz w:val="20"/>
                <w:szCs w:val="20"/>
              </w:rPr>
            </w:pPr>
            <w:r>
              <w:rPr>
                <w:sz w:val="20"/>
                <w:szCs w:val="20"/>
              </w:rPr>
              <w:t>Public services</w:t>
            </w:r>
          </w:p>
        </w:tc>
        <w:tc>
          <w:tcPr>
            <w:tcW w:w="639" w:type="pct"/>
          </w:tcPr>
          <w:p w14:paraId="392D31CE" w14:textId="77777777" w:rsidR="00EE501D" w:rsidRDefault="00EE501D" w:rsidP="00525BE0">
            <w:pPr>
              <w:spacing w:line="360" w:lineRule="auto"/>
              <w:jc w:val="both"/>
              <w:rPr>
                <w:sz w:val="20"/>
                <w:szCs w:val="20"/>
              </w:rPr>
            </w:pPr>
            <w:r>
              <w:rPr>
                <w:sz w:val="20"/>
                <w:szCs w:val="20"/>
              </w:rPr>
              <w:t>Public sector</w:t>
            </w:r>
          </w:p>
        </w:tc>
        <w:tc>
          <w:tcPr>
            <w:tcW w:w="1919" w:type="pct"/>
          </w:tcPr>
          <w:p w14:paraId="15DC8BF9" w14:textId="77777777" w:rsidR="00EE501D" w:rsidRDefault="00EE501D" w:rsidP="00525BE0">
            <w:pPr>
              <w:spacing w:line="360" w:lineRule="auto"/>
              <w:jc w:val="both"/>
              <w:rPr>
                <w:sz w:val="20"/>
                <w:szCs w:val="20"/>
              </w:rPr>
            </w:pPr>
            <w:r>
              <w:rPr>
                <w:sz w:val="20"/>
                <w:szCs w:val="20"/>
              </w:rPr>
              <w:t>Review</w:t>
            </w:r>
          </w:p>
        </w:tc>
        <w:tc>
          <w:tcPr>
            <w:tcW w:w="530" w:type="pct"/>
          </w:tcPr>
          <w:p w14:paraId="48F284A8" w14:textId="77777777" w:rsidR="00EE501D" w:rsidRDefault="00EE501D" w:rsidP="00525BE0">
            <w:pPr>
              <w:spacing w:line="360" w:lineRule="auto"/>
              <w:jc w:val="both"/>
              <w:rPr>
                <w:sz w:val="20"/>
                <w:szCs w:val="20"/>
              </w:rPr>
            </w:pPr>
            <w:r>
              <w:rPr>
                <w:sz w:val="20"/>
                <w:szCs w:val="20"/>
              </w:rPr>
              <w:t>Gleaning</w:t>
            </w:r>
          </w:p>
        </w:tc>
      </w:tr>
      <w:tr w:rsidR="00EE501D" w:rsidRPr="00C6520A" w14:paraId="13786A16" w14:textId="77777777" w:rsidTr="00A77C56">
        <w:trPr>
          <w:trHeight w:val="221"/>
        </w:trPr>
        <w:tc>
          <w:tcPr>
            <w:tcW w:w="768" w:type="pct"/>
          </w:tcPr>
          <w:p w14:paraId="6A8C5102" w14:textId="77777777" w:rsidR="00EE501D" w:rsidRDefault="00EE501D" w:rsidP="00525BE0">
            <w:pPr>
              <w:spacing w:line="360" w:lineRule="auto"/>
              <w:jc w:val="both"/>
              <w:rPr>
                <w:sz w:val="20"/>
                <w:szCs w:val="20"/>
              </w:rPr>
            </w:pPr>
            <w:r>
              <w:rPr>
                <w:sz w:val="20"/>
                <w:szCs w:val="20"/>
              </w:rPr>
              <w:t>Wildridge et al. (2004)</w:t>
            </w:r>
          </w:p>
        </w:tc>
        <w:tc>
          <w:tcPr>
            <w:tcW w:w="336" w:type="pct"/>
          </w:tcPr>
          <w:p w14:paraId="240CB6EF" w14:textId="77777777" w:rsidR="00EE501D" w:rsidRDefault="00EE501D" w:rsidP="00525BE0">
            <w:pPr>
              <w:spacing w:line="360" w:lineRule="auto"/>
              <w:jc w:val="both"/>
              <w:rPr>
                <w:sz w:val="20"/>
                <w:szCs w:val="20"/>
              </w:rPr>
            </w:pPr>
            <w:r>
              <w:rPr>
                <w:sz w:val="20"/>
                <w:szCs w:val="20"/>
              </w:rPr>
              <w:t>UK</w:t>
            </w:r>
          </w:p>
        </w:tc>
        <w:tc>
          <w:tcPr>
            <w:tcW w:w="807" w:type="pct"/>
          </w:tcPr>
          <w:p w14:paraId="16D2B64F" w14:textId="77777777" w:rsidR="00EE501D" w:rsidRPr="00C6520A" w:rsidRDefault="00EE501D" w:rsidP="00525BE0">
            <w:pPr>
              <w:spacing w:line="360" w:lineRule="auto"/>
              <w:jc w:val="both"/>
              <w:rPr>
                <w:sz w:val="20"/>
                <w:szCs w:val="20"/>
              </w:rPr>
            </w:pPr>
            <w:r>
              <w:rPr>
                <w:sz w:val="20"/>
                <w:szCs w:val="20"/>
              </w:rPr>
              <w:t>Partnerships (mixed)</w:t>
            </w:r>
          </w:p>
        </w:tc>
        <w:tc>
          <w:tcPr>
            <w:tcW w:w="639" w:type="pct"/>
          </w:tcPr>
          <w:p w14:paraId="2CA8B31E" w14:textId="77777777" w:rsidR="00EE501D" w:rsidRDefault="00EE501D" w:rsidP="00525BE0">
            <w:pPr>
              <w:spacing w:line="360" w:lineRule="auto"/>
              <w:jc w:val="both"/>
              <w:rPr>
                <w:sz w:val="20"/>
                <w:szCs w:val="20"/>
              </w:rPr>
            </w:pPr>
            <w:r>
              <w:rPr>
                <w:sz w:val="20"/>
                <w:szCs w:val="20"/>
              </w:rPr>
              <w:t>Public sector</w:t>
            </w:r>
          </w:p>
        </w:tc>
        <w:tc>
          <w:tcPr>
            <w:tcW w:w="1919" w:type="pct"/>
          </w:tcPr>
          <w:p w14:paraId="5EEC4523" w14:textId="77777777" w:rsidR="00EE501D" w:rsidRDefault="00EE501D" w:rsidP="00525BE0">
            <w:pPr>
              <w:spacing w:line="360" w:lineRule="auto"/>
              <w:jc w:val="both"/>
              <w:rPr>
                <w:sz w:val="20"/>
                <w:szCs w:val="20"/>
              </w:rPr>
            </w:pPr>
            <w:r>
              <w:rPr>
                <w:sz w:val="20"/>
                <w:szCs w:val="20"/>
              </w:rPr>
              <w:t>Review</w:t>
            </w:r>
          </w:p>
        </w:tc>
        <w:tc>
          <w:tcPr>
            <w:tcW w:w="530" w:type="pct"/>
          </w:tcPr>
          <w:p w14:paraId="2925353F" w14:textId="77777777" w:rsidR="00EE501D" w:rsidRDefault="00EE501D" w:rsidP="00525BE0">
            <w:pPr>
              <w:spacing w:line="360" w:lineRule="auto"/>
              <w:jc w:val="both"/>
              <w:rPr>
                <w:sz w:val="20"/>
                <w:szCs w:val="20"/>
              </w:rPr>
            </w:pPr>
            <w:r>
              <w:rPr>
                <w:sz w:val="20"/>
                <w:szCs w:val="20"/>
              </w:rPr>
              <w:t>Gleaning</w:t>
            </w:r>
          </w:p>
        </w:tc>
      </w:tr>
      <w:tr w:rsidR="00EE501D" w:rsidRPr="00C6520A" w14:paraId="030092FA" w14:textId="77777777" w:rsidTr="00A77C56">
        <w:trPr>
          <w:trHeight w:val="221"/>
        </w:trPr>
        <w:tc>
          <w:tcPr>
            <w:tcW w:w="768" w:type="pct"/>
          </w:tcPr>
          <w:p w14:paraId="0D8A8A50" w14:textId="77777777" w:rsidR="00EE501D" w:rsidRDefault="00EE501D" w:rsidP="00525BE0">
            <w:pPr>
              <w:spacing w:line="360" w:lineRule="auto"/>
              <w:jc w:val="both"/>
              <w:rPr>
                <w:sz w:val="20"/>
                <w:szCs w:val="20"/>
              </w:rPr>
            </w:pPr>
            <w:r>
              <w:rPr>
                <w:sz w:val="20"/>
                <w:szCs w:val="20"/>
              </w:rPr>
              <w:t>Zuckerman et al. (1995)</w:t>
            </w:r>
          </w:p>
        </w:tc>
        <w:tc>
          <w:tcPr>
            <w:tcW w:w="336" w:type="pct"/>
          </w:tcPr>
          <w:p w14:paraId="16E8DB02" w14:textId="77777777" w:rsidR="00EE501D" w:rsidRDefault="00EE501D" w:rsidP="00525BE0">
            <w:pPr>
              <w:spacing w:line="360" w:lineRule="auto"/>
              <w:jc w:val="both"/>
              <w:rPr>
                <w:sz w:val="20"/>
                <w:szCs w:val="20"/>
              </w:rPr>
            </w:pPr>
            <w:r>
              <w:rPr>
                <w:sz w:val="20"/>
                <w:szCs w:val="20"/>
              </w:rPr>
              <w:t>USA</w:t>
            </w:r>
          </w:p>
        </w:tc>
        <w:tc>
          <w:tcPr>
            <w:tcW w:w="807" w:type="pct"/>
          </w:tcPr>
          <w:p w14:paraId="7E269B30" w14:textId="77777777" w:rsidR="00EE501D" w:rsidRPr="00C6520A" w:rsidRDefault="00EE501D" w:rsidP="00525BE0">
            <w:pPr>
              <w:spacing w:line="360" w:lineRule="auto"/>
              <w:jc w:val="both"/>
              <w:rPr>
                <w:sz w:val="20"/>
                <w:szCs w:val="20"/>
              </w:rPr>
            </w:pPr>
            <w:r>
              <w:rPr>
                <w:sz w:val="20"/>
                <w:szCs w:val="20"/>
              </w:rPr>
              <w:t>Alliances</w:t>
            </w:r>
          </w:p>
        </w:tc>
        <w:tc>
          <w:tcPr>
            <w:tcW w:w="639" w:type="pct"/>
          </w:tcPr>
          <w:p w14:paraId="2A1C7ADF" w14:textId="77777777" w:rsidR="00EE501D" w:rsidRDefault="00EE501D" w:rsidP="00525BE0">
            <w:pPr>
              <w:spacing w:line="360" w:lineRule="auto"/>
              <w:jc w:val="both"/>
              <w:rPr>
                <w:sz w:val="20"/>
                <w:szCs w:val="20"/>
              </w:rPr>
            </w:pPr>
            <w:r>
              <w:rPr>
                <w:sz w:val="20"/>
                <w:szCs w:val="20"/>
              </w:rPr>
              <w:t>Health care</w:t>
            </w:r>
          </w:p>
        </w:tc>
        <w:tc>
          <w:tcPr>
            <w:tcW w:w="1919" w:type="pct"/>
          </w:tcPr>
          <w:p w14:paraId="21A28F5C" w14:textId="77777777" w:rsidR="00EE501D" w:rsidRDefault="00EE501D" w:rsidP="00525BE0">
            <w:pPr>
              <w:spacing w:line="360" w:lineRule="auto"/>
              <w:jc w:val="both"/>
              <w:rPr>
                <w:sz w:val="20"/>
                <w:szCs w:val="20"/>
              </w:rPr>
            </w:pPr>
            <w:r>
              <w:rPr>
                <w:sz w:val="20"/>
                <w:szCs w:val="20"/>
              </w:rPr>
              <w:t>Review</w:t>
            </w:r>
          </w:p>
        </w:tc>
        <w:tc>
          <w:tcPr>
            <w:tcW w:w="530" w:type="pct"/>
          </w:tcPr>
          <w:p w14:paraId="746287CC" w14:textId="77777777" w:rsidR="00EE501D" w:rsidRDefault="00EE501D" w:rsidP="00525BE0">
            <w:pPr>
              <w:spacing w:line="360" w:lineRule="auto"/>
              <w:jc w:val="both"/>
              <w:rPr>
                <w:sz w:val="20"/>
                <w:szCs w:val="20"/>
              </w:rPr>
            </w:pPr>
            <w:r>
              <w:rPr>
                <w:sz w:val="20"/>
                <w:szCs w:val="20"/>
              </w:rPr>
              <w:t>Gleaning</w:t>
            </w:r>
          </w:p>
        </w:tc>
      </w:tr>
    </w:tbl>
    <w:p w14:paraId="481329A8" w14:textId="77777777" w:rsidR="00EE501D" w:rsidRDefault="00EE501D" w:rsidP="00525BE0">
      <w:pPr>
        <w:pStyle w:val="Caption"/>
        <w:spacing w:line="360" w:lineRule="auto"/>
        <w:jc w:val="both"/>
        <w:sectPr w:rsidR="00EE501D" w:rsidSect="00A77C56">
          <w:pgSz w:w="16838" w:h="11906" w:orient="landscape"/>
          <w:pgMar w:top="1440" w:right="1440" w:bottom="1440" w:left="1440" w:header="708" w:footer="708" w:gutter="0"/>
          <w:cols w:space="708"/>
          <w:docGrid w:linePitch="360"/>
        </w:sectPr>
      </w:pPr>
    </w:p>
    <w:p w14:paraId="2231EBA6" w14:textId="77777777" w:rsidR="00EE501D" w:rsidRDefault="00EE501D" w:rsidP="00525BE0">
      <w:pPr>
        <w:pStyle w:val="Heading2"/>
        <w:jc w:val="both"/>
      </w:pPr>
      <w:bookmarkStart w:id="95" w:name="_Toc85066443"/>
      <w:r>
        <w:t>Theory gleaning</w:t>
      </w:r>
      <w:bookmarkEnd w:id="95"/>
    </w:p>
    <w:p w14:paraId="192A9C97" w14:textId="77777777" w:rsidR="00EE501D" w:rsidRDefault="00EE501D" w:rsidP="00525BE0">
      <w:pPr>
        <w:pStyle w:val="Heading3"/>
        <w:jc w:val="both"/>
      </w:pPr>
      <w:bookmarkStart w:id="96" w:name="_Toc85066444"/>
      <w:r>
        <w:t xml:space="preserve">Partnership Synergy as a </w:t>
      </w:r>
      <w:r w:rsidRPr="00BF5DAD">
        <w:t>Middle</w:t>
      </w:r>
      <w:r>
        <w:t xml:space="preserve"> R</w:t>
      </w:r>
      <w:r w:rsidRPr="00BF5DAD">
        <w:t>ange Theory</w:t>
      </w:r>
      <w:bookmarkEnd w:id="96"/>
      <w:r w:rsidRPr="00BF5DAD">
        <w:t xml:space="preserve"> </w:t>
      </w:r>
    </w:p>
    <w:p w14:paraId="7CC50D73" w14:textId="3B3C99AF" w:rsidR="003508B3" w:rsidRPr="00197C44" w:rsidRDefault="00EE501D" w:rsidP="003508B3">
      <w:pPr>
        <w:spacing w:line="360" w:lineRule="auto"/>
        <w:jc w:val="both"/>
      </w:pPr>
      <w:r w:rsidRPr="00BF5DAD">
        <w:t xml:space="preserve">Frequently mentioned in seven of the systematically-reviewed studies was the concept of partnership synergy </w:t>
      </w:r>
      <w:r w:rsidRPr="00BF5DAD">
        <w:fldChar w:fldCharType="begin" w:fldLock="1"/>
      </w:r>
      <w:r w:rsidR="00EA4B53">
        <w:instrText>ADDIN CSL_CITATION {"citationItems":[{"id":"ITEM-1","itemData":{"DOI":"10.1080/13561820600890235","ISSN":"13561820","abstract":"The need to provide more joined services in health and social care is now recognized by governments as a major objective, and technology is increasingly seen as the key to achieving it. This paper is based upon the authors' experience as research partners in a national project in England known as FrAmework for Multi-agency Environments (FAME). In the first phase of FAME (April 2003-October 2004) six local \"strands\" led by local authorities worked in partnership with service providers and IT suppliers. Each partnership aimed to support collaboration and interaction between professions in a particular set of services (for example, to vulnerable older people or disabled children) through effective and appropriate exchange of information. This paper examines the literature on partnership and collaboration in public services in order to contextualize and reflect upon IT-enabled multi-agency partnerships.","author":[{"dropping-particle":"","family":"Gannon-Leary","given":"Pat","non-dropping-particle":"","parse-names":false,"suffix":""},{"dropping-particle":"","family":"Baines","given":"Sue","non-dropping-particle":"","parse-names":false,"suffix":""},{"dropping-particle":"","family":"Wilson","given":"Rob","non-dropping-particle":"","parse-names":false,"suffix":""}],"container-title":"Journal of Interprofessional Care","id":"ITEM-1","issue":"6","issued":{"date-parts":[["2006"]]},"page":"665-674","title":"Collaboration and partnership: A review and reflections on a national project to join up local services in England","type":"article-journal","volume":"20"},"uris":["http://www.mendeley.com/documents/?uuid=ab96d496-f09b-4fb3-acd2-0455dc254ba8"]},{"id":"ITEM-2","itemData":{"ISSN":"0952-0767","author":[{"dropping-particle":"","family":"Ball","given":"Rob","non-dropping-particle":"","parse-names":false,"suffix":""},{"dropping-particle":"","family":"Forbes","given":"Tom","non-dropping-particle":"","parse-names":false,"suffix":""},{"dropping-particle":"","family":"Parris","given":"Maxine","non-dropping-particle":"","parse-names":false,"suffix":""},{"dropping-particle":"","family":"Forsyth","given":"Lynn","non-dropping-particle":"","parse-names":false,"suffix":""}],"container-title":"Public Policy and Administration","id":"ITEM-2","issue":"4","issued":{"date-parts":[["2010"]]},"page":"387-407","publisher":"SAGE Publications Sage UK: London, England","title":"The evaluation of partnership working in the delivery of health and social care","type":"article-journal","volume":"25"},"uris":["http://www.mendeley.com/documents/?uuid=e54f26e0-2d73-4ebc-ba66-ddbd0327329b"]},{"id":"ITEM-3","itemData":{"ISBN":"9781405167437","author":[{"dropping-particle":"","family":"Glasby","given":"Jon","non-dropping-particle":"","parse-names":false,"suffix":""},{"dropping-particle":"","family":"Dickinson","given":"Helen","non-dropping-particle":"","parse-names":false,"suffix":""}],"container-title":"Health (San Francisco)","id":"ITEM-3","issued":{"date-parts":[["2009"]]},"title":"International Perspectives on Health and Social Care: Partnership Working in Action","type":"book"},"uris":["http://www.mendeley.com/documents/?uuid=416ef8b5-a5ff-49ee-92dd-cae04237828f"]},{"id":"ITEM-4","itemData":{"DOI":"10.1111/j.1365-2934.2007.00771.x","ISSN":"09660429","abstract":"Aim Key factors of successful interorganizational partnerships are applied to the context of nursing and midwifery education. Background Reports in nursing education emphasize the need for more collaborative partnerships between the education and healthcare sectors of nursing and midwifery education. Evaluation There is little research examining the implementation of interorganizational relationships particularly in nursing.Key issues Key success factors are grouped into seven areas of trust and valuing the partner, leadership and managing change, a partnership framework, communication and interaction, equity and involvement in decision making, power and the role of partnership coordinator.Conclusion There is a need for contextual research in relation to implementing partnership in nursing and midwifery. Implications Partnership arrangements are essential for quality nursing and midwifery education. This article adds knowledge by way of application of these factors to organizations that provide nursing and midwifery education. Nurse managers have an important role in determining the quality of learning experience within the health service. It is essential, therefore that both nurse managers and nurse educationalist know the key factors which promote successful interoganizational relationships to ensure these factors are manifest in practice. © 2008 Blackwell Publishing Ltd.","author":[{"dropping-particle":"","family":"Casey","given":"Mary","non-dropping-particle":"","parse-names":false,"suffix":""}],"container-title":"Journal of Nursing Management","id":"ITEM-4","issue":"1","issued":{"date-parts":[["2008"]]},"page":"72-83","title":"Partnership - Success factors of interorganizational relationships","type":"article-journal","volume":"16"},"uris":["http://www.mendeley.com/documents/?uuid=153eb097-365e-4bd0-956f-00473a46ed98"]},{"id":"ITEM-5","itemData":{"DOI":"https://dx.doi.org/10.1097/PHH.0b013e31823a815c","ISSN":"1550-5022","abstract":"Partnerships among multiple organizations across a range of sectors that bring together multiple perspectives are a common way of addressing community health and building capacity. To function successfully, partnerships depend on the careful orchestration of a collaborative culture and the facilitation of collective action. Using a systematic method, we developed a synthesis of evidence about collaborative capacity building, integrating this diverse knowledge base into a usable framework. Seventeen published models of collaborative capacity building met the inclusion criteria and were combined to derive a matrix that could guide the actions of those responsible for partnership management. This matrix may make the process of developing partnerships less complicated in future.","author":[{"dropping-particle":"","family":"Kendall","given":"Elizabeth","non-dropping-particle":"","parse-names":false,"suffix":""},{"dropping-particle":"","family":"Muenchberger","given":"Heidi","non-dropping-particle":"","parse-names":false,"suffix":""},{"dropping-particle":"","family":"Sunderland","given":"Naomi","non-dropping-particle":"","parse-names":false,"suffix":""},{"dropping-particle":"","family":"Harris","given":"Michelle","non-dropping-particle":"","parse-names":false,"suffix":""},{"dropping-particle":"","family":"Cowan","given":"Deborah","non-dropping-particle":"","parse-names":false,"suffix":""}],"container-title":"Journal of Public Health Management and Practice","id":"ITEM-5","issue":"5","issued":{"date-parts":[["2012"]]},"note":"Useful for theorybuilding","page":"E1-13","publisher-place":"United States","title":"Collaborative capacity building in complex community-based health partnerships: a model for translating knowledge into action.","type":"article-journal","volume":"18"},"uris":["http://www.mendeley.com/documents/?uuid=058c50c5-9363-4f82-bf55-e5c1fec792e8"]},{"id":"ITEM-6","itemData":{"DOI":"10.5334/ijic.3068","ISSN":"15684156","abstract":"Introduction: In recent years, inter-organisational collaboration between healthcare organisations has become of increasingly vital importance in order to improve the integration of health service delivery. However, different barriers reported in academic literature seem to hinder the formation and development of such collaboration. Theory and methods: This systematic literature review of forty studies summarises and categorises the barriers to integrated care in inter-organisational settings as reported in previous studies. It analyses how these barriers operate. Results: Within these studies, twenty types of barriers have been identified and then categorised in six groups (barriers related to administration and regulation, barriers related to funding, barriers related to the inter-organisational domain, barriers related to the organisational domain, barriers related to service delivery, and barriers related to clinical practices). Not all of these barriers emerge passively, some are set up intentionally. They are not only context-specific, but are also often related and influence each other. Discussion and conclusion: The compilation of these results allows for a better understanding of the characteristics and reasons for the occurrence of barriers that impede collaboration aiming for the integration of care, not only for researchers but also for practitioners. It can help to explain and counteract the slow progress and limited efficiency and effectiveness of some of the inter-organisational collaboration in healthcare settings.","author":[{"dropping-particle":"","family":"Auschra","given":"Carolin","non-dropping-particle":"","parse-names":false,"suffix":""}],"container-title":"International Journal of Integrated Care","id":"ITEM-6","issue":"1","issued":{"date-parts":[["2018"]]},"note":"From Duplicate 2 (Barriers to the integration of care in inter-organisational settings: a literature review - Carolin, AUSCHRA)\n\nUseful review of inter-organisational factors which hinder joint working","page":"1-14","publisher":"International Foundation for Integrated Care","title":"Barriers to the integration of care in inter-organisational settings: a literature review","type":"article-journal","volume":"18"},"uris":["http://www.mendeley.com/documents/?uuid=dbe1602a-b818-4478-808a-1caa27a3d8fa"]},{"id":"ITEM-7","itemData":{"DOI":"10.1080/13561820701585353","ISBN":"1356182070","ISSN":"13561820","abstract":"This paper describes an action research study which focused on an exploration of the aspirations for and initial achievements of Stratham Mental Health NHS and Social Care Trust. Local leaders perceived that Stratham had a good history of health and social care partnership working and as such, adopted an integrationist view of culture to help shape the context of the new structural form. In doing so, consistency remained a key message to staff throughout this organizational transition and the change did not appear to cause the distraction to core business which the literature suggests it would do so. However, this continuity may have come at a cost, at least initially. In the process of formalizing the previous partnership into a Care Trust, Stratham may not have produced all the beneficial effects of synergy which are usually (albeit eventually) associated with mergers in the private sector. Certainly, local actors could see opportunities that had been missed. By focusing on the structural manifestation of the relationship, the opportunities to broaden informal horizontal linkages may have been underexploited. The study of Stratham serves to confirm that the integrationist conception of culture is limited and that the differentiation of professional groupings and the ambiguity of individual experience will always make contested the meanings that are attributed to organizational change.","author":[{"dropping-particle":"","family":"Dickinson","given":"Helen","non-dropping-particle":"","parse-names":false,"suffix":""},{"dropping-particle":"","family":"Peck","given":"Edward","non-dropping-particle":"","parse-names":false,"suffix":""},{"dropping-particle":"","family":"Davidson","given":"Deborah","non-dropping-particle":"","parse-names":false,"suffix":""}],"container-title":"Journal of Interprofessional Care","id":"ITEM-7","issue":"5","issued":{"date-parts":[["2007"]]},"page":"503-513","title":"Opportunity seized or missed? A case study of leadership and organizational change in the creation of a Care Trust","type":"article-journal","volume":"21"},"uris":["http://www.mendeley.com/documents/?uuid=78fd82fa-19cd-45ef-aa87-73c82532c532"]},{"id":"ITEM-8","itemData":{"DOI":"10.1080/1471903032000146964","ISSN":"14719045","abstract":"This article provides an overview of the theory of collaborative advantage. This is a practice-oriented theory concerned with enhancing practical understanding of the management isssues involved in joint working across organizations. Two contrasting concepts are central to it: collaborative advantage which is concerned with the potential for synergy from working collaboratively; and, collaborative inertia which relates to the often disappointing output in reality. The theory is structured as a set of overlapping themes, which are predominantly issues that practitioners see as causing pain and reward in collaborative situations. Five example themes are discussed: common aims; power; trust; membership structures; and, leadership. It is argued that the theory captures the complexity that underlies collaborative situations and conveys it in a way that seems real to those involved. It aims to empower those involved through legitimising experienced frustration and providing conceptual handles to help address the practical issues involved. © 2003 Taylor &amp; Francis.","author":[{"dropping-particle":"","family":"Huxham","given":"Chris","non-dropping-particle":"","parse-names":false,"suffix":""}],"container-title":"Public Management Review","id":"ITEM-8","issue":"3","issued":{"date-parts":[["2003"]]},"page":"401-423","title":"Theorizing collaboration practice","type":"article-journal","volume":"5"},"uris":["http://www.mendeley.com/documents/?uuid=6f1d7224-e228-45ef-8795-2b9f48aadd33"]}],"mendeley":{"formattedCitation":"&lt;sup&gt;15,47,60,113,158,167,168,175&lt;/sup&gt;","plainTextFormattedCitation":"15,47,60,113,158,167,168,175","previouslyFormattedCitation":"&lt;sup&gt;15,47,60,113,158,167,168,175&lt;/sup&gt;"},"properties":{"noteIndex":0},"schema":"https://github.com/citation-style-language/schema/raw/master/csl-citation.json"}</w:instrText>
      </w:r>
      <w:r w:rsidRPr="00BF5DAD">
        <w:fldChar w:fldCharType="separate"/>
      </w:r>
      <w:r w:rsidR="00E25884" w:rsidRPr="00E25884">
        <w:rPr>
          <w:noProof/>
          <w:vertAlign w:val="superscript"/>
        </w:rPr>
        <w:t>15,47,60,113,158,167,168,175</w:t>
      </w:r>
      <w:r w:rsidRPr="00BF5DAD">
        <w:fldChar w:fldCharType="end"/>
      </w:r>
      <w:r w:rsidRPr="00BF5DAD">
        <w:t xml:space="preserve">, which was first coined by </w:t>
      </w:r>
      <w:r w:rsidRPr="00BF5DAD">
        <w:fldChar w:fldCharType="begin" w:fldLock="1"/>
      </w:r>
      <w:r w:rsidR="00EA4B53">
        <w:instrText>ADDIN CSL_CITATION {"citationItems":[{"id":"ITEM-1","itemData":{"DOI":"10.1186/s12939-018-0814-0","ISSN":"14759276","abstract":"Background: Current policy priorities to strengthen the nursing sector in India have focused on increasing the number of nurses in the health system. However, the nursing sector is afflicted by other, significant problems including the low status of nurses in the hierarchy of health care professionals, low salaries, and out-dated systems of professional governance, all affecting nurses' leadership potential and ability to perform. Stronger nurse leadership has the potential to support the achievement of health system goals, especially for strengthening of primary health care, which has been recognised and addressed in several other country contexts. This research study explores the process of policy agenda-setting for nurse leadership in India, and aims to identify the structural and systemic constraints in setting the agenda for policy reforms on the issue. Methods: Our methods included policy document review and expert interviews. We identified policy reforms proposed by different government appointed committees on issues concerning nurses' leadership and its progress. Experts' accounts were used to understand lack of progress in several nursing reform proposals and analysed using deductive thematic analysis for 'legitimacy', 'feasibility' and 'support', in line with Hall's agenda setting model. Results: The absence of quantifiable evidence on the nurse leadership crisis and treatment of nursing reforms as a 'second class' issue were found to negatively influence perceptions of the legitimacy of nurse leadership reform. Feasibility is affected by the lack of representation of nurses in key positions and the absence of a nurse-specific institution, which is seen as essential for creating visibility of the issues facing the profession, their processing and planning for policy solutions. Finally, participants noted the lack of strong support from nurses themselves for these policy reforms, which they attributed to social disempowerment, and lack of professional autonomy. Conclusions: The study emphasises that the nursing empowerment needs institutional reforms to facilitate nurse's distributed leadership across the health system and to enable their collective advocacy that questions the status quo and the structures that uphold it.","author":[{"dropping-particle":"","family":"Lasker","given":"Roz D","non-dropping-particle":"","parse-names":false,"suffix":""},{"dropping-particle":"","family":"Weiss","given":"Elisa S","non-dropping-particle":"","parse-names":false,"suffix":""},{"dropping-particle":"","family":"Miller","given":"Rebecca","non-dropping-particle":"","parse-names":false,"suffix":""}],"container-title":"The Milbank Quartlerly","id":"ITEM-1","issue":"2","issued":{"date-parts":[["2001"]]},"page":"179-205","title":"Partnership Synergy: A Practical Framework for Studying and Strengthening the Collaborative Advantage","type":"article-journal","volume":"79"},"uris":["http://www.mendeley.com/documents/?uuid=ae45cdd7-c520-4101-973e-97a60a59ff2f"]}],"mendeley":{"formattedCitation":"&lt;sup&gt;115&lt;/sup&gt;","manualFormatting":"Lasker, Weiss, and Miller (2001)","plainTextFormattedCitation":"115","previouslyFormattedCitation":"&lt;sup&gt;115&lt;/sup&gt;"},"properties":{"noteIndex":0},"schema":"https://github.com/citation-style-language/schema/raw/master/csl-citation.json"}</w:instrText>
      </w:r>
      <w:r w:rsidRPr="00BF5DAD">
        <w:fldChar w:fldCharType="separate"/>
      </w:r>
      <w:r w:rsidRPr="00BF5DAD">
        <w:rPr>
          <w:noProof/>
        </w:rPr>
        <w:t>Lasker, Weiss, and Miller (2001)</w:t>
      </w:r>
      <w:r w:rsidRPr="00BF5DAD">
        <w:fldChar w:fldCharType="end"/>
      </w:r>
      <w:r w:rsidRPr="00BF5DAD">
        <w:t xml:space="preserve"> as a means for explaining </w:t>
      </w:r>
      <w:r w:rsidRPr="00BF5DAD">
        <w:rPr>
          <w:i/>
        </w:rPr>
        <w:t>how</w:t>
      </w:r>
      <w:r w:rsidRPr="00BF5DAD">
        <w:t xml:space="preserve"> partnerships achieve advantage over independent, competitive working. As such, this theory was adopted as </w:t>
      </w:r>
      <w:r w:rsidR="005A2F52">
        <w:t>a</w:t>
      </w:r>
      <w:r w:rsidRPr="00BF5DAD">
        <w:t xml:space="preserve"> MRT, which explains how there are ‘partnership functioning’ </w:t>
      </w:r>
      <w:r>
        <w:t xml:space="preserve">(hereby collaborative functioning) </w:t>
      </w:r>
      <w:r w:rsidRPr="00BF5DAD">
        <w:t>mechanisms essential to explaining the processes of working together, as well as ‘partnership performance’</w:t>
      </w:r>
      <w:r>
        <w:t xml:space="preserve"> (hereby collaborative performance)</w:t>
      </w:r>
      <w:r w:rsidRPr="00BF5DAD">
        <w:t xml:space="preserve"> mechanisms which underpin the improvements that collaborating seek to attain. Lasker, Weiss, and Miller (2001) put forward partnership synergy as an intermediate outcome that comes after the functioning of the partnership but precedes the effectiveness of it (figure </w:t>
      </w:r>
      <w:r w:rsidR="00A15DEF">
        <w:t>1</w:t>
      </w:r>
      <w:r w:rsidRPr="00BF5DAD">
        <w:t xml:space="preserve">2) </w:t>
      </w:r>
      <w:r w:rsidRPr="00BF5DAD">
        <w:fldChar w:fldCharType="begin" w:fldLock="1"/>
      </w:r>
      <w:r w:rsidR="00EA4B53">
        <w:instrText>ADDIN CSL_CITATION {"citationItems":[{"id":"ITEM-1","itemData":{"DOI":"10.1186/s12939-018-0814-0","ISSN":"14759276","abstract":"Background: Current policy priorities to strengthen the nursing sector in India have focused on increasing the number of nurses in the health system. However, the nursing sector is afflicted by other, significant problems including the low status of nurses in the hierarchy of health care professionals, low salaries, and out-dated systems of professional governance, all affecting nurses' leadership potential and ability to perform. Stronger nurse leadership has the potential to support the achievement of health system goals, especially for strengthening of primary health care, which has been recognised and addressed in several other country contexts. This research study explores the process of policy agenda-setting for nurse leadership in India, and aims to identify the structural and systemic constraints in setting the agenda for policy reforms on the issue. Methods: Our methods included policy document review and expert interviews. We identified policy reforms proposed by different government appointed committees on issues concerning nurses' leadership and its progress. Experts' accounts were used to understand lack of progress in several nursing reform proposals and analysed using deductive thematic analysis for 'legitimacy', 'feasibility' and 'support', in line with Hall's agenda setting model. Results: The absence of quantifiable evidence on the nurse leadership crisis and treatment of nursing reforms as a 'second class' issue were found to negatively influence perceptions of the legitimacy of nurse leadership reform. Feasibility is affected by the lack of representation of nurses in key positions and the absence of a nurse-specific institution, which is seen as essential for creating visibility of the issues facing the profession, their processing and planning for policy solutions. Finally, participants noted the lack of strong support from nurses themselves for these policy reforms, which they attributed to social disempowerment, and lack of professional autonomy. Conclusions: The study emphasises that the nursing empowerment needs institutional reforms to facilitate nurse's distributed leadership across the health system and to enable their collective advocacy that questions the status quo and the structures that uphold it.","author":[{"dropping-particle":"","family":"Lasker","given":"Roz D","non-dropping-particle":"","parse-names":false,"suffix":""},{"dropping-particle":"","family":"Weiss","given":"Elisa S","non-dropping-particle":"","parse-names":false,"suffix":""},{"dropping-particle":"","family":"Miller","given":"Rebecca","non-dropping-particle":"","parse-names":false,"suffix":""}],"container-title":"The Milbank Quartlerly","id":"ITEM-1","issue":"2","issued":{"date-parts":[["2001"]]},"page":"179-205","title":"Partnership Synergy: A Practical Framework for Studying and Strengthening the Collaborative Advantage","type":"article-journal","volume":"79"},"uris":["http://www.mendeley.com/documents/?uuid=ae45cdd7-c520-4101-973e-97a60a59ff2f"]}],"mendeley":{"formattedCitation":"&lt;sup&gt;115&lt;/sup&gt;","plainTextFormattedCitation":"115","previouslyFormattedCitation":"&lt;sup&gt;115&lt;/sup&gt;"},"properties":{"noteIndex":0},"schema":"https://github.com/citation-style-language/schema/raw/master/csl-citation.json"}</w:instrText>
      </w:r>
      <w:r w:rsidRPr="00BF5DAD">
        <w:fldChar w:fldCharType="separate"/>
      </w:r>
      <w:r w:rsidR="00E25884" w:rsidRPr="00E25884">
        <w:rPr>
          <w:noProof/>
          <w:vertAlign w:val="superscript"/>
        </w:rPr>
        <w:t>115</w:t>
      </w:r>
      <w:r w:rsidRPr="00BF5DAD">
        <w:fldChar w:fldCharType="end"/>
      </w:r>
      <w:r w:rsidRPr="00BF5DAD">
        <w:t xml:space="preserve">. This means that when working well together, a combination of resources and skills of the partners is what enables achievement above and beyond what would have been possible individually. </w:t>
      </w:r>
    </w:p>
    <w:p w14:paraId="12C61ADC" w14:textId="37298332" w:rsidR="00EE501D" w:rsidRDefault="00EE501D" w:rsidP="00525BE0">
      <w:pPr>
        <w:spacing w:line="360" w:lineRule="auto"/>
        <w:jc w:val="both"/>
      </w:pPr>
    </w:p>
    <w:p w14:paraId="550120C5" w14:textId="77777777" w:rsidR="00EE501D" w:rsidRDefault="00EE501D" w:rsidP="00525BE0">
      <w:pPr>
        <w:pStyle w:val="Caption"/>
        <w:spacing w:line="360" w:lineRule="auto"/>
        <w:jc w:val="both"/>
      </w:pPr>
      <w:r>
        <w:rPr>
          <w:noProof/>
          <w:lang w:eastAsia="en-GB"/>
        </w:rPr>
        <w:drawing>
          <wp:inline distT="0" distB="0" distL="0" distR="0" wp14:anchorId="3C0BD12A" wp14:editId="2C641805">
            <wp:extent cx="5731510" cy="3003550"/>
            <wp:effectExtent l="0" t="0" r="0" b="635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3003550"/>
                    </a:xfrm>
                    <a:prstGeom prst="rect">
                      <a:avLst/>
                    </a:prstGeom>
                  </pic:spPr>
                </pic:pic>
              </a:graphicData>
            </a:graphic>
          </wp:inline>
        </w:drawing>
      </w:r>
    </w:p>
    <w:p w14:paraId="2752FDE9" w14:textId="2C551B8F" w:rsidR="00EE501D" w:rsidRDefault="00EE501D" w:rsidP="00525BE0">
      <w:pPr>
        <w:pStyle w:val="Caption"/>
        <w:spacing w:line="360" w:lineRule="auto"/>
        <w:jc w:val="both"/>
      </w:pPr>
      <w:bookmarkStart w:id="97" w:name="_Toc106181617"/>
      <w:r>
        <w:t xml:space="preserve">Figure </w:t>
      </w:r>
      <w:r w:rsidR="008802A5">
        <w:fldChar w:fldCharType="begin"/>
      </w:r>
      <w:r w:rsidR="008802A5">
        <w:instrText xml:space="preserve"> SEQ Figure \* ARABIC </w:instrText>
      </w:r>
      <w:r w:rsidR="008802A5">
        <w:fldChar w:fldCharType="separate"/>
      </w:r>
      <w:r w:rsidR="005A2F52">
        <w:rPr>
          <w:noProof/>
        </w:rPr>
        <w:t>12</w:t>
      </w:r>
      <w:r w:rsidR="008802A5">
        <w:rPr>
          <w:noProof/>
        </w:rPr>
        <w:fldChar w:fldCharType="end"/>
      </w:r>
      <w:r>
        <w:t xml:space="preserve">. Simplified depiction of our </w:t>
      </w:r>
      <w:r w:rsidR="00710AAB">
        <w:t>MRT</w:t>
      </w:r>
      <w:r>
        <w:t xml:space="preserve"> and the essential roles of trust, confidence, and faith. Adapted from </w:t>
      </w:r>
      <w:r>
        <w:fldChar w:fldCharType="begin" w:fldLock="1"/>
      </w:r>
      <w:r w:rsidR="0065745F">
        <w:instrText>ADDIN CSL_CITATION {"citationItems":[{"id":"ITEM-1","itemData":{"DOI":"10.1186/s12939-018-0814-0","ISSN":"14759276","abstract":"Background: Current policy priorities to strengthen the nursing sector in India have focused on increasing the number of nurses in the health system. However, the nursing sector is afflicted by other, significant problems including the low status of nurses in the hierarchy of health care professionals, low salaries, and out-dated systems of professional governance, all affecting nurses' leadership potential and ability to perform. Stronger nurse leadership has the potential to support the achievement of health system goals, especially for strengthening of primary health care, which has been recognised and addressed in several other country contexts. This research study explores the process of policy agenda-setting for nurse leadership in India, and aims to identify the structural and systemic constraints in setting the agenda for policy reforms on the issue. Methods: Our methods included policy document review and expert interviews. We identified policy reforms proposed by different government appointed committees on issues concerning nurses' leadership and its progress. Experts' accounts were used to understand lack of progress in several nursing reform proposals and analysed using deductive thematic analysis for 'legitimacy', 'feasibility' and 'support', in line with Hall's agenda setting model. Results: The absence of quantifiable evidence on the nurse leadership crisis and treatment of nursing reforms as a 'second class' issue were found to negatively influence perceptions of the legitimacy of nurse leadership reform. Feasibility is affected by the lack of representation of nurses in key positions and the absence of a nurse-specific institution, which is seen as essential for creating visibility of the issues facing the profession, their processing and planning for policy solutions. Finally, participants noted the lack of strong support from nurses themselves for these policy reforms, which they attributed to social disempowerment, and lack of professional autonomy. Conclusions: The study emphasises that the nursing empowerment needs institutional reforms to facilitate nurse's distributed leadership across the health system and to enable their collective advocacy that questions the status quo and the structures that uphold it.","author":[{"dropping-particle":"","family":"Lasker","given":"Roz D","non-dropping-particle":"","parse-names":false,"suffix":""},{"dropping-particle":"","family":"Weiss","given":"Elisa S","non-dropping-particle":"","parse-names":false,"suffix":""},{"dropping-particle":"","family":"Miller","given":"Rebecca","non-dropping-particle":"","parse-names":false,"suffix":""}],"container-title":"The Milbank Quartlerly","id":"ITEM-1","issue":"2","issued":{"date-parts":[["2001"]]},"page":"179-205","title":"Partnership Synergy: A Practical Framework for Studying and Strengthening the Collaborative Advantage","type":"article-journal","volume":"79"},"uris":["http://www.mendeley.com/documents/?uuid=ae45cdd7-c520-4101-973e-97a60a59ff2f"]}],"mendeley":{"formattedCitation":"&lt;sup&gt;115&lt;/sup&gt;","manualFormatting":"Lasker et al.115","plainTextFormattedCitation":"115","previouslyFormattedCitation":"&lt;sup&gt;115&lt;/sup&gt;"},"properties":{"noteIndex":0},"schema":"https://github.com/citation-style-language/schema/raw/master/csl-citation.json"}</w:instrText>
      </w:r>
      <w:r>
        <w:fldChar w:fldCharType="separate"/>
      </w:r>
      <w:r w:rsidR="00804189">
        <w:rPr>
          <w:noProof/>
        </w:rPr>
        <w:t>Lasker et al.</w:t>
      </w:r>
      <w:r w:rsidR="00804189" w:rsidRPr="00804189">
        <w:rPr>
          <w:i w:val="0"/>
          <w:noProof/>
          <w:vertAlign w:val="superscript"/>
        </w:rPr>
        <w:t>115</w:t>
      </w:r>
      <w:r>
        <w:fldChar w:fldCharType="end"/>
      </w:r>
      <w:r>
        <w:t xml:space="preserve"> &amp;</w:t>
      </w:r>
      <w:r w:rsidR="00804189">
        <w:t xml:space="preserve"> Aunger et al</w:t>
      </w:r>
      <w:r w:rsidR="0065745F">
        <w:t>.</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i w:val="0"/>
          <w:noProof/>
          <w:vertAlign w:val="superscript"/>
        </w:rPr>
        <w:t>138</w:t>
      </w:r>
      <w:r>
        <w:fldChar w:fldCharType="end"/>
      </w:r>
      <w:r>
        <w:t>.</w:t>
      </w:r>
      <w:bookmarkEnd w:id="97"/>
    </w:p>
    <w:p w14:paraId="35E38D0A" w14:textId="675331FA" w:rsidR="00EE501D" w:rsidRDefault="00EE501D" w:rsidP="00525BE0">
      <w:pPr>
        <w:spacing w:line="360" w:lineRule="auto"/>
        <w:jc w:val="both"/>
      </w:pPr>
      <w:r w:rsidRPr="00BF5DAD">
        <w:t xml:space="preserve">Partnership synergy can be considered a mechanism whereby a context of high </w:t>
      </w:r>
      <w:r>
        <w:t>collaborative</w:t>
      </w:r>
      <w:r w:rsidRPr="00BF5DAD">
        <w:t xml:space="preserve"> functioning leads to greater </w:t>
      </w:r>
      <w:r>
        <w:t>collaborative</w:t>
      </w:r>
      <w:r w:rsidRPr="00BF5DAD">
        <w:t xml:space="preserve"> synergy, and thus improved </w:t>
      </w:r>
      <w:r>
        <w:t>collaborative</w:t>
      </w:r>
      <w:r w:rsidRPr="00BF5DAD">
        <w:t xml:space="preserve"> performance. Improved </w:t>
      </w:r>
      <w:r>
        <w:t>collaborative</w:t>
      </w:r>
      <w:r w:rsidRPr="00BF5DAD">
        <w:t xml:space="preserve"> performance is likely to be an outcome in itself which results from mechanisms involved with an improved ability to achieve healthcare-related outcomes, such as reduced duplication of effort, economies of scale, and competitive advantage </w:t>
      </w:r>
      <w:r w:rsidRPr="00BF5DAD">
        <w:fldChar w:fldCharType="begin" w:fldLock="1"/>
      </w:r>
      <w:r w:rsidR="00EA4B53">
        <w:instrText>ADDIN CSL_CITATION {"citationItems":[{"id":"ITEM-1","itemData":{"DOI":"10.1186/s12939-018-0814-0","ISSN":"14759276","abstract":"Background: Current policy priorities to strengthen the nursing sector in India have focused on increasing the number of nurses in the health system. However, the nursing sector is afflicted by other, significant problems including the low status of nurses in the hierarchy of health care professionals, low salaries, and out-dated systems of professional governance, all affecting nurses' leadership potential and ability to perform. Stronger nurse leadership has the potential to support the achievement of health system goals, especially for strengthening of primary health care, which has been recognised and addressed in several other country contexts. This research study explores the process of policy agenda-setting for nurse leadership in India, and aims to identify the structural and systemic constraints in setting the agenda for policy reforms on the issue. Methods: Our methods included policy document review and expert interviews. We identified policy reforms proposed by different government appointed committees on issues concerning nurses' leadership and its progress. Experts' accounts were used to understand lack of progress in several nursing reform proposals and analysed using deductive thematic analysis for 'legitimacy', 'feasibility' and 'support', in line with Hall's agenda setting model. Results: The absence of quantifiable evidence on the nurse leadership crisis and treatment of nursing reforms as a 'second class' issue were found to negatively influence perceptions of the legitimacy of nurse leadership reform. Feasibility is affected by the lack of representation of nurses in key positions and the absence of a nurse-specific institution, which is seen as essential for creating visibility of the issues facing the profession, their processing and planning for policy solutions. Finally, participants noted the lack of strong support from nurses themselves for these policy reforms, which they attributed to social disempowerment, and lack of professional autonomy. Conclusions: The study emphasises that the nursing empowerment needs institutional reforms to facilitate nurse's distributed leadership across the health system and to enable their collective advocacy that questions the status quo and the structures that uphold it.","author":[{"dropping-particle":"","family":"Lasker","given":"Roz D","non-dropping-particle":"","parse-names":false,"suffix":""},{"dropping-particle":"","family":"Weiss","given":"Elisa S","non-dropping-particle":"","parse-names":false,"suffix":""},{"dropping-particle":"","family":"Miller","given":"Rebecca","non-dropping-particle":"","parse-names":false,"suffix":""}],"container-title":"The Milbank Quartlerly","id":"ITEM-1","issue":"2","issued":{"date-parts":[["2001"]]},"page":"179-205","title":"Partnership Synergy: A Practical Framework for Studying and Strengthening the Collaborative Advantage","type":"article-journal","volume":"79"},"uris":["http://www.mendeley.com/documents/?uuid=ae45cdd7-c520-4101-973e-97a60a59ff2f"]}],"mendeley":{"formattedCitation":"&lt;sup&gt;115&lt;/sup&gt;","plainTextFormattedCitation":"115","previouslyFormattedCitation":"&lt;sup&gt;115&lt;/sup&gt;"},"properties":{"noteIndex":0},"schema":"https://github.com/citation-style-language/schema/raw/master/csl-citation.json"}</w:instrText>
      </w:r>
      <w:r w:rsidRPr="00BF5DAD">
        <w:fldChar w:fldCharType="separate"/>
      </w:r>
      <w:r w:rsidR="00E25884" w:rsidRPr="00E25884">
        <w:rPr>
          <w:noProof/>
          <w:vertAlign w:val="superscript"/>
        </w:rPr>
        <w:t>115</w:t>
      </w:r>
      <w:r w:rsidRPr="00BF5DAD">
        <w:fldChar w:fldCharType="end"/>
      </w:r>
      <w:r w:rsidRPr="00BF5DAD">
        <w:t xml:space="preserve">. </w:t>
      </w:r>
      <w:r w:rsidR="00A92487" w:rsidRPr="00BF5DAD">
        <w:t>But</w:t>
      </w:r>
      <w:r w:rsidRPr="00BF5DAD">
        <w:t xml:space="preserve"> these performance-related mechanisms will depend on the aims and structure of each individual collaboration. We also add to the MRT the concept of collaborative inertia, which was put forward by </w:t>
      </w:r>
      <w:r w:rsidRPr="00BF5DAD">
        <w:fldChar w:fldCharType="begin" w:fldLock="1"/>
      </w:r>
      <w:r w:rsidR="00EA4B53">
        <w:instrText>ADDIN CSL_CITATION {"citationItems":[{"id":"ITEM-1","itemData":{"DOI":"10.1080/1471903032000146964","ISSN":"14719045","abstract":"This article provides an overview of the theory of collaborative advantage. This is a practice-oriented theory concerned with enhancing practical understanding of the management isssues involved in joint working across organizations. Two contrasting concepts are central to it: collaborative advantage which is concerned with the potential for synergy from working collaboratively; and, collaborative inertia which relates to the often disappointing output in reality. The theory is structured as a set of overlapping themes, which are predominantly issues that practitioners see as causing pain and reward in collaborative situations. Five example themes are discussed: common aims; power; trust; membership structures; and, leadership. It is argued that the theory captures the complexity that underlies collaborative situations and conveys it in a way that seems real to those involved. It aims to empower those involved through legitimising experienced frustration and providing conceptual handles to help address the practical issues involved. © 2003 Taylor &amp; Francis.","author":[{"dropping-particle":"","family":"Huxham","given":"Chris","non-dropping-particle":"","parse-names":false,"suffix":""}],"container-title":"Public Management Review","id":"ITEM-1","issue":"3","issued":{"date-parts":[["2003"]]},"page":"401-423","title":"Theorizing collaboration practice","type":"article-journal","volume":"5"},"uris":["http://www.mendeley.com/documents/?uuid=6f1d7224-e228-45ef-8795-2b9f48aadd33"]}],"mendeley":{"formattedCitation":"&lt;sup&gt;113&lt;/sup&gt;","manualFormatting":"Huxham (2003)","plainTextFormattedCitation":"113","previouslyFormattedCitation":"&lt;sup&gt;113&lt;/sup&gt;"},"properties":{"noteIndex":0},"schema":"https://github.com/citation-style-language/schema/raw/master/csl-citation.json"}</w:instrText>
      </w:r>
      <w:r w:rsidRPr="00BF5DAD">
        <w:fldChar w:fldCharType="separate"/>
      </w:r>
      <w:r w:rsidRPr="00BF5DAD">
        <w:rPr>
          <w:noProof/>
        </w:rPr>
        <w:t>Huxham (2003)</w:t>
      </w:r>
      <w:r w:rsidRPr="00BF5DAD">
        <w:fldChar w:fldCharType="end"/>
      </w:r>
      <w:r w:rsidRPr="00BF5DAD">
        <w:t xml:space="preserve"> - one of the systematically identified studies. </w:t>
      </w:r>
    </w:p>
    <w:p w14:paraId="75A697B7" w14:textId="7DB11EEE" w:rsidR="00EE501D" w:rsidRPr="00BF5DAD" w:rsidRDefault="00EE501D" w:rsidP="00525BE0">
      <w:pPr>
        <w:spacing w:line="360" w:lineRule="auto"/>
        <w:jc w:val="both"/>
      </w:pPr>
      <w:r w:rsidRPr="00BF5DAD">
        <w:t xml:space="preserve">Collaborative inertia occurs when organisations and actors get ‘bogged down’ in the day to day functioning of the partnership </w:t>
      </w:r>
      <w:r w:rsidRPr="00BF5DAD">
        <w:fldChar w:fldCharType="begin" w:fldLock="1"/>
      </w:r>
      <w:r w:rsidR="00EA4B53">
        <w:instrText>ADDIN CSL_CITATION {"citationItems":[{"id":"ITEM-1","itemData":{"DOI":"10.1080/1471903032000146964","ISSN":"14719045","abstract":"This article provides an overview of the theory of collaborative advantage. This is a practice-oriented theory concerned with enhancing practical understanding of the management isssues involved in joint working across organizations. Two contrasting concepts are central to it: collaborative advantage which is concerned with the potential for synergy from working collaboratively; and, collaborative inertia which relates to the often disappointing output in reality. The theory is structured as a set of overlapping themes, which are predominantly issues that practitioners see as causing pain and reward in collaborative situations. Five example themes are discussed: common aims; power; trust; membership structures; and, leadership. It is argued that the theory captures the complexity that underlies collaborative situations and conveys it in a way that seems real to those involved. It aims to empower those involved through legitimising experienced frustration and providing conceptual handles to help address the practical issues involved. © 2003 Taylor &amp; Francis.","author":[{"dropping-particle":"","family":"Huxham","given":"Chris","non-dropping-particle":"","parse-names":false,"suffix":""}],"container-title":"Public Management Review","id":"ITEM-1","issue":"3","issued":{"date-parts":[["2003"]]},"page":"401-423","title":"Theorizing collaboration practice","type":"article-journal","volume":"5"},"uris":["http://www.mendeley.com/documents/?uuid=6f1d7224-e228-45ef-8795-2b9f48aadd33"]}],"mendeley":{"formattedCitation":"&lt;sup&gt;113&lt;/sup&gt;","plainTextFormattedCitation":"113","previouslyFormattedCitation":"&lt;sup&gt;113&lt;/sup&gt;"},"properties":{"noteIndex":0},"schema":"https://github.com/citation-style-language/schema/raw/master/csl-citation.json"}</w:instrText>
      </w:r>
      <w:r w:rsidRPr="00BF5DAD">
        <w:fldChar w:fldCharType="separate"/>
      </w:r>
      <w:r w:rsidR="00E25884" w:rsidRPr="00E25884">
        <w:rPr>
          <w:noProof/>
          <w:vertAlign w:val="superscript"/>
        </w:rPr>
        <w:t>113</w:t>
      </w:r>
      <w:r w:rsidRPr="00BF5DAD">
        <w:fldChar w:fldCharType="end"/>
      </w:r>
      <w:r w:rsidRPr="00BF5DAD">
        <w:t>. While trying to optimise the daily functioning, achievement of the actual aims of the collaboration fall by the wayside</w:t>
      </w:r>
      <w:r>
        <w:t>,</w:t>
      </w:r>
      <w:r w:rsidRPr="00BF5DAD">
        <w:t xml:space="preserve"> as significant </w:t>
      </w:r>
      <w:r w:rsidR="00A92487">
        <w:t>resource</w:t>
      </w:r>
      <w:r w:rsidR="00A92487" w:rsidRPr="00BF5DAD">
        <w:t xml:space="preserve"> </w:t>
      </w:r>
      <w:r w:rsidRPr="00BF5DAD">
        <w:t xml:space="preserve">and time is devoted to </w:t>
      </w:r>
      <w:r>
        <w:t>collaborative</w:t>
      </w:r>
      <w:r w:rsidRPr="00BF5DAD">
        <w:t xml:space="preserve"> functioning rather than accomplishment of outcomes. It is possible that a collaboration will engage in a period of inertia in its earlier stages of formation before synergy is later achieved. This concept of inertia was also put forward by a number of the included studies </w:t>
      </w:r>
      <w:r w:rsidRPr="00BF5DAD">
        <w:fldChar w:fldCharType="begin" w:fldLock="1"/>
      </w:r>
      <w:r w:rsidR="00EA4B53">
        <w:instrText>ADDIN CSL_CITATION {"citationItems":[{"id":"ITEM-1","itemData":{"DOI":"10.1080/14719039900000005","ISBN":"1471903990","ISSN":"1461-667X","abstract":"Althougn long seen as desirable, interagency collaboration has remained conceptually elusive and difficult to achieve. Whilst recognising that there are other positions, this article takes the normative position that collaboratlon is generally a 'good thing'. It brings together strands of theoretical, concaptual and empirical literature from diverse disciplines in order to better understand inter-agency collaboration as a concept and as a process. This is developed into a sequentially structured framework capable of being customised to a range of organisational and policy contexts.","author":[{"dropping-particle":"","family":"Hudson","given":"Bob","non-dropping-particle":"","parse-names":false,"suffix":""},{"dropping-particle":"","family":"Hardy","given":"Brian","non-dropping-particle":"","parse-names":false,"suffix":""},{"dropping-particle":"","family":"Henwood","given":"Melanie","non-dropping-particle":"","parse-names":false,"suffix":""},{"dropping-particle":"","family":"Wistow","given":"Gerald","non-dropping-particle":"","parse-names":false,"suffix":""}],"container-title":"Public Management: An International Journal of Research and Theory","id":"ITEM-1","issue":"2","issued":{"date-parts":[["1999"]]},"page":"235-260","title":"In Pursuit of Inter-Agency Collaboration In The Public Sector","type":"article-journal","volume":"1"},"uris":["http://www.mendeley.com/documents/?uuid=c55cbc32-c293-40a6-aa3b-16bcff2c1b72"]},{"id":"ITEM-2","itemData":{"author":[{"dropping-particle":"","family":"NHS Professionals","given":"","non-dropping-particle":"","parse-names":false,"suffix":""}],"id":"ITEM-2","issue":"June","issued":{"date-parts":[["2019"]]},"title":"Understanding the key success factors in collaborative working","type":"report"},"uris":["http://www.mendeley.com/documents/?uuid=4ba4d775-b915-4e8b-9eb2-9842459bda19"]},{"id":"ITEM-3","itemData":{"DOI":"10.1080/13561820701585353","ISBN":"1356182070","ISSN":"13561820","abstract":"This paper describes an action research study which focused on an exploration of the aspirations for and initial achievements of Stratham Mental Health NHS and Social Care Trust. Local leaders perceived that Stratham had a good history of health and social care partnership working and as such, adopted an integrationist view of culture to help shape the context of the new structural form. In doing so, consistency remained a key message to staff throughout this organizational transition and the change did not appear to cause the distraction to core business which the literature suggests it would do so. However, this continuity may have come at a cost, at least initially. In the process of formalizing the previous partnership into a Care Trust, Stratham may not have produced all the beneficial effects of synergy which are usually (albeit eventually) associated with mergers in the private sector. Certainly, local actors could see opportunities that had been missed. By focusing on the structural manifestation of the relationship, the opportunities to broaden informal horizontal linkages may have been underexploited. The study of Stratham serves to confirm that the integrationist conception of culture is limited and that the differentiation of professional groupings and the ambiguity of individual experience will always make contested the meanings that are attributed to organizational change.","author":[{"dropping-particle":"","family":"Dickinson","given":"Helen","non-dropping-particle":"","parse-names":false,"suffix":""},{"dropping-particle":"","family":"Peck","given":"Edward","non-dropping-particle":"","parse-names":false,"suffix":""},{"dropping-particle":"","family":"Davidson","given":"Deborah","non-dropping-particle":"","parse-names":false,"suffix":""}],"container-title":"Journal of Interprofessional Care","id":"ITEM-3","issue":"5","issued":{"date-parts":[["2007"]]},"page":"503-513","title":"Opportunity seized or missed? A case study of leadership and organizational change in the creation of a Care Trust","type":"article-journal","volume":"21"},"uris":["http://www.mendeley.com/documents/?uuid=78fd82fa-19cd-45ef-aa87-73c82532c532"]},{"id":"ITEM-4","itemData":{"DOI":"10.1111/j.1365-2934.2007.00771.x","ISSN":"09660429","abstract":"Aim Key factors of successful interorganizational partnerships are applied to the context of nursing and midwifery education. Background Reports in nursing education emphasize the need for more collaborative partnerships between the education and healthcare sectors of nursing and midwifery education. Evaluation There is little research examining the implementation of interorganizational relationships particularly in nursing.Key issues Key success factors are grouped into seven areas of trust and valuing the partner, leadership and managing change, a partnership framework, communication and interaction, equity and involvement in decision making, power and the role of partnership coordinator.Conclusion There is a need for contextual research in relation to implementing partnership in nursing and midwifery. Implications Partnership arrangements are essential for quality nursing and midwifery education. This article adds knowledge by way of application of these factors to organizations that provide nursing and midwifery education. Nurse managers have an important role in determining the quality of learning experience within the health service. It is essential, therefore that both nurse managers and nurse educationalist know the key factors which promote successful interoganizational relationships to ensure these factors are manifest in practice. © 2008 Blackwell Publishing Ltd.","author":[{"dropping-particle":"","family":"Casey","given":"Mary","non-dropping-particle":"","parse-names":false,"suffix":""}],"container-title":"Journal of Nursing Management","id":"ITEM-4","issue":"1","issued":{"date-parts":[["2008"]]},"page":"72-83","title":"Partnership - Success factors of interorganizational relationships","type":"article-journal","volume":"16"},"uris":["http://www.mendeley.com/documents/?uuid=153eb097-365e-4bd0-956f-00473a46ed98"]},{"id":"ITEM-5","itemData":{"DOI":"10.1080/1471903032000146964","ISSN":"14719045","abstract":"This article provides an overview of the theory of collaborative advantage. This is a practice-oriented theory concerned with enhancing practical understanding of the management isssues involved in joint working across organizations. Two contrasting concepts are central to it: collaborative advantage which is concerned with the potential for synergy from working collaboratively; and, collaborative inertia which relates to the often disappointing output in reality. The theory is structured as a set of overlapping themes, which are predominantly issues that practitioners see as causing pain and reward in collaborative situations. Five example themes are discussed: common aims; power; trust; membership structures; and, leadership. It is argued that the theory captures the complexity that underlies collaborative situations and conveys it in a way that seems real to those involved. It aims to empower those involved through legitimising experienced frustration and providing conceptual handles to help address the practical issues involved. © 2003 Taylor &amp; Francis.","author":[{"dropping-particle":"","family":"Huxham","given":"Chris","non-dropping-particle":"","parse-names":false,"suffix":""}],"container-title":"Public Management Review","id":"ITEM-5","issue":"3","issued":{"date-parts":[["2003"]]},"page":"401-423","title":"Theorizing collaboration practice","type":"article-journal","volume":"5"},"uris":["http://www.mendeley.com/documents/?uuid=6f1d7224-e228-45ef-8795-2b9f48aadd33"]}],"mendeley":{"formattedCitation":"&lt;sup&gt;60,113,119,158,184&lt;/sup&gt;","plainTextFormattedCitation":"60,113,119,158,184","previouslyFormattedCitation":"&lt;sup&gt;60,113,119,158,184&lt;/sup&gt;"},"properties":{"noteIndex":0},"schema":"https://github.com/citation-style-language/schema/raw/master/csl-citation.json"}</w:instrText>
      </w:r>
      <w:r w:rsidRPr="00BF5DAD">
        <w:fldChar w:fldCharType="separate"/>
      </w:r>
      <w:r w:rsidR="00E25884" w:rsidRPr="00E25884">
        <w:rPr>
          <w:noProof/>
          <w:vertAlign w:val="superscript"/>
        </w:rPr>
        <w:t>60,113,119,158,184</w:t>
      </w:r>
      <w:r w:rsidRPr="00BF5DAD">
        <w:fldChar w:fldCharType="end"/>
      </w:r>
      <w:r w:rsidRPr="00BF5DAD">
        <w:t>, and is defined as when “the output from collaborative arrangements often appears to be negligible or the rate of output to be extremely slow”</w:t>
      </w:r>
      <w:r w:rsidR="0065745F">
        <w:fldChar w:fldCharType="begin" w:fldLock="1"/>
      </w:r>
      <w:r w:rsidR="006A5B59">
        <w:instrText>ADDIN CSL_CITATION {"citationItems":[{"id":"ITEM-1","itemData":{"abstract":"Introduction The idea of partnerships and collaboration across organisational boundaries is not new in the NHS in England, but it is reaching a zenith in policymakers’ minds. The 2017–19 planning guidance for the NHS put it simply: partnership behaviours are becoming ‘the new norm’ and ‘What makes most sense for patients, communities and the taxpayer should always trump the narrower interests of individual organisations.’1 This idea underpins the sustainability and transformation partnerships and the new models of care set out in the Five year forward view for the NHS in England.2 It also builds on the experience of initiatives that have been tried over the past decade, ranging from new forms of organisational links (eg buddying and franchises) to building networks and communities of practitioners to help improve health service delivery. The Health Foundation has contributed to developing the evidence base for networks – for example, by funding programmes to help clinical communities improve quality of care in specific areas of practice,3 reviewing how to develop and manage effective networks to support quality improvement,4 and developing Q, a connected community of people who have improvement expertise from across the UK.5 But less is known about what makes for successful partnerships between providers at an organisational level. For this reason, the Health Foundation commissioned the Health Services Management Centre (HSMC) at the University of Birmingham to look at a range of current organisational partnerships, and draw some tentative learning to help inform and guide both policymakers and providers. This briefing by the Health Foundation and HSMC summarises the main findings of the research report and what providers and policymakers can learn. The research report, Partnering for improvement: inter-organisational developments in the NHS, is available at www.birmingham.ac.uk/partnering-for-improvement.6","author":[{"dropping-particle":"","family":"Miller","given":"Robin","non-dropping-particle":"","parse-names":false,"suffix":""},{"dropping-particle":"","family":"Millar","given":"Ross","non-dropping-particle":"","parse-names":false,"suffix":""}],"container-title":"Health Foundation","id":"ITEM-1","issue":"September","issued":{"date-parts":[["2017"]]},"title":"Partnerships for improvement: ingredients for success","type":"report"},"locator":"403","uris":["http://www.mendeley.com/documents/?uuid=d0c5f80f-2b8d-4582-ae88-734dcb538e8d"]}],"mendeley":{"formattedCitation":"&lt;sup&gt;13&lt;/sup&gt;","plainTextFormattedCitation":"13","previouslyFormattedCitation":"&lt;sup&gt;13&lt;/sup&gt;"},"properties":{"noteIndex":0},"schema":"https://github.com/citation-style-language/schema/raw/master/csl-citation.json"}</w:instrText>
      </w:r>
      <w:r w:rsidR="0065745F">
        <w:fldChar w:fldCharType="separate"/>
      </w:r>
      <w:r w:rsidR="0065745F" w:rsidRPr="0065745F">
        <w:rPr>
          <w:noProof/>
          <w:vertAlign w:val="superscript"/>
        </w:rPr>
        <w:t>13</w:t>
      </w:r>
      <w:r w:rsidR="0065745F">
        <w:fldChar w:fldCharType="end"/>
      </w:r>
      <w:r w:rsidRPr="00BF5DAD">
        <w:fldChar w:fldCharType="begin" w:fldLock="1"/>
      </w:r>
      <w:r w:rsidR="00EA4B53">
        <w:instrText>ADDIN CSL_CITATION {"citationItems":[{"id":"ITEM-1","itemData":{"DOI":"10.1080/1471903032000146964","ISSN":"14719045","abstract":"This article provides an overview of the theory of collaborative advantage. This is a practice-oriented theory concerned with enhancing practical understanding of the management isssues involved in joint working across organizations. Two contrasting concepts are central to it: collaborative advantage which is concerned with the potential for synergy from working collaboratively; and, collaborative inertia which relates to the often disappointing output in reality. The theory is structured as a set of overlapping themes, which are predominantly issues that practitioners see as causing pain and reward in collaborative situations. Five example themes are discussed: common aims; power; trust; membership structures; and, leadership. It is argued that the theory captures the complexity that underlies collaborative situations and conveys it in a way that seems real to those involved. It aims to empower those involved through legitimising experienced frustration and providing conceptual handles to help address the practical issues involved. © 2003 Taylor &amp; Francis.","author":[{"dropping-particle":"","family":"Huxham","given":"Chris","non-dropping-particle":"","parse-names":false,"suffix":""}],"container-title":"Public Management Review","id":"ITEM-1","issue":"3","issued":{"date-parts":[["2003"]]},"page":"401-423","title":"Theorizing collaboration practice","type":"article-journal","volume":"5"},"uris":["http://www.mendeley.com/documents/?uuid=6f1d7224-e228-45ef-8795-2b9f48aadd33"]}],"mendeley":{"formattedCitation":"&lt;sup&gt;113&lt;/sup&gt;","manualFormatting":"(13; p.403)","plainTextFormattedCitation":"113","previouslyFormattedCitation":"&lt;sup&gt;113&lt;/sup&gt;"},"properties":{"noteIndex":0},"schema":"https://github.com/citation-style-language/schema/raw/master/csl-citation.json"}</w:instrText>
      </w:r>
      <w:r w:rsidRPr="00BF5DAD">
        <w:fldChar w:fldCharType="separate"/>
      </w:r>
      <w:r w:rsidRPr="00BF5DAD">
        <w:rPr>
          <w:noProof/>
        </w:rPr>
        <w:t>(13; p.403)</w:t>
      </w:r>
      <w:r w:rsidRPr="00BF5DAD">
        <w:fldChar w:fldCharType="end"/>
      </w:r>
      <w:r>
        <w:t xml:space="preserve">. This is depicted also in Figure </w:t>
      </w:r>
      <w:r w:rsidR="0050554F">
        <w:t>13</w:t>
      </w:r>
      <w:r>
        <w:t>.</w:t>
      </w:r>
    </w:p>
    <w:p w14:paraId="13173494" w14:textId="690AECBA" w:rsidR="00EE501D" w:rsidRPr="00BC34A8" w:rsidRDefault="00EE501D" w:rsidP="00525BE0">
      <w:pPr>
        <w:spacing w:line="360" w:lineRule="auto"/>
        <w:jc w:val="both"/>
      </w:pPr>
      <w:r w:rsidRPr="00BC34A8">
        <w:t xml:space="preserve">This MRT theory, taken together, thus proposes that the mechanisms comprising ‘partnership functioning’ need to have their context configured very </w:t>
      </w:r>
      <w:r w:rsidR="00B87CEA" w:rsidRPr="001A2263">
        <w:t>favourably</w:t>
      </w:r>
      <w:r w:rsidRPr="00BC34A8">
        <w:t xml:space="preserve"> before ‘synergy’, and thus, enhanced performance, can be achieved. The concept of partnership synergy, however, we have reframed as ‘collaborative behaviour’ to make it a more well-defined and testable concept. As partnership functioning relies on many other contextual factors and the mechanisms that enable collaboration, these will be explored as elements that enable synergy (or collaborative behaviour) and thus partnership effectiveness and accomplishment of its aims, in the following section.</w:t>
      </w:r>
    </w:p>
    <w:p w14:paraId="7C48D739" w14:textId="77777777" w:rsidR="00EE501D" w:rsidRDefault="00EE501D" w:rsidP="00525BE0">
      <w:pPr>
        <w:pStyle w:val="Heading3"/>
        <w:jc w:val="both"/>
        <w:rPr>
          <w:lang w:val="en"/>
        </w:rPr>
      </w:pPr>
      <w:bookmarkStart w:id="98" w:name="_Toc85066445"/>
      <w:r>
        <w:rPr>
          <w:lang w:val="en"/>
        </w:rPr>
        <w:t>Gleaning initial CMOCs</w:t>
      </w:r>
      <w:bookmarkEnd w:id="98"/>
    </w:p>
    <w:p w14:paraId="11758E29" w14:textId="0EFC8BDF" w:rsidR="00EE501D" w:rsidRDefault="00EE501D" w:rsidP="00525BE0">
      <w:pPr>
        <w:spacing w:line="360" w:lineRule="auto"/>
        <w:jc w:val="both"/>
      </w:pPr>
      <w:r>
        <w:t xml:space="preserve">Our gleaning phase identified that </w:t>
      </w:r>
      <w:r w:rsidR="00A92487">
        <w:t>several</w:t>
      </w:r>
      <w:r>
        <w:t xml:space="preserve"> mechanisms are essential to how collaborations function. These included trust, risk tolerance, faith, confidence, conflict, power, interpersonal communication, leadership, cultural integration, perception of progress, and perception of task complexity. Our MRT incorporated the trust-building loop by Vangen and Huxham (2003) and its focus on risk taking as a driver of collaborative, rather than competitive, attitudes and behaviours </w:t>
      </w:r>
      <w:r>
        <w:fldChar w:fldCharType="begin" w:fldLock="1"/>
      </w:r>
      <w:r w:rsidR="00EA4B53">
        <w:instrText>ADDIN CSL_CITATION {"citationItems":[{"id":"ITEM-1","itemData":{"DOI":"10.1177/0021886303253179","abstract":"Many organizations aspire to gain collaborative advantage by working in partnerships across organizational, sectoral, and even national boundaries. Such collaborations, however , are difficult to manage, and the likelihood of disappointing outputs is high. To create advantage, practitioners need to engage in a continuous process of nurturing the collabo-rative processes. One issue that appears significant in the nurturing process is trust. This article incorporates a synthesis of research on trust with research on other aspects of collaboration. It develops a trust-building loop and examines its validity to inform practice. It argues that trust building is problematic and that management of trust implies both the ability to cope in situations where trust is lacking and the ability to build trust in situations where this is possible. It summarizes pragmatic implications in a tool for thinking about and addressing trust management in different collaborative situations.","author":[{"dropping-particle":"","family":"Vangen","given":"Siv","non-dropping-particle":"","parse-names":false,"suffix":""},{"dropping-particle":"","family":"Huxham","given":"Chris","non-dropping-particle":"","parse-names":false,"suffix":""}],"container-title":"Journal of Applied Behavioral Science","id":"ITEM-1","issue":"1","issued":{"date-parts":[["2003"]]},"page":"5-31","title":"Nurturing collaborative relations: Building Trust in Interorganizational Collaboration","type":"article-journal","volume":"39"},"uris":["http://www.mendeley.com/documents/?uuid=b9ed2b75-5dea-48de-9b1c-9679832ee22f","http://www.mendeley.com/documents/?uuid=577040ab-1820-4c12-9cf9-0bcddb527057"]}],"mendeley":{"formattedCitation":"&lt;sup&gt;14&lt;/sup&gt;","plainTextFormattedCitation":"14","previouslyFormattedCitation":"&lt;sup&gt;14&lt;/sup&gt;"},"properties":{"noteIndex":0},"schema":"https://github.com/citation-style-language/schema/raw/master/csl-citation.json"}</w:instrText>
      </w:r>
      <w:r>
        <w:fldChar w:fldCharType="separate"/>
      </w:r>
      <w:r w:rsidR="00E25884" w:rsidRPr="00E25884">
        <w:rPr>
          <w:noProof/>
          <w:vertAlign w:val="superscript"/>
        </w:rPr>
        <w:t>14</w:t>
      </w:r>
      <w:r>
        <w:fldChar w:fldCharType="end"/>
      </w:r>
      <w:r>
        <w:t xml:space="preserve">. Within the trust building loop, trust acts as an enabler for organisations to enhance their risk tolerance. Further, we identified a role for ‘faith’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xml:space="preserve"> where individually and collectively, actors have belief that the collaborative endeavour (the intervention) is a virtuous and beneficial undertaking, thereby worthy of working on. Faith is thus likely to drive actors to dedicate time and effort to engaging in collaborative behaviour but will change over time in response to other mechanisms and contextual factors. </w:t>
      </w:r>
    </w:p>
    <w:p w14:paraId="65DB7676" w14:textId="18C8010F" w:rsidR="00EE501D" w:rsidRDefault="00EE501D" w:rsidP="00525BE0">
      <w:pPr>
        <w:spacing w:line="360" w:lineRule="auto"/>
        <w:jc w:val="both"/>
      </w:pPr>
      <w:r>
        <w:t xml:space="preserve">As such, we posited that trust and faith serve as dual drivers for actors to begin behaving collaboratively; and they also serve as mechanisms in realist terms. In our theory at the gleaning phase, building trust and faith were key processes that constitute the ‘collaborative functioning’ stage of collaborations. Achievement of a high level of trust and faith across the organisation allows for a synergistic state in which partners achieve maximal collaborative behaviour. Our prior work also indicated that in more integrative types of collaboration (such as a merger) or those that are mandated, trust may be progressively replaced by ‘confidence’ in contractual mechanisms as a means for driving collaborative behaviour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This is because much of the risk of engaging in collaborative behaviour is enshrined in contractual obligation rather than the building of trusting, robust interpersonal relationships.</w:t>
      </w:r>
    </w:p>
    <w:p w14:paraId="2F5C7638" w14:textId="098EA3C9" w:rsidR="00EE501D" w:rsidRDefault="00EE501D" w:rsidP="00525BE0">
      <w:pPr>
        <w:spacing w:line="360" w:lineRule="auto"/>
        <w:jc w:val="both"/>
      </w:pPr>
      <w:r>
        <w:t xml:space="preserve">Our theory identified that, at least initially, collaboration requires daily efforts to maintain interpersonal ties and build relationships for ‘collaborative functioning’ to occur. Mechanisms found to be key to collaborative functioning identified in the review were trust and faith, with </w:t>
      </w:r>
      <w:r w:rsidRPr="00E34F88">
        <w:t xml:space="preserve">conflict, </w:t>
      </w:r>
      <w:r>
        <w:t>interpersonal communication, leadership, and cultural integration being within different CMOCs (figure 1</w:t>
      </w:r>
      <w:r w:rsidR="00A92487">
        <w:t>2</w:t>
      </w:r>
      <w:r>
        <w:t xml:space="preserve">)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As is evident in this applied example, these CMOCs operate through one another, forming chains that are situated in temporal stages as the collaboration develops over time (figure 1</w:t>
      </w:r>
      <w:r w:rsidR="0050554F">
        <w:t>3</w:t>
      </w:r>
      <w:r>
        <w:t>).</w:t>
      </w:r>
      <w:r w:rsidRPr="00A031E2">
        <w:t xml:space="preserve"> Our </w:t>
      </w:r>
      <w:r>
        <w:t>theory</w:t>
      </w:r>
      <w:r w:rsidRPr="00A031E2">
        <w:t xml:space="preserve"> posit</w:t>
      </w:r>
      <w:r>
        <w:t xml:space="preserve">ed </w:t>
      </w:r>
      <w:r w:rsidRPr="00A031E2">
        <w:t>that once trust and faith reach a certain threshold, a novel state is entered, termed “</w:t>
      </w:r>
      <w:r>
        <w:t>collaborative</w:t>
      </w:r>
      <w:r w:rsidRPr="00A031E2">
        <w:t xml:space="preserve"> synergy”, in which the benefits of collaboration can be attained. </w:t>
      </w:r>
      <w:r>
        <w:t xml:space="preserve">Since our refined version of the theory, this has been reframed as ‘collaborative behaviour’, to make ‘synergy’ a more tangible concept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xml:space="preserve">. </w:t>
      </w:r>
      <w:r w:rsidRPr="00A031E2">
        <w:t xml:space="preserve">Driven by the integration of skills, knowledge, and resources of partners, </w:t>
      </w:r>
      <w:r>
        <w:t>performance</w:t>
      </w:r>
      <w:r w:rsidRPr="00A031E2">
        <w:t xml:space="preserve"> benefits </w:t>
      </w:r>
      <w:r>
        <w:t>may</w:t>
      </w:r>
      <w:r w:rsidRPr="00A031E2">
        <w:t xml:space="preserve"> include innovations brought about by sharing of expertise, cost savings from better bargaining power, and reduced duplication of effort across health systems</w:t>
      </w:r>
      <w:r>
        <w:t xml:space="preserve">. </w:t>
      </w:r>
    </w:p>
    <w:p w14:paraId="4EB65ECF" w14:textId="591DE173" w:rsidR="0022446F" w:rsidRDefault="00EE501D" w:rsidP="00525BE0">
      <w:pPr>
        <w:spacing w:line="360" w:lineRule="auto"/>
        <w:jc w:val="both"/>
      </w:pPr>
      <w:r>
        <w:t>For this section of the chapter, we adopt our theory from the gleaning phase as the MRT for understanding in this refinement phase. A full description of the CMOCs identified in this literature can be viewed below</w:t>
      </w:r>
      <w:r w:rsidR="0022446F">
        <w:t xml:space="preserve"> in Table </w:t>
      </w:r>
      <w:r w:rsidR="005A2F52">
        <w:t>6</w:t>
      </w:r>
      <w:r>
        <w:t>. These CMOCs were taken as a foundation for the refinement phase of the realist synthesis and the refined theory will be explored in more detail in the following section.</w:t>
      </w:r>
      <w:r w:rsidR="0022446F" w:rsidRPr="0022446F">
        <w:t xml:space="preserve"> </w:t>
      </w:r>
      <w:r w:rsidR="0022446F">
        <w:t xml:space="preserve">Further details of the theory gleaning stage can be found in the published version </w:t>
      </w:r>
      <w:r w:rsidR="0022446F">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rsidR="0022446F">
        <w:fldChar w:fldCharType="separate"/>
      </w:r>
      <w:r w:rsidR="006A5B59" w:rsidRPr="006A5B59">
        <w:rPr>
          <w:noProof/>
          <w:vertAlign w:val="superscript"/>
        </w:rPr>
        <w:t>138</w:t>
      </w:r>
      <w:r w:rsidR="0022446F">
        <w:fldChar w:fldCharType="end"/>
      </w:r>
      <w:r w:rsidR="0022446F">
        <w:t>.</w:t>
      </w:r>
    </w:p>
    <w:p w14:paraId="45F020EC" w14:textId="52D86130" w:rsidR="00B87CEA" w:rsidRDefault="00B87CEA" w:rsidP="00525BE0">
      <w:pPr>
        <w:spacing w:line="360" w:lineRule="auto"/>
        <w:jc w:val="both"/>
      </w:pPr>
    </w:p>
    <w:p w14:paraId="52154979" w14:textId="43398BDB" w:rsidR="00B87CEA" w:rsidRDefault="00B87CEA" w:rsidP="00525BE0">
      <w:pPr>
        <w:spacing w:line="360" w:lineRule="auto"/>
        <w:jc w:val="both"/>
      </w:pPr>
    </w:p>
    <w:p w14:paraId="11B732A5" w14:textId="77777777" w:rsidR="00B87CEA" w:rsidRDefault="00B87CEA" w:rsidP="00525BE0">
      <w:pPr>
        <w:spacing w:line="360" w:lineRule="auto"/>
        <w:jc w:val="both"/>
      </w:pPr>
    </w:p>
    <w:p w14:paraId="122F715C" w14:textId="65D9C677" w:rsidR="00EE501D" w:rsidRDefault="00EE501D" w:rsidP="00525BE0">
      <w:pPr>
        <w:pStyle w:val="Caption"/>
        <w:keepNext/>
        <w:spacing w:line="360" w:lineRule="auto"/>
        <w:jc w:val="both"/>
      </w:pPr>
      <w:bookmarkStart w:id="99" w:name="_Toc106181510"/>
      <w:r>
        <w:t xml:space="preserve">Table </w:t>
      </w:r>
      <w:r w:rsidR="008802A5">
        <w:fldChar w:fldCharType="begin"/>
      </w:r>
      <w:r w:rsidR="008802A5">
        <w:instrText xml:space="preserve"> SE</w:instrText>
      </w:r>
      <w:r w:rsidR="008802A5">
        <w:instrText xml:space="preserve">Q Table \* ARABIC </w:instrText>
      </w:r>
      <w:r w:rsidR="008802A5">
        <w:fldChar w:fldCharType="separate"/>
      </w:r>
      <w:r w:rsidR="003B1A8C">
        <w:rPr>
          <w:noProof/>
        </w:rPr>
        <w:t>6</w:t>
      </w:r>
      <w:r w:rsidR="008802A5">
        <w:rPr>
          <w:noProof/>
        </w:rPr>
        <w:fldChar w:fldCharType="end"/>
      </w:r>
      <w:r>
        <w:t>. Initial CMOCs identified in the theory gleaning phase of this synthesis.</w:t>
      </w:r>
      <w:bookmarkEnd w:id="99"/>
    </w:p>
    <w:tbl>
      <w:tblPr>
        <w:tblStyle w:val="GridTable4-Accent5"/>
        <w:tblW w:w="0" w:type="auto"/>
        <w:tblLook w:val="04A0" w:firstRow="1" w:lastRow="0" w:firstColumn="1" w:lastColumn="0" w:noHBand="0" w:noVBand="1"/>
      </w:tblPr>
      <w:tblGrid>
        <w:gridCol w:w="9016"/>
      </w:tblGrid>
      <w:tr w:rsidR="00EE501D" w14:paraId="7D4520D9" w14:textId="77777777" w:rsidTr="00A77C56">
        <w:trPr>
          <w:cnfStyle w:val="100000000000" w:firstRow="1" w:lastRow="0" w:firstColumn="0" w:lastColumn="0" w:oddVBand="0" w:evenVBand="0" w:oddHBand="0"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411C7F1C" w14:textId="77777777" w:rsidR="00EE501D" w:rsidRPr="00C5581D" w:rsidRDefault="00EE501D" w:rsidP="00525BE0">
            <w:pPr>
              <w:jc w:val="both"/>
              <w:rPr>
                <w:color w:val="auto"/>
                <w:sz w:val="18"/>
                <w:szCs w:val="18"/>
                <w:u w:val="single"/>
              </w:rPr>
            </w:pPr>
            <w:r>
              <w:rPr>
                <w:color w:val="auto"/>
                <w:sz w:val="18"/>
                <w:szCs w:val="18"/>
                <w:u w:val="single"/>
              </w:rPr>
              <w:t>Context, mechanism, outcome configurations</w:t>
            </w:r>
          </w:p>
        </w:tc>
      </w:tr>
      <w:tr w:rsidR="00EE501D" w14:paraId="7D1C7FF7"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00A1034" w14:textId="77777777" w:rsidR="00EE501D" w:rsidRPr="00C5581D" w:rsidRDefault="00EE501D" w:rsidP="00525BE0">
            <w:pPr>
              <w:jc w:val="both"/>
              <w:rPr>
                <w:sz w:val="18"/>
                <w:szCs w:val="18"/>
              </w:rPr>
            </w:pPr>
            <w:r w:rsidRPr="00C5581D">
              <w:rPr>
                <w:sz w:val="18"/>
                <w:szCs w:val="18"/>
              </w:rPr>
              <w:t xml:space="preserve">PARTNERSHIP PERFORMANCE </w:t>
            </w:r>
          </w:p>
        </w:tc>
      </w:tr>
      <w:tr w:rsidR="00EE501D" w14:paraId="6F214E4C"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49662835" w14:textId="77777777" w:rsidR="00EE501D" w:rsidRPr="00C5581D" w:rsidRDefault="00EE501D" w:rsidP="00525BE0">
            <w:pPr>
              <w:jc w:val="both"/>
              <w:rPr>
                <w:sz w:val="18"/>
                <w:szCs w:val="18"/>
              </w:rPr>
            </w:pPr>
            <w:r w:rsidRPr="00C5581D">
              <w:rPr>
                <w:sz w:val="18"/>
                <w:szCs w:val="18"/>
              </w:rPr>
              <w:t>Synergy and collaborative inertia</w:t>
            </w:r>
          </w:p>
        </w:tc>
      </w:tr>
      <w:tr w:rsidR="00EE501D" w14:paraId="16A509DE" w14:textId="77777777" w:rsidTr="00A77C56">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BC599AA" w14:textId="77777777" w:rsidR="00EE501D" w:rsidRPr="00882D0C" w:rsidRDefault="00EE501D" w:rsidP="00525BE0">
            <w:pPr>
              <w:jc w:val="both"/>
              <w:rPr>
                <w:b w:val="0"/>
                <w:bCs w:val="0"/>
                <w:sz w:val="18"/>
                <w:szCs w:val="18"/>
              </w:rPr>
            </w:pPr>
            <w:r w:rsidRPr="00882D0C">
              <w:rPr>
                <w:b w:val="0"/>
                <w:bCs w:val="0"/>
                <w:sz w:val="18"/>
                <w:szCs w:val="18"/>
              </w:rPr>
              <w:t>High partnership functioning characterised by high trust and faith (context) will enable collaborative behaviour to occur (mechanism), leading to greater task achievement (outcome)</w:t>
            </w:r>
          </w:p>
        </w:tc>
      </w:tr>
      <w:tr w:rsidR="00EE501D" w14:paraId="2651A954" w14:textId="77777777" w:rsidTr="00A77C56">
        <w:trPr>
          <w:trHeight w:val="231"/>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54784DE8" w14:textId="77777777" w:rsidR="00EE501D" w:rsidRPr="00882D0C" w:rsidRDefault="00EE501D" w:rsidP="00525BE0">
            <w:pPr>
              <w:jc w:val="both"/>
              <w:rPr>
                <w:b w:val="0"/>
                <w:bCs w:val="0"/>
                <w:sz w:val="18"/>
                <w:szCs w:val="18"/>
              </w:rPr>
            </w:pPr>
            <w:r>
              <w:rPr>
                <w:b w:val="0"/>
                <w:bCs w:val="0"/>
                <w:sz w:val="18"/>
                <w:szCs w:val="18"/>
              </w:rPr>
              <w:t>Low partnership functioning characterised by low trust and faith (context) will lead to collaborative inertia (mechanism) and reduced task achievement (outcome)</w:t>
            </w:r>
          </w:p>
        </w:tc>
      </w:tr>
      <w:tr w:rsidR="00EE501D" w14:paraId="306D9AA5" w14:textId="77777777" w:rsidTr="00A77C56">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25D9D282" w14:textId="77777777" w:rsidR="00EE501D" w:rsidRDefault="00EE501D" w:rsidP="00525BE0">
            <w:pPr>
              <w:jc w:val="both"/>
              <w:rPr>
                <w:b w:val="0"/>
                <w:bCs w:val="0"/>
                <w:sz w:val="18"/>
                <w:szCs w:val="18"/>
              </w:rPr>
            </w:pPr>
            <w:r>
              <w:rPr>
                <w:b w:val="0"/>
                <w:bCs w:val="0"/>
                <w:sz w:val="18"/>
                <w:szCs w:val="18"/>
              </w:rPr>
              <w:t>High confidence and faith (context) will lead to collaborative behaviour (mechanism) which will lead to greater task achievement (outcome)</w:t>
            </w:r>
          </w:p>
        </w:tc>
      </w:tr>
      <w:tr w:rsidR="00EE501D" w14:paraId="62CA96AC" w14:textId="77777777" w:rsidTr="00A77C56">
        <w:trPr>
          <w:trHeight w:val="228"/>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77D2887A" w14:textId="77777777" w:rsidR="00EE501D" w:rsidRPr="00C5581D" w:rsidRDefault="00EE501D" w:rsidP="00525BE0">
            <w:pPr>
              <w:jc w:val="both"/>
              <w:rPr>
                <w:b w:val="0"/>
                <w:sz w:val="18"/>
                <w:szCs w:val="18"/>
              </w:rPr>
            </w:pPr>
            <w:r>
              <w:rPr>
                <w:sz w:val="18"/>
                <w:szCs w:val="18"/>
              </w:rPr>
              <w:t>Perception of progress</w:t>
            </w:r>
            <w:r w:rsidRPr="00C5581D">
              <w:rPr>
                <w:sz w:val="18"/>
                <w:szCs w:val="18"/>
              </w:rPr>
              <w:t xml:space="preserve"> and performance</w:t>
            </w:r>
          </w:p>
        </w:tc>
      </w:tr>
      <w:tr w:rsidR="00EE501D" w14:paraId="40671F8C" w14:textId="77777777" w:rsidTr="00A77C56">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1103231F" w14:textId="77777777" w:rsidR="00EE501D" w:rsidRPr="00882D0C" w:rsidRDefault="00EE501D" w:rsidP="00525BE0">
            <w:pPr>
              <w:jc w:val="both"/>
              <w:rPr>
                <w:b w:val="0"/>
                <w:bCs w:val="0"/>
                <w:sz w:val="18"/>
                <w:szCs w:val="18"/>
              </w:rPr>
            </w:pPr>
            <w:r>
              <w:rPr>
                <w:b w:val="0"/>
                <w:bCs w:val="0"/>
                <w:sz w:val="18"/>
                <w:szCs w:val="18"/>
              </w:rPr>
              <w:t>A high degree of intra-organisational conflict (context) will lead to a lessened perception of progress (mechanism) causing reduced faith (outcome)</w:t>
            </w:r>
          </w:p>
        </w:tc>
      </w:tr>
      <w:tr w:rsidR="00EE501D" w14:paraId="506AB833" w14:textId="77777777" w:rsidTr="00A77C56">
        <w:trPr>
          <w:trHeight w:val="228"/>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4F321C0B" w14:textId="77777777" w:rsidR="00EE501D" w:rsidRDefault="00EE501D" w:rsidP="00525BE0">
            <w:pPr>
              <w:jc w:val="both"/>
              <w:rPr>
                <w:b w:val="0"/>
                <w:bCs w:val="0"/>
                <w:sz w:val="18"/>
                <w:szCs w:val="18"/>
              </w:rPr>
            </w:pPr>
            <w:r>
              <w:rPr>
                <w:b w:val="0"/>
                <w:bCs w:val="0"/>
                <w:sz w:val="18"/>
                <w:szCs w:val="18"/>
              </w:rPr>
              <w:t>Having unambitious aims for the collaboration (context) will lead to a lessened perception of progress (mechanism) causing reduced faith (outcome)</w:t>
            </w:r>
          </w:p>
        </w:tc>
      </w:tr>
      <w:tr w:rsidR="00EE501D" w14:paraId="307EB5DC" w14:textId="77777777" w:rsidTr="00A77C56">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29294D14" w14:textId="77777777" w:rsidR="00EE501D" w:rsidRDefault="00EE501D" w:rsidP="00525BE0">
            <w:pPr>
              <w:jc w:val="both"/>
              <w:rPr>
                <w:b w:val="0"/>
                <w:bCs w:val="0"/>
                <w:sz w:val="18"/>
                <w:szCs w:val="18"/>
              </w:rPr>
            </w:pPr>
            <w:r>
              <w:rPr>
                <w:b w:val="0"/>
                <w:bCs w:val="0"/>
                <w:sz w:val="18"/>
                <w:szCs w:val="18"/>
              </w:rPr>
              <w:t>Having absent key actors (context) will lead to a lessened perception of progress (mechanism) causing reduced faith (outcome)</w:t>
            </w:r>
          </w:p>
        </w:tc>
      </w:tr>
      <w:tr w:rsidR="00EE501D" w14:paraId="6DF8824A" w14:textId="77777777" w:rsidTr="00A77C56">
        <w:trPr>
          <w:trHeight w:val="228"/>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0813783D" w14:textId="77777777" w:rsidR="00EE501D" w:rsidRDefault="00EE501D" w:rsidP="00525BE0">
            <w:pPr>
              <w:jc w:val="both"/>
              <w:rPr>
                <w:b w:val="0"/>
                <w:bCs w:val="0"/>
                <w:sz w:val="18"/>
                <w:szCs w:val="18"/>
              </w:rPr>
            </w:pPr>
            <w:r>
              <w:rPr>
                <w:b w:val="0"/>
                <w:bCs w:val="0"/>
                <w:sz w:val="18"/>
                <w:szCs w:val="18"/>
              </w:rPr>
              <w:t>Having workforce instability (context) will lead to a lessened perception of progress (mechanism) causing reduced faith (outcome)</w:t>
            </w:r>
          </w:p>
        </w:tc>
      </w:tr>
      <w:tr w:rsidR="00EE501D" w14:paraId="546989B4" w14:textId="77777777" w:rsidTr="00A77C56">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71AB51AF" w14:textId="77777777" w:rsidR="00EE501D" w:rsidRDefault="00EE501D" w:rsidP="00525BE0">
            <w:pPr>
              <w:jc w:val="both"/>
              <w:rPr>
                <w:b w:val="0"/>
                <w:bCs w:val="0"/>
                <w:sz w:val="18"/>
                <w:szCs w:val="18"/>
              </w:rPr>
            </w:pPr>
            <w:r>
              <w:rPr>
                <w:b w:val="0"/>
                <w:bCs w:val="0"/>
                <w:sz w:val="18"/>
                <w:szCs w:val="18"/>
              </w:rPr>
              <w:t>Greater o</w:t>
            </w:r>
            <w:r w:rsidRPr="00A4347E">
              <w:rPr>
                <w:b w:val="0"/>
                <w:bCs w:val="0"/>
                <w:sz w:val="18"/>
                <w:szCs w:val="18"/>
              </w:rPr>
              <w:t>rganisational flexibility</w:t>
            </w:r>
            <w:r>
              <w:rPr>
                <w:b w:val="0"/>
                <w:bCs w:val="0"/>
                <w:sz w:val="18"/>
                <w:szCs w:val="18"/>
              </w:rPr>
              <w:t xml:space="preserve"> (context) will lead to an enhanced perception of progress (mechanism) causing increased faith (outcome)</w:t>
            </w:r>
          </w:p>
        </w:tc>
      </w:tr>
      <w:tr w:rsidR="00EE501D" w14:paraId="4BACCC6A" w14:textId="77777777" w:rsidTr="00A77C56">
        <w:trPr>
          <w:trHeight w:val="228"/>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FD4A437" w14:textId="77777777" w:rsidR="00EE501D" w:rsidRDefault="00EE501D" w:rsidP="00525BE0">
            <w:pPr>
              <w:jc w:val="both"/>
              <w:rPr>
                <w:sz w:val="18"/>
                <w:szCs w:val="18"/>
              </w:rPr>
            </w:pPr>
            <w:r>
              <w:rPr>
                <w:b w:val="0"/>
                <w:bCs w:val="0"/>
                <w:sz w:val="18"/>
                <w:szCs w:val="18"/>
              </w:rPr>
              <w:t>Continuous evaluation (context) will lead to an enhanced perception of progress (mechanism) causing increased faith (outcome)</w:t>
            </w:r>
          </w:p>
        </w:tc>
      </w:tr>
      <w:tr w:rsidR="00EE501D" w14:paraId="689B2CEF" w14:textId="77777777" w:rsidTr="00A77C56">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F2AD0DB" w14:textId="77777777" w:rsidR="00EE501D" w:rsidRDefault="00EE501D" w:rsidP="00525BE0">
            <w:pPr>
              <w:jc w:val="both"/>
              <w:rPr>
                <w:sz w:val="18"/>
                <w:szCs w:val="18"/>
              </w:rPr>
            </w:pPr>
            <w:r>
              <w:rPr>
                <w:b w:val="0"/>
                <w:bCs w:val="0"/>
                <w:sz w:val="18"/>
                <w:szCs w:val="18"/>
              </w:rPr>
              <w:t>Having clarity of roles (context) will lead to an enhanced perception of progress (mechanism) causing increased faith (outcome)</w:t>
            </w:r>
          </w:p>
        </w:tc>
      </w:tr>
      <w:tr w:rsidR="00EE501D" w14:paraId="3E94A910" w14:textId="77777777" w:rsidTr="00A77C56">
        <w:trPr>
          <w:trHeight w:val="228"/>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2417C2B0" w14:textId="77777777" w:rsidR="00EE501D" w:rsidRPr="00C5581D" w:rsidRDefault="00EE501D" w:rsidP="00525BE0">
            <w:pPr>
              <w:jc w:val="both"/>
              <w:rPr>
                <w:sz w:val="18"/>
                <w:szCs w:val="18"/>
              </w:rPr>
            </w:pPr>
            <w:r w:rsidRPr="00C5581D">
              <w:rPr>
                <w:bCs w:val="0"/>
                <w:sz w:val="18"/>
                <w:szCs w:val="18"/>
              </w:rPr>
              <w:t>PARTNERSHIP FUNCTIONING</w:t>
            </w:r>
            <w:r w:rsidRPr="00C5581D">
              <w:rPr>
                <w:sz w:val="18"/>
                <w:szCs w:val="18"/>
              </w:rPr>
              <w:t xml:space="preserve"> </w:t>
            </w:r>
          </w:p>
        </w:tc>
      </w:tr>
      <w:tr w:rsidR="00EE501D" w14:paraId="2C7378C2"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8269D75" w14:textId="77777777" w:rsidR="00EE501D" w:rsidRPr="00C5581D" w:rsidRDefault="00EE501D" w:rsidP="00525BE0">
            <w:pPr>
              <w:jc w:val="both"/>
              <w:rPr>
                <w:b w:val="0"/>
                <w:sz w:val="18"/>
                <w:szCs w:val="18"/>
              </w:rPr>
            </w:pPr>
            <w:r w:rsidRPr="00C5581D">
              <w:rPr>
                <w:sz w:val="18"/>
                <w:szCs w:val="18"/>
              </w:rPr>
              <w:t>Conflict</w:t>
            </w:r>
          </w:p>
        </w:tc>
      </w:tr>
      <w:tr w:rsidR="00EE501D" w14:paraId="5C97D765"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4EC697D" w14:textId="77777777" w:rsidR="00EE501D" w:rsidRPr="003C7473" w:rsidRDefault="00EE501D" w:rsidP="00525BE0">
            <w:pPr>
              <w:jc w:val="both"/>
              <w:rPr>
                <w:b w:val="0"/>
                <w:bCs w:val="0"/>
                <w:sz w:val="18"/>
                <w:szCs w:val="18"/>
              </w:rPr>
            </w:pPr>
            <w:r>
              <w:rPr>
                <w:b w:val="0"/>
                <w:bCs w:val="0"/>
                <w:sz w:val="18"/>
                <w:szCs w:val="18"/>
              </w:rPr>
              <w:t>Having appropriate accountability arrangements (context) can reduce conflict (mechanism), improving trust (outcome)</w:t>
            </w:r>
          </w:p>
        </w:tc>
      </w:tr>
      <w:tr w:rsidR="00EE501D" w14:paraId="5435F097"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482F289D" w14:textId="77777777" w:rsidR="00EE501D" w:rsidRDefault="00EE501D" w:rsidP="00525BE0">
            <w:pPr>
              <w:jc w:val="both"/>
              <w:rPr>
                <w:b w:val="0"/>
                <w:bCs w:val="0"/>
                <w:sz w:val="18"/>
                <w:szCs w:val="18"/>
              </w:rPr>
            </w:pPr>
            <w:r>
              <w:rPr>
                <w:b w:val="0"/>
                <w:bCs w:val="0"/>
                <w:sz w:val="18"/>
                <w:szCs w:val="18"/>
              </w:rPr>
              <w:t>Having greater cultural compatibility (context) can reduce conflict (mechanism), improving trust (outcome)</w:t>
            </w:r>
          </w:p>
        </w:tc>
      </w:tr>
      <w:tr w:rsidR="00EE501D" w14:paraId="3E8A5F7D"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45BBDBA" w14:textId="77777777" w:rsidR="00EE501D" w:rsidRDefault="00EE501D" w:rsidP="00525BE0">
            <w:pPr>
              <w:jc w:val="both"/>
              <w:rPr>
                <w:b w:val="0"/>
                <w:bCs w:val="0"/>
                <w:sz w:val="18"/>
                <w:szCs w:val="18"/>
              </w:rPr>
            </w:pPr>
            <w:r>
              <w:rPr>
                <w:b w:val="0"/>
                <w:bCs w:val="0"/>
                <w:sz w:val="18"/>
                <w:szCs w:val="18"/>
              </w:rPr>
              <w:t>Having a vision shared between partners (context) can reduce conflict (mechanism), improving trust (outcome)</w:t>
            </w:r>
          </w:p>
        </w:tc>
      </w:tr>
      <w:tr w:rsidR="00EE501D" w14:paraId="47C03494"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5D7E0CDC" w14:textId="77777777" w:rsidR="00EE501D" w:rsidRDefault="00EE501D" w:rsidP="00525BE0">
            <w:pPr>
              <w:jc w:val="both"/>
              <w:rPr>
                <w:b w:val="0"/>
                <w:bCs w:val="0"/>
                <w:sz w:val="18"/>
                <w:szCs w:val="18"/>
              </w:rPr>
            </w:pPr>
            <w:r>
              <w:rPr>
                <w:b w:val="0"/>
                <w:bCs w:val="0"/>
                <w:sz w:val="18"/>
                <w:szCs w:val="18"/>
              </w:rPr>
              <w:t>A slow pace of development (context) can increase conflict (mechanism), reducing trust (outcome)</w:t>
            </w:r>
          </w:p>
        </w:tc>
      </w:tr>
      <w:tr w:rsidR="00EE501D" w14:paraId="34061608"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3ADF7BE" w14:textId="77777777" w:rsidR="00EE501D" w:rsidRDefault="00EE501D" w:rsidP="00525BE0">
            <w:pPr>
              <w:jc w:val="both"/>
              <w:rPr>
                <w:b w:val="0"/>
                <w:bCs w:val="0"/>
                <w:sz w:val="18"/>
                <w:szCs w:val="18"/>
              </w:rPr>
            </w:pPr>
            <w:r>
              <w:rPr>
                <w:b w:val="0"/>
                <w:bCs w:val="0"/>
                <w:sz w:val="18"/>
                <w:szCs w:val="18"/>
              </w:rPr>
              <w:t>Failing to achieve a collaborative task (context) can increase conflict (mechanism), reducing trust (outcome)</w:t>
            </w:r>
          </w:p>
        </w:tc>
      </w:tr>
      <w:tr w:rsidR="00EE501D" w14:paraId="43AFAE7A"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887FADC" w14:textId="77777777" w:rsidR="00EE501D" w:rsidRDefault="00EE501D" w:rsidP="00525BE0">
            <w:pPr>
              <w:jc w:val="both"/>
              <w:rPr>
                <w:b w:val="0"/>
                <w:bCs w:val="0"/>
                <w:sz w:val="18"/>
                <w:szCs w:val="18"/>
              </w:rPr>
            </w:pPr>
            <w:r>
              <w:rPr>
                <w:b w:val="0"/>
                <w:bCs w:val="0"/>
                <w:sz w:val="18"/>
                <w:szCs w:val="18"/>
              </w:rPr>
              <w:t>Stopping a collaboration inappropriately (context) can increase conflict (mechanism), reducing trust (outcome)</w:t>
            </w:r>
          </w:p>
        </w:tc>
      </w:tr>
      <w:tr w:rsidR="00EE501D" w14:paraId="3D753E58"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45C54F05" w14:textId="77777777" w:rsidR="00EE501D" w:rsidRPr="00C5581D" w:rsidRDefault="00EE501D" w:rsidP="00525BE0">
            <w:pPr>
              <w:jc w:val="both"/>
              <w:rPr>
                <w:b w:val="0"/>
                <w:sz w:val="18"/>
                <w:szCs w:val="18"/>
              </w:rPr>
            </w:pPr>
            <w:r w:rsidRPr="00C5581D">
              <w:rPr>
                <w:sz w:val="18"/>
                <w:szCs w:val="18"/>
              </w:rPr>
              <w:t>Trust</w:t>
            </w:r>
          </w:p>
        </w:tc>
      </w:tr>
      <w:tr w:rsidR="00EE501D" w14:paraId="6354C3A9"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55E59367" w14:textId="77777777" w:rsidR="00EE501D" w:rsidRPr="003C7473" w:rsidRDefault="00EE501D" w:rsidP="00525BE0">
            <w:pPr>
              <w:jc w:val="both"/>
              <w:rPr>
                <w:b w:val="0"/>
                <w:bCs w:val="0"/>
                <w:sz w:val="18"/>
                <w:szCs w:val="18"/>
              </w:rPr>
            </w:pPr>
            <w:r>
              <w:rPr>
                <w:b w:val="0"/>
                <w:bCs w:val="0"/>
                <w:sz w:val="18"/>
                <w:szCs w:val="18"/>
              </w:rPr>
              <w:t>A destructive conflict resolution strategy (context) can reduce trust (mechanism) leading to reduced perception of progress and faith (outcome)</w:t>
            </w:r>
          </w:p>
        </w:tc>
      </w:tr>
      <w:tr w:rsidR="00EE501D" w14:paraId="35EECC60"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45E32427" w14:textId="77777777" w:rsidR="00EE501D" w:rsidRDefault="00EE501D" w:rsidP="00525BE0">
            <w:pPr>
              <w:jc w:val="both"/>
              <w:rPr>
                <w:b w:val="0"/>
                <w:bCs w:val="0"/>
                <w:sz w:val="18"/>
                <w:szCs w:val="18"/>
              </w:rPr>
            </w:pPr>
            <w:r>
              <w:rPr>
                <w:b w:val="0"/>
                <w:bCs w:val="0"/>
                <w:sz w:val="18"/>
                <w:szCs w:val="18"/>
              </w:rPr>
              <w:t>A constructive conflict resolution strategy (context) can improve trust (mechanism) leading to improved perception of progress and faith (outcome)</w:t>
            </w:r>
          </w:p>
        </w:tc>
      </w:tr>
      <w:tr w:rsidR="00EE501D" w14:paraId="595CA726"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25236168" w14:textId="77777777" w:rsidR="00EE501D" w:rsidRDefault="00EE501D" w:rsidP="00525BE0">
            <w:pPr>
              <w:jc w:val="both"/>
              <w:rPr>
                <w:b w:val="0"/>
                <w:bCs w:val="0"/>
                <w:sz w:val="18"/>
                <w:szCs w:val="18"/>
              </w:rPr>
            </w:pPr>
            <w:r>
              <w:rPr>
                <w:b w:val="0"/>
                <w:bCs w:val="0"/>
                <w:sz w:val="18"/>
                <w:szCs w:val="18"/>
              </w:rPr>
              <w:t>Having existing successful collaborations (context) can improve initial trust (mechanism) causing improved aims and objectives and greater collaborative behaviour (outcomes)</w:t>
            </w:r>
          </w:p>
        </w:tc>
      </w:tr>
      <w:tr w:rsidR="00EE501D" w14:paraId="5E9646B2"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52854AE0" w14:textId="77777777" w:rsidR="00EE501D" w:rsidRDefault="00EE501D" w:rsidP="00525BE0">
            <w:pPr>
              <w:jc w:val="both"/>
              <w:rPr>
                <w:b w:val="0"/>
                <w:bCs w:val="0"/>
                <w:sz w:val="18"/>
                <w:szCs w:val="18"/>
              </w:rPr>
            </w:pPr>
            <w:r>
              <w:rPr>
                <w:b w:val="0"/>
                <w:bCs w:val="0"/>
                <w:sz w:val="18"/>
                <w:szCs w:val="18"/>
              </w:rPr>
              <w:t>Having appropriate legal agreements in place that do not take away the perception of altruism (context) can improve trust (mechanism) leading to greater collaborative behaviour (outcome)</w:t>
            </w:r>
          </w:p>
        </w:tc>
      </w:tr>
      <w:tr w:rsidR="00EE501D" w14:paraId="45F3CB92"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4622F3E7" w14:textId="77777777" w:rsidR="00EE501D" w:rsidRDefault="00EE501D" w:rsidP="00525BE0">
            <w:pPr>
              <w:jc w:val="both"/>
              <w:rPr>
                <w:b w:val="0"/>
                <w:bCs w:val="0"/>
                <w:sz w:val="18"/>
                <w:szCs w:val="18"/>
              </w:rPr>
            </w:pPr>
            <w:r>
              <w:rPr>
                <w:b w:val="0"/>
                <w:bCs w:val="0"/>
                <w:sz w:val="18"/>
                <w:szCs w:val="18"/>
              </w:rPr>
              <w:t>Overambition in the aims of the collaboration (context) can reduce perception of progress (mechanism) leading to reduced trust and faith (outcome)</w:t>
            </w:r>
          </w:p>
        </w:tc>
      </w:tr>
      <w:tr w:rsidR="00EE501D" w14:paraId="7BD1487F"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4D57409" w14:textId="77777777" w:rsidR="00EE501D" w:rsidRDefault="00EE501D" w:rsidP="00525BE0">
            <w:pPr>
              <w:jc w:val="both"/>
              <w:rPr>
                <w:b w:val="0"/>
                <w:bCs w:val="0"/>
                <w:sz w:val="18"/>
                <w:szCs w:val="18"/>
              </w:rPr>
            </w:pPr>
            <w:r>
              <w:rPr>
                <w:b w:val="0"/>
                <w:bCs w:val="0"/>
                <w:sz w:val="18"/>
                <w:szCs w:val="18"/>
              </w:rPr>
              <w:t>Significant conflict (context) can reduce trust (mechanism) reducing collaborative behaviour (outcome)</w:t>
            </w:r>
          </w:p>
        </w:tc>
      </w:tr>
      <w:tr w:rsidR="00EE501D" w14:paraId="24C2F541"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26D71810" w14:textId="77777777" w:rsidR="00EE501D" w:rsidRPr="00C5581D" w:rsidRDefault="00EE501D" w:rsidP="00525BE0">
            <w:pPr>
              <w:jc w:val="both"/>
              <w:rPr>
                <w:sz w:val="18"/>
                <w:szCs w:val="18"/>
              </w:rPr>
            </w:pPr>
            <w:r>
              <w:rPr>
                <w:sz w:val="18"/>
                <w:szCs w:val="18"/>
              </w:rPr>
              <w:t>Confidence</w:t>
            </w:r>
          </w:p>
        </w:tc>
      </w:tr>
      <w:tr w:rsidR="00EE501D" w14:paraId="638B0D7E"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647977A" w14:textId="77777777" w:rsidR="00EE501D" w:rsidRPr="008F0578" w:rsidRDefault="00EE501D" w:rsidP="00525BE0">
            <w:pPr>
              <w:jc w:val="both"/>
              <w:rPr>
                <w:b w:val="0"/>
                <w:bCs w:val="0"/>
                <w:sz w:val="18"/>
                <w:szCs w:val="18"/>
              </w:rPr>
            </w:pPr>
            <w:r>
              <w:rPr>
                <w:b w:val="0"/>
                <w:bCs w:val="0"/>
                <w:sz w:val="18"/>
                <w:szCs w:val="18"/>
              </w:rPr>
              <w:t>Greater formalisation in a mandated or more integrative collaboration type (context) can increase confidence (mechanism) leading to greater collaborative behaviour (outcome)</w:t>
            </w:r>
          </w:p>
        </w:tc>
      </w:tr>
      <w:tr w:rsidR="00EE501D" w14:paraId="3169C33B"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891835F" w14:textId="77777777" w:rsidR="00EE501D" w:rsidRPr="00C5581D" w:rsidRDefault="00EE501D" w:rsidP="00525BE0">
            <w:pPr>
              <w:jc w:val="both"/>
              <w:rPr>
                <w:b w:val="0"/>
                <w:sz w:val="18"/>
                <w:szCs w:val="18"/>
              </w:rPr>
            </w:pPr>
            <w:r w:rsidRPr="00C5581D">
              <w:rPr>
                <w:sz w:val="18"/>
                <w:szCs w:val="18"/>
              </w:rPr>
              <w:t>Power</w:t>
            </w:r>
          </w:p>
        </w:tc>
      </w:tr>
      <w:tr w:rsidR="00EE501D" w14:paraId="073FE29E"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4173819B" w14:textId="77777777" w:rsidR="00EE501D" w:rsidRPr="00270579" w:rsidRDefault="00EE501D" w:rsidP="00525BE0">
            <w:pPr>
              <w:jc w:val="both"/>
              <w:rPr>
                <w:b w:val="0"/>
                <w:bCs w:val="0"/>
                <w:sz w:val="18"/>
                <w:szCs w:val="18"/>
              </w:rPr>
            </w:pPr>
            <w:r>
              <w:rPr>
                <w:b w:val="0"/>
                <w:bCs w:val="0"/>
                <w:sz w:val="18"/>
                <w:szCs w:val="18"/>
              </w:rPr>
              <w:t>Larger size discrepancies of involved organisations (context) can lead to domination by a single partner and a significant power imbalance (mechanism) thereby reducing trust (outcome)</w:t>
            </w:r>
          </w:p>
        </w:tc>
      </w:tr>
      <w:tr w:rsidR="00EE501D" w14:paraId="540FB2EC"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8E56991" w14:textId="77777777" w:rsidR="00EE501D" w:rsidRPr="00270579" w:rsidRDefault="00EE501D" w:rsidP="00525BE0">
            <w:pPr>
              <w:tabs>
                <w:tab w:val="left" w:pos="1186"/>
              </w:tabs>
              <w:jc w:val="both"/>
              <w:rPr>
                <w:b w:val="0"/>
                <w:bCs w:val="0"/>
                <w:sz w:val="18"/>
                <w:szCs w:val="18"/>
              </w:rPr>
            </w:pPr>
            <w:r>
              <w:rPr>
                <w:b w:val="0"/>
                <w:bCs w:val="0"/>
                <w:sz w:val="18"/>
                <w:szCs w:val="18"/>
              </w:rPr>
              <w:t>Unequal resource distribution in the collaboration (context) can lead to domination by a single partner and a significant power imbalance (mechanism) thereby reducing trust (outcome)</w:t>
            </w:r>
          </w:p>
        </w:tc>
      </w:tr>
      <w:tr w:rsidR="00EE501D" w14:paraId="076B4324"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794FDA01" w14:textId="77777777" w:rsidR="00EE501D" w:rsidRPr="00270579" w:rsidRDefault="00EE501D" w:rsidP="00525BE0">
            <w:pPr>
              <w:jc w:val="both"/>
              <w:rPr>
                <w:b w:val="0"/>
                <w:bCs w:val="0"/>
                <w:sz w:val="18"/>
                <w:szCs w:val="18"/>
              </w:rPr>
            </w:pPr>
            <w:r>
              <w:rPr>
                <w:b w:val="0"/>
                <w:bCs w:val="0"/>
                <w:sz w:val="18"/>
                <w:szCs w:val="18"/>
              </w:rPr>
              <w:t>Mandated collaboration where one organisation is usually told to collaborate with a ‘better performing’ one (context) can lead to domination by a single partner and a significant power imbalance (mechanism) thereby reducing trust (outcome)</w:t>
            </w:r>
          </w:p>
        </w:tc>
      </w:tr>
      <w:tr w:rsidR="00EE501D" w14:paraId="2007B6DD"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8FB6969" w14:textId="77777777" w:rsidR="00EE501D" w:rsidRPr="00C5581D" w:rsidRDefault="00EE501D" w:rsidP="00525BE0">
            <w:pPr>
              <w:jc w:val="both"/>
              <w:rPr>
                <w:b w:val="0"/>
                <w:sz w:val="18"/>
                <w:szCs w:val="18"/>
              </w:rPr>
            </w:pPr>
            <w:r w:rsidRPr="00C5581D">
              <w:rPr>
                <w:sz w:val="18"/>
                <w:szCs w:val="18"/>
              </w:rPr>
              <w:t>Faith</w:t>
            </w:r>
          </w:p>
        </w:tc>
      </w:tr>
      <w:tr w:rsidR="00EE501D" w14:paraId="6DD5A8BF"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2FF0E54" w14:textId="77777777" w:rsidR="00EE501D" w:rsidRPr="00270579" w:rsidRDefault="00EE501D" w:rsidP="00525BE0">
            <w:pPr>
              <w:jc w:val="both"/>
              <w:rPr>
                <w:b w:val="0"/>
                <w:bCs w:val="0"/>
                <w:sz w:val="18"/>
                <w:szCs w:val="18"/>
              </w:rPr>
            </w:pPr>
            <w:r>
              <w:rPr>
                <w:b w:val="0"/>
                <w:bCs w:val="0"/>
                <w:sz w:val="18"/>
                <w:szCs w:val="18"/>
              </w:rPr>
              <w:t>Involvement of stakeholders in planning the collaboration (context) can improve the perceived authenticity of the collaboration (mechanism) thereby improving faith (outcome)</w:t>
            </w:r>
          </w:p>
        </w:tc>
      </w:tr>
      <w:tr w:rsidR="00EE501D" w14:paraId="73D11536"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8B7875F" w14:textId="77777777" w:rsidR="00EE501D" w:rsidRPr="00270579" w:rsidRDefault="00EE501D" w:rsidP="00525BE0">
            <w:pPr>
              <w:jc w:val="both"/>
              <w:rPr>
                <w:b w:val="0"/>
                <w:bCs w:val="0"/>
                <w:sz w:val="18"/>
                <w:szCs w:val="18"/>
              </w:rPr>
            </w:pPr>
            <w:r>
              <w:rPr>
                <w:b w:val="0"/>
                <w:bCs w:val="0"/>
                <w:sz w:val="18"/>
                <w:szCs w:val="18"/>
              </w:rPr>
              <w:t>An inauthentic partnership in which no one respects or believes that it can achieve its stated aims (context) leads to reduced faith in the partnership (mechanism) which can lead to reduced collaborative behaviour (outcome)</w:t>
            </w:r>
          </w:p>
        </w:tc>
      </w:tr>
      <w:tr w:rsidR="00EE501D" w14:paraId="063E2C41"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727A052" w14:textId="77777777" w:rsidR="00EE501D" w:rsidRPr="00270579" w:rsidRDefault="00EE501D" w:rsidP="00525BE0">
            <w:pPr>
              <w:jc w:val="both"/>
              <w:rPr>
                <w:b w:val="0"/>
                <w:bCs w:val="0"/>
                <w:sz w:val="18"/>
                <w:szCs w:val="18"/>
              </w:rPr>
            </w:pPr>
            <w:r>
              <w:rPr>
                <w:b w:val="0"/>
                <w:bCs w:val="0"/>
                <w:sz w:val="18"/>
                <w:szCs w:val="18"/>
              </w:rPr>
              <w:t>When perception of progress stalls (context) the faith can be significantly reduced (mechanism) leading to partnership dissolution (outcome)</w:t>
            </w:r>
          </w:p>
        </w:tc>
      </w:tr>
      <w:tr w:rsidR="00EE501D" w14:paraId="68F37565"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1A347183" w14:textId="77777777" w:rsidR="00EE501D" w:rsidRPr="00C5581D" w:rsidRDefault="00EE501D" w:rsidP="00525BE0">
            <w:pPr>
              <w:jc w:val="both"/>
              <w:rPr>
                <w:b w:val="0"/>
                <w:sz w:val="18"/>
                <w:szCs w:val="18"/>
              </w:rPr>
            </w:pPr>
            <w:r w:rsidRPr="00C5581D">
              <w:rPr>
                <w:sz w:val="18"/>
                <w:szCs w:val="18"/>
              </w:rPr>
              <w:t>Interpersonal communication/coordination</w:t>
            </w:r>
          </w:p>
        </w:tc>
      </w:tr>
      <w:tr w:rsidR="00EE501D" w14:paraId="0EF8D104"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5EEB967B" w14:textId="77777777" w:rsidR="00EE501D" w:rsidRPr="00270579" w:rsidRDefault="00EE501D" w:rsidP="00525BE0">
            <w:pPr>
              <w:jc w:val="both"/>
              <w:rPr>
                <w:b w:val="0"/>
                <w:bCs w:val="0"/>
                <w:sz w:val="18"/>
                <w:szCs w:val="18"/>
              </w:rPr>
            </w:pPr>
            <w:r>
              <w:rPr>
                <w:b w:val="0"/>
                <w:bCs w:val="0"/>
                <w:sz w:val="18"/>
                <w:szCs w:val="18"/>
              </w:rPr>
              <w:t>Incompatible organisational cultures (context) combined with a high level of communication (mechanism) can lead to conflict (outcome)</w:t>
            </w:r>
          </w:p>
        </w:tc>
      </w:tr>
      <w:tr w:rsidR="00EE501D" w14:paraId="4C3542C7"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7A77423E" w14:textId="77777777" w:rsidR="00EE501D" w:rsidRDefault="00EE501D" w:rsidP="00525BE0">
            <w:pPr>
              <w:jc w:val="both"/>
              <w:rPr>
                <w:b w:val="0"/>
                <w:bCs w:val="0"/>
                <w:sz w:val="18"/>
                <w:szCs w:val="18"/>
              </w:rPr>
            </w:pPr>
            <w:r>
              <w:rPr>
                <w:b w:val="0"/>
                <w:bCs w:val="0"/>
                <w:sz w:val="18"/>
                <w:szCs w:val="18"/>
              </w:rPr>
              <w:t>Greater geographical proximity of partners (context) can lead to increased interpersonal communication (mechanism) which can increase or decrease trust depending on whether conflict is occurring (outcome)</w:t>
            </w:r>
          </w:p>
        </w:tc>
      </w:tr>
      <w:tr w:rsidR="00EE501D" w14:paraId="3506F3A1"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24FA8AE" w14:textId="77777777" w:rsidR="00EE501D" w:rsidRPr="00C5581D" w:rsidRDefault="00EE501D" w:rsidP="00525BE0">
            <w:pPr>
              <w:jc w:val="both"/>
              <w:rPr>
                <w:b w:val="0"/>
                <w:sz w:val="18"/>
                <w:szCs w:val="18"/>
              </w:rPr>
            </w:pPr>
            <w:r w:rsidRPr="00C5581D">
              <w:rPr>
                <w:sz w:val="18"/>
                <w:szCs w:val="18"/>
              </w:rPr>
              <w:t>Leadership</w:t>
            </w:r>
            <w:r>
              <w:rPr>
                <w:sz w:val="18"/>
                <w:szCs w:val="18"/>
              </w:rPr>
              <w:t xml:space="preserve"> (context)</w:t>
            </w:r>
          </w:p>
        </w:tc>
      </w:tr>
      <w:tr w:rsidR="00EE501D" w14:paraId="01AEB12A"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6BD27DA" w14:textId="77777777" w:rsidR="00EE501D" w:rsidRPr="00270579" w:rsidRDefault="00EE501D" w:rsidP="00525BE0">
            <w:pPr>
              <w:jc w:val="both"/>
              <w:rPr>
                <w:b w:val="0"/>
                <w:bCs w:val="0"/>
                <w:sz w:val="18"/>
                <w:szCs w:val="18"/>
              </w:rPr>
            </w:pPr>
            <w:r>
              <w:rPr>
                <w:b w:val="0"/>
                <w:bCs w:val="0"/>
                <w:sz w:val="18"/>
                <w:szCs w:val="18"/>
              </w:rPr>
              <w:t>A collaborative leadership style (context) can improve trust (mechanism) which increases collaborative behaviour (outcome)</w:t>
            </w:r>
          </w:p>
        </w:tc>
      </w:tr>
      <w:tr w:rsidR="00EE501D" w14:paraId="19CA9D4E"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25CF3901" w14:textId="77777777" w:rsidR="00EE501D" w:rsidRDefault="00EE501D" w:rsidP="00525BE0">
            <w:pPr>
              <w:jc w:val="both"/>
              <w:rPr>
                <w:b w:val="0"/>
                <w:bCs w:val="0"/>
                <w:sz w:val="18"/>
                <w:szCs w:val="18"/>
              </w:rPr>
            </w:pPr>
            <w:r>
              <w:rPr>
                <w:b w:val="0"/>
                <w:bCs w:val="0"/>
                <w:sz w:val="18"/>
                <w:szCs w:val="18"/>
              </w:rPr>
              <w:t>Mandated collaboration with low initial trust (context) enables leaders to push out those with a conflicting vision (mechanism) which can improve how shared the vision for the collaboration is (outcome)</w:t>
            </w:r>
          </w:p>
        </w:tc>
      </w:tr>
      <w:tr w:rsidR="00EE501D" w14:paraId="0D44BBE1"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0D017DD3" w14:textId="77777777" w:rsidR="00EE501D" w:rsidRDefault="00EE501D" w:rsidP="00525BE0">
            <w:pPr>
              <w:jc w:val="both"/>
              <w:rPr>
                <w:b w:val="0"/>
                <w:bCs w:val="0"/>
                <w:sz w:val="18"/>
                <w:szCs w:val="18"/>
              </w:rPr>
            </w:pPr>
            <w:r>
              <w:rPr>
                <w:b w:val="0"/>
                <w:bCs w:val="0"/>
                <w:sz w:val="18"/>
                <w:szCs w:val="18"/>
              </w:rPr>
              <w:t>A voluntary collaboration (context) combined with a combative leadership approach (mechanism) can lead to an imbalance in power (outcome)</w:t>
            </w:r>
          </w:p>
        </w:tc>
      </w:tr>
      <w:tr w:rsidR="00EE501D" w14:paraId="1051F9B2"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20E8715E" w14:textId="77777777" w:rsidR="00EE501D" w:rsidRPr="00C5581D" w:rsidRDefault="00EE501D" w:rsidP="00525BE0">
            <w:pPr>
              <w:jc w:val="both"/>
              <w:rPr>
                <w:b w:val="0"/>
                <w:sz w:val="18"/>
                <w:szCs w:val="18"/>
              </w:rPr>
            </w:pPr>
            <w:r w:rsidRPr="00C5581D">
              <w:rPr>
                <w:sz w:val="18"/>
                <w:szCs w:val="18"/>
              </w:rPr>
              <w:t>Cultural integration</w:t>
            </w:r>
          </w:p>
        </w:tc>
      </w:tr>
      <w:tr w:rsidR="00EE501D" w14:paraId="6BA3C554"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33E4CD46" w14:textId="77777777" w:rsidR="00EE501D" w:rsidRPr="00400D0D" w:rsidRDefault="00EE501D" w:rsidP="00525BE0">
            <w:pPr>
              <w:jc w:val="both"/>
              <w:rPr>
                <w:b w:val="0"/>
                <w:bCs w:val="0"/>
                <w:sz w:val="18"/>
                <w:szCs w:val="18"/>
              </w:rPr>
            </w:pPr>
            <w:r>
              <w:rPr>
                <w:b w:val="0"/>
                <w:bCs w:val="0"/>
                <w:sz w:val="18"/>
                <w:szCs w:val="18"/>
              </w:rPr>
              <w:t>Having an inclusive leadership style (context) can lead to better cultural integration (mechanism) and therefore greater trust (outcome)</w:t>
            </w:r>
          </w:p>
        </w:tc>
      </w:tr>
      <w:tr w:rsidR="00EE501D" w14:paraId="2288A004"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04D60BA0" w14:textId="77777777" w:rsidR="00EE501D" w:rsidRPr="006E53DC" w:rsidRDefault="00EE501D" w:rsidP="00525BE0">
            <w:pPr>
              <w:jc w:val="both"/>
              <w:rPr>
                <w:sz w:val="18"/>
                <w:szCs w:val="18"/>
              </w:rPr>
            </w:pPr>
            <w:r>
              <w:rPr>
                <w:sz w:val="18"/>
                <w:szCs w:val="18"/>
              </w:rPr>
              <w:t>Perception of t</w:t>
            </w:r>
            <w:r w:rsidRPr="00B01FB6">
              <w:rPr>
                <w:sz w:val="18"/>
                <w:szCs w:val="18"/>
              </w:rPr>
              <w:t>ask complexity</w:t>
            </w:r>
          </w:p>
        </w:tc>
      </w:tr>
      <w:tr w:rsidR="00EE501D" w14:paraId="45424628"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6E6F7757" w14:textId="77777777" w:rsidR="00EE501D" w:rsidRPr="00400D0D" w:rsidRDefault="00EE501D" w:rsidP="00525BE0">
            <w:pPr>
              <w:jc w:val="both"/>
              <w:rPr>
                <w:b w:val="0"/>
                <w:bCs w:val="0"/>
                <w:sz w:val="18"/>
                <w:szCs w:val="18"/>
              </w:rPr>
            </w:pPr>
            <w:r>
              <w:rPr>
                <w:b w:val="0"/>
                <w:bCs w:val="0"/>
                <w:sz w:val="18"/>
                <w:szCs w:val="18"/>
              </w:rPr>
              <w:t>Having interoperable IT systems (context) can lead to a reduction in perceived task complexity (mechanism) that enhances faith (outcome)</w:t>
            </w:r>
          </w:p>
        </w:tc>
      </w:tr>
      <w:tr w:rsidR="00EE501D" w14:paraId="4610B84E"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1A8A489F" w14:textId="77777777" w:rsidR="00EE501D" w:rsidRDefault="00EE501D" w:rsidP="00525BE0">
            <w:pPr>
              <w:jc w:val="both"/>
              <w:rPr>
                <w:b w:val="0"/>
                <w:bCs w:val="0"/>
                <w:sz w:val="18"/>
                <w:szCs w:val="18"/>
              </w:rPr>
            </w:pPr>
            <w:r>
              <w:rPr>
                <w:b w:val="0"/>
                <w:bCs w:val="0"/>
                <w:sz w:val="18"/>
                <w:szCs w:val="18"/>
              </w:rPr>
              <w:t>A larger organisation size (context) leads to a greater perceived task complexity (mechanism) thereby reducing faith and increasing initial trust requirements (outcomes)</w:t>
            </w:r>
          </w:p>
        </w:tc>
      </w:tr>
      <w:tr w:rsidR="00EE501D" w14:paraId="3919398A" w14:textId="77777777" w:rsidTr="00A77C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0A7B5930" w14:textId="77777777" w:rsidR="00EE501D" w:rsidRDefault="00EE501D" w:rsidP="00525BE0">
            <w:pPr>
              <w:jc w:val="both"/>
              <w:rPr>
                <w:b w:val="0"/>
                <w:bCs w:val="0"/>
                <w:sz w:val="18"/>
                <w:szCs w:val="18"/>
              </w:rPr>
            </w:pPr>
            <w:r>
              <w:rPr>
                <w:b w:val="0"/>
                <w:bCs w:val="0"/>
                <w:sz w:val="18"/>
                <w:szCs w:val="18"/>
              </w:rPr>
              <w:t>Having simpler aims for the collaboration (context) leads to a reduced perception of task complexity (mechanism) which can lower initial faith requirements (outcome)</w:t>
            </w:r>
          </w:p>
        </w:tc>
      </w:tr>
      <w:tr w:rsidR="00EE501D" w14:paraId="6A9AB625" w14:textId="77777777" w:rsidTr="00A77C56">
        <w:tc>
          <w:tcPr>
            <w:cnfStyle w:val="001000000000" w:firstRow="0" w:lastRow="0" w:firstColumn="1" w:lastColumn="0" w:oddVBand="0" w:evenVBand="0" w:oddHBand="0" w:evenHBand="0" w:firstRowFirstColumn="0" w:firstRowLastColumn="0" w:lastRowFirstColumn="0" w:lastRowLastColumn="0"/>
            <w:tcW w:w="9016" w:type="dxa"/>
            <w:tcBorders>
              <w:top w:val="single" w:sz="4" w:space="0" w:color="auto"/>
              <w:left w:val="single" w:sz="4" w:space="0" w:color="auto"/>
              <w:bottom w:val="single" w:sz="4" w:space="0" w:color="auto"/>
              <w:right w:val="single" w:sz="4" w:space="0" w:color="auto"/>
            </w:tcBorders>
            <w:shd w:val="clear" w:color="auto" w:fill="auto"/>
          </w:tcPr>
          <w:p w14:paraId="17C13854" w14:textId="77777777" w:rsidR="00EE501D" w:rsidRDefault="00EE501D" w:rsidP="00525BE0">
            <w:pPr>
              <w:jc w:val="both"/>
              <w:rPr>
                <w:b w:val="0"/>
                <w:bCs w:val="0"/>
                <w:sz w:val="18"/>
                <w:szCs w:val="18"/>
              </w:rPr>
            </w:pPr>
            <w:r>
              <w:rPr>
                <w:b w:val="0"/>
                <w:bCs w:val="0"/>
                <w:sz w:val="18"/>
                <w:szCs w:val="18"/>
              </w:rPr>
              <w:t>A favourable regulatory environment for collaboration (context) can lower perception of complexity (mechanism) and thereby improve initial faith (outcome)</w:t>
            </w:r>
          </w:p>
        </w:tc>
      </w:tr>
    </w:tbl>
    <w:p w14:paraId="4C4A9C28" w14:textId="77777777" w:rsidR="00EE501D" w:rsidRDefault="00EE501D" w:rsidP="00525BE0">
      <w:pPr>
        <w:spacing w:line="360" w:lineRule="auto"/>
        <w:jc w:val="both"/>
        <w:sectPr w:rsidR="00EE501D">
          <w:pgSz w:w="11906" w:h="16838"/>
          <w:pgMar w:top="1440" w:right="1440" w:bottom="1440" w:left="1440" w:header="708" w:footer="708" w:gutter="0"/>
          <w:cols w:space="708"/>
          <w:docGrid w:linePitch="360"/>
        </w:sectPr>
      </w:pPr>
    </w:p>
    <w:p w14:paraId="5441A401" w14:textId="77777777" w:rsidR="009F1D33" w:rsidRDefault="00EE501D" w:rsidP="00525BE0">
      <w:pPr>
        <w:keepNext/>
        <w:spacing w:line="360" w:lineRule="auto"/>
        <w:jc w:val="both"/>
      </w:pPr>
      <w:r w:rsidRPr="009C57EA">
        <w:rPr>
          <w:noProof/>
        </w:rPr>
        <w:t xml:space="preserve"> </w:t>
      </w:r>
      <w:r>
        <w:rPr>
          <w:noProof/>
          <w:lang w:eastAsia="en-GB"/>
        </w:rPr>
        <w:drawing>
          <wp:inline distT="0" distB="0" distL="0" distR="0" wp14:anchorId="16FA308A" wp14:editId="1724E4DE">
            <wp:extent cx="8863330" cy="4937760"/>
            <wp:effectExtent l="0" t="0" r="127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863330" cy="4937760"/>
                    </a:xfrm>
                    <a:prstGeom prst="rect">
                      <a:avLst/>
                    </a:prstGeom>
                  </pic:spPr>
                </pic:pic>
              </a:graphicData>
            </a:graphic>
          </wp:inline>
        </w:drawing>
      </w:r>
    </w:p>
    <w:p w14:paraId="1D4B1C1C" w14:textId="7918D291" w:rsidR="00EE501D" w:rsidRDefault="009F1D33" w:rsidP="00525BE0">
      <w:pPr>
        <w:pStyle w:val="Caption"/>
        <w:jc w:val="both"/>
        <w:sectPr w:rsidR="00EE501D" w:rsidSect="00A77C56">
          <w:pgSz w:w="16838" w:h="11906" w:orient="landscape"/>
          <w:pgMar w:top="1440" w:right="1440" w:bottom="1440" w:left="1440" w:header="708" w:footer="708" w:gutter="0"/>
          <w:cols w:space="708"/>
          <w:docGrid w:linePitch="360"/>
        </w:sectPr>
      </w:pPr>
      <w:bookmarkStart w:id="100" w:name="_Toc106181618"/>
      <w:r>
        <w:t xml:space="preserve">Figure </w:t>
      </w:r>
      <w:fldSimple w:instr=" SEQ Figure \* ARABIC ">
        <w:r w:rsidR="009175EA">
          <w:rPr>
            <w:noProof/>
          </w:rPr>
          <w:t>13</w:t>
        </w:r>
      </w:fldSimple>
      <w:r>
        <w:t xml:space="preserve">. </w:t>
      </w:r>
      <w:r w:rsidRPr="000C56A2">
        <w:t>Depiction of key aspects of refined programme theory. Adapted from J. A. Aunger, Millar, &amp; Greenhalgh (2021).</w:t>
      </w:r>
      <w:bookmarkEnd w:id="100"/>
    </w:p>
    <w:p w14:paraId="4992C2FC" w14:textId="77777777" w:rsidR="00EE501D" w:rsidRDefault="00EE501D" w:rsidP="00525BE0">
      <w:pPr>
        <w:pStyle w:val="Heading2"/>
        <w:jc w:val="both"/>
      </w:pPr>
      <w:bookmarkStart w:id="101" w:name="_Toc85066446"/>
      <w:r>
        <w:t>Theory refinement</w:t>
      </w:r>
      <w:bookmarkEnd w:id="101"/>
    </w:p>
    <w:p w14:paraId="1E4F239A" w14:textId="77777777" w:rsidR="00EE501D" w:rsidRDefault="00EE501D" w:rsidP="00525BE0">
      <w:pPr>
        <w:pStyle w:val="Heading3"/>
        <w:jc w:val="both"/>
      </w:pPr>
      <w:bookmarkStart w:id="102" w:name="_Toc85066447"/>
      <w:r>
        <w:t>Refining the CMOCs of collaborative functioning</w:t>
      </w:r>
      <w:bookmarkEnd w:id="102"/>
    </w:p>
    <w:p w14:paraId="5D158D8E" w14:textId="10E41292" w:rsidR="00EE501D" w:rsidRPr="00D12D4F" w:rsidRDefault="00EE501D" w:rsidP="00525BE0">
      <w:pPr>
        <w:spacing w:line="360" w:lineRule="auto"/>
        <w:jc w:val="both"/>
      </w:pPr>
      <w:r>
        <w:t>This refinement of our realist synthesis gave greater insight into how CMOCs are situated in the timeline of development of collaborations, which is how we have structured this section of the chapter. Additionally, it has given further insight into atemporal mechanisms (those mechanisms that can activate at any time) and how these affect the process of collaborat</w:t>
      </w:r>
      <w:r w:rsidR="00406346">
        <w:t xml:space="preserve">ing. This section will explain </w:t>
      </w:r>
      <w:r>
        <w:t>the various mechanisms of the refined theory, when they activate, and in response to which contextual factors.</w:t>
      </w:r>
    </w:p>
    <w:p w14:paraId="1EE46CC9" w14:textId="77777777" w:rsidR="00EE501D" w:rsidRDefault="00EE501D" w:rsidP="00525BE0">
      <w:pPr>
        <w:pStyle w:val="Heading4"/>
        <w:jc w:val="both"/>
      </w:pPr>
      <w:r>
        <w:t>CMOC Coding and establishment of CMOC chains, refinement of mechanisms</w:t>
      </w:r>
    </w:p>
    <w:p w14:paraId="16FF41A3" w14:textId="244C33F6" w:rsidR="001A2263" w:rsidRDefault="00EE501D" w:rsidP="00525BE0">
      <w:pPr>
        <w:spacing w:line="360" w:lineRule="auto"/>
        <w:jc w:val="both"/>
      </w:pPr>
      <w:r>
        <w:t xml:space="preserve">Extraction of CMOCs from included studies resulted in 338 CMOCs being identified, many of which were functionally identical and analogous to demi-regularities. The majority of these were explored in the prior section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xml:space="preserve">. As previously mentioned, coding of CMOCs was performed according to which mechanism a context activates. The below ‘initial mechanisms’ were used as preliminary deductive codes; however, these were updated as CMOCs with other mechanisms were identified in the literature (table </w:t>
      </w:r>
      <w:r w:rsidR="005A2F52">
        <w:t>7</w:t>
      </w:r>
      <w:r>
        <w:t xml:space="preserve">). By the end of the process, novel CMOCs were not being identified as they were all analogous to demi-regularities that had been already found. In terms of frequency, those most identified were CMOCs with trust or confidence as the mechanism, then ‘perception of progress’, faith, interpersonal communication and information sharing, task complexity, cultural assimilation, conflict, and clarity and sharedness of vision. For the sake of brevity and due to the complexity of inter-organisational collaboration, every CMOC and the contextual factor will not be explored here, but they can be found in </w:t>
      </w:r>
      <w:r w:rsidR="00D002B8" w:rsidRPr="00D002B8">
        <w:rPr>
          <w:color w:val="000000" w:themeColor="text1"/>
        </w:rPr>
        <w:t>Report Supplementary File 1</w:t>
      </w:r>
      <w:r w:rsidRPr="00D002B8">
        <w:rPr>
          <w:color w:val="000000" w:themeColor="text1"/>
        </w:rPr>
        <w:t xml:space="preserve"> </w:t>
      </w:r>
      <w:r>
        <w:t>along with the full table of CMOCs identified in each respective paper. In the refinement stage, some mechanisms from the gleaning phase were redesignated as parts of the contextual environment. These include leadership and power, which now form aspects of the contextual environment rather than being mechanisms in themselves.</w:t>
      </w:r>
    </w:p>
    <w:p w14:paraId="4F985CAB" w14:textId="5BDF8F8E" w:rsidR="00EE501D" w:rsidRPr="006533DB" w:rsidRDefault="00EE501D" w:rsidP="00525BE0">
      <w:pPr>
        <w:pStyle w:val="Caption"/>
        <w:keepNext/>
        <w:spacing w:line="360" w:lineRule="auto"/>
        <w:jc w:val="both"/>
      </w:pPr>
      <w:bookmarkStart w:id="103" w:name="_Toc106181511"/>
      <w:r>
        <w:t xml:space="preserve">Table </w:t>
      </w:r>
      <w:r w:rsidR="008802A5">
        <w:fldChar w:fldCharType="begin"/>
      </w:r>
      <w:r w:rsidR="008802A5">
        <w:instrText xml:space="preserve"> SEQ Table \* ARABIC </w:instrText>
      </w:r>
      <w:r w:rsidR="008802A5">
        <w:fldChar w:fldCharType="separate"/>
      </w:r>
      <w:r w:rsidR="003B1A8C">
        <w:rPr>
          <w:noProof/>
        </w:rPr>
        <w:t>7</w:t>
      </w:r>
      <w:r w:rsidR="008802A5">
        <w:rPr>
          <w:noProof/>
        </w:rPr>
        <w:fldChar w:fldCharType="end"/>
      </w:r>
      <w:r>
        <w:t xml:space="preserve">. Refined mechanisms, an explanation of these mechanisms, and which outcome these mechanisms typically produce. Adapted from </w:t>
      </w:r>
      <w:r>
        <w:fldChar w:fldCharType="begin" w:fldLock="1"/>
      </w:r>
      <w:r w:rsidR="006A5B59">
        <w:instrText>ADDIN CSL_CITATION {"citationItems":[{"id":"ITEM-1","itemData":{"DOI":"10.1186/s12913-021-06630-x","author":[{"dropping-particle":"","family":"Aunger","given":"Justin Avery","non-dropping-particle":"","parse-names":false,"suffix":""},{"dropping-particle":"","family":"Millar","given":"Ross","non-dropping-particle":"","parse-names":false,"suffix":""},{"dropping-particle":"","family":"Greenhalgh","given":"Joanne","non-dropping-particle":"","parse-names":false,"suffix":""}],"container-title":"BMC Health Services Research","id":"ITEM-1","issue":"602","issued":{"date-parts":[["2021"]]},"title":"When trust, confidence, and faith collide: refining a realist theory of how and why inter-organisational collaborations in healthcare work","type":"article-journal","volume":"21"},"uris":["http://www.mendeley.com/documents/?uuid=09b12ed0-f45f-442a-9890-205c3566f0e8"]}],"mendeley":{"formattedCitation":"&lt;sup&gt;135&lt;/sup&gt;","manualFormatting":"J. A. Aunger, Millar, &amp; Greenhalgh (2021)","plainTextFormattedCitation":"135","previouslyFormattedCitation":"&lt;sup&gt;135&lt;/sup&gt;"},"properties":{"noteIndex":0},"schema":"https://github.com/citation-style-language/schema/raw/master/csl-citation.json"}</w:instrText>
      </w:r>
      <w:r>
        <w:fldChar w:fldCharType="separate"/>
      </w:r>
      <w:r w:rsidRPr="00A46B6F">
        <w:rPr>
          <w:i w:val="0"/>
          <w:noProof/>
        </w:rPr>
        <w:t>J. A. Aunger, Millar, &amp; Greenhalgh</w:t>
      </w:r>
      <w:r>
        <w:rPr>
          <w:i w:val="0"/>
          <w:noProof/>
        </w:rPr>
        <w:t xml:space="preserve"> (</w:t>
      </w:r>
      <w:r w:rsidRPr="00A46B6F">
        <w:rPr>
          <w:i w:val="0"/>
          <w:noProof/>
        </w:rPr>
        <w:t>2021)</w:t>
      </w:r>
      <w:bookmarkEnd w:id="103"/>
      <w:r>
        <w:fldChar w:fldCharType="end"/>
      </w:r>
    </w:p>
    <w:tbl>
      <w:tblPr>
        <w:tblStyle w:val="TableGrid"/>
        <w:tblW w:w="9958" w:type="dxa"/>
        <w:tblLook w:val="04A0" w:firstRow="1" w:lastRow="0" w:firstColumn="1" w:lastColumn="0" w:noHBand="0" w:noVBand="1"/>
      </w:tblPr>
      <w:tblGrid>
        <w:gridCol w:w="2830"/>
        <w:gridCol w:w="5102"/>
        <w:gridCol w:w="2026"/>
      </w:tblGrid>
      <w:tr w:rsidR="00EE501D" w14:paraId="5B1552BB" w14:textId="77777777" w:rsidTr="00A77C56">
        <w:trPr>
          <w:trHeight w:val="967"/>
        </w:trPr>
        <w:tc>
          <w:tcPr>
            <w:tcW w:w="2830" w:type="dxa"/>
          </w:tcPr>
          <w:p w14:paraId="2327E969" w14:textId="77777777" w:rsidR="00EE501D" w:rsidRPr="009603E1" w:rsidRDefault="00EE501D" w:rsidP="00525BE0">
            <w:pPr>
              <w:jc w:val="both"/>
              <w:rPr>
                <w:b/>
                <w:bCs/>
              </w:rPr>
            </w:pPr>
            <w:r>
              <w:rPr>
                <w:b/>
                <w:bCs/>
              </w:rPr>
              <w:t>Refined</w:t>
            </w:r>
            <w:r w:rsidRPr="009603E1">
              <w:rPr>
                <w:b/>
                <w:bCs/>
              </w:rPr>
              <w:t xml:space="preserve"> </w:t>
            </w:r>
            <w:r>
              <w:rPr>
                <w:b/>
                <w:bCs/>
              </w:rPr>
              <w:t>m</w:t>
            </w:r>
            <w:r w:rsidRPr="009603E1">
              <w:rPr>
                <w:b/>
                <w:bCs/>
              </w:rPr>
              <w:t>echanism</w:t>
            </w:r>
            <w:r>
              <w:rPr>
                <w:b/>
                <w:bCs/>
              </w:rPr>
              <w:t>s and their type</w:t>
            </w:r>
          </w:p>
        </w:tc>
        <w:tc>
          <w:tcPr>
            <w:tcW w:w="5102" w:type="dxa"/>
          </w:tcPr>
          <w:p w14:paraId="4D321A17" w14:textId="77777777" w:rsidR="00EE501D" w:rsidRDefault="00EE501D" w:rsidP="00525BE0">
            <w:pPr>
              <w:jc w:val="both"/>
              <w:rPr>
                <w:b/>
                <w:bCs/>
              </w:rPr>
            </w:pPr>
            <w:r>
              <w:rPr>
                <w:b/>
                <w:bCs/>
              </w:rPr>
              <w:t>Explanation</w:t>
            </w:r>
          </w:p>
        </w:tc>
        <w:tc>
          <w:tcPr>
            <w:tcW w:w="2026" w:type="dxa"/>
          </w:tcPr>
          <w:p w14:paraId="161FBFFF" w14:textId="77777777" w:rsidR="00EE501D" w:rsidRDefault="00EE501D" w:rsidP="00525BE0">
            <w:pPr>
              <w:jc w:val="both"/>
              <w:rPr>
                <w:b/>
                <w:bCs/>
              </w:rPr>
            </w:pPr>
            <w:r>
              <w:rPr>
                <w:b/>
                <w:bCs/>
              </w:rPr>
              <w:t>Most frequent outcome</w:t>
            </w:r>
          </w:p>
        </w:tc>
      </w:tr>
      <w:tr w:rsidR="00EE501D" w14:paraId="69FE071F" w14:textId="77777777" w:rsidTr="00A77C56">
        <w:trPr>
          <w:trHeight w:val="2220"/>
        </w:trPr>
        <w:tc>
          <w:tcPr>
            <w:tcW w:w="2830" w:type="dxa"/>
          </w:tcPr>
          <w:p w14:paraId="5C13B982" w14:textId="38E6380E" w:rsidR="00EE501D" w:rsidRPr="00FA5C81" w:rsidRDefault="00EE501D" w:rsidP="00525BE0">
            <w:pPr>
              <w:jc w:val="both"/>
              <w:rPr>
                <w:sz w:val="20"/>
                <w:szCs w:val="20"/>
              </w:rPr>
            </w:pPr>
            <w:r w:rsidRPr="00FA5C81">
              <w:rPr>
                <w:sz w:val="20"/>
                <w:szCs w:val="20"/>
              </w:rPr>
              <w:t>Effectiveness through collaboration: enabling innovation, reduced duplication of effort, sharing of best practices, increased access to resource, reduced gaps in services, increased influence over others</w:t>
            </w:r>
            <w:r w:rsidR="00636F8B">
              <w:rPr>
                <w:sz w:val="20"/>
                <w:szCs w:val="20"/>
              </w:rPr>
              <w:t xml:space="preserve"> (changes to resources, behaviours, &amp; mental processes)</w:t>
            </w:r>
          </w:p>
        </w:tc>
        <w:tc>
          <w:tcPr>
            <w:tcW w:w="5102" w:type="dxa"/>
          </w:tcPr>
          <w:p w14:paraId="7BC08771" w14:textId="77777777" w:rsidR="00EE501D" w:rsidRPr="00FA5C81" w:rsidRDefault="00EE501D" w:rsidP="00525BE0">
            <w:pPr>
              <w:jc w:val="both"/>
              <w:rPr>
                <w:sz w:val="20"/>
                <w:szCs w:val="20"/>
              </w:rPr>
            </w:pPr>
            <w:r w:rsidRPr="00FA5C81">
              <w:rPr>
                <w:sz w:val="20"/>
                <w:szCs w:val="20"/>
              </w:rPr>
              <w:t>The ‘ultimate outcomes’ that usually underlie actual improvements to key metrics of organisational performance</w:t>
            </w:r>
          </w:p>
        </w:tc>
        <w:tc>
          <w:tcPr>
            <w:tcW w:w="2026" w:type="dxa"/>
          </w:tcPr>
          <w:p w14:paraId="2418E460" w14:textId="77777777" w:rsidR="00EE501D" w:rsidRPr="00FA5C81" w:rsidRDefault="00EE501D" w:rsidP="00525BE0">
            <w:pPr>
              <w:jc w:val="both"/>
              <w:rPr>
                <w:sz w:val="20"/>
                <w:szCs w:val="20"/>
              </w:rPr>
            </w:pPr>
            <w:r w:rsidRPr="00FA5C81">
              <w:rPr>
                <w:sz w:val="20"/>
                <w:szCs w:val="20"/>
              </w:rPr>
              <w:t>n/a</w:t>
            </w:r>
          </w:p>
        </w:tc>
      </w:tr>
      <w:tr w:rsidR="00EE501D" w14:paraId="2B6DE5DF" w14:textId="77777777" w:rsidTr="00A77C56">
        <w:trPr>
          <w:trHeight w:val="1246"/>
        </w:trPr>
        <w:tc>
          <w:tcPr>
            <w:tcW w:w="2830" w:type="dxa"/>
          </w:tcPr>
          <w:p w14:paraId="51641EB5" w14:textId="77777777" w:rsidR="00EE501D" w:rsidRPr="00FA5C81" w:rsidRDefault="00EE501D" w:rsidP="00525BE0">
            <w:pPr>
              <w:jc w:val="both"/>
              <w:rPr>
                <w:sz w:val="20"/>
                <w:szCs w:val="20"/>
              </w:rPr>
            </w:pPr>
            <w:r w:rsidRPr="00FA5C81">
              <w:rPr>
                <w:sz w:val="20"/>
                <w:szCs w:val="20"/>
              </w:rPr>
              <w:t>Changes towards collaborative behaviour from competitive behaviour (behaviour)</w:t>
            </w:r>
          </w:p>
        </w:tc>
        <w:tc>
          <w:tcPr>
            <w:tcW w:w="5102" w:type="dxa"/>
          </w:tcPr>
          <w:p w14:paraId="08FAD58E" w14:textId="77777777" w:rsidR="00EE501D" w:rsidRPr="00FA5C81" w:rsidRDefault="00EE501D" w:rsidP="00525BE0">
            <w:pPr>
              <w:jc w:val="both"/>
              <w:rPr>
                <w:sz w:val="20"/>
                <w:szCs w:val="20"/>
              </w:rPr>
            </w:pPr>
            <w:r w:rsidRPr="00FA5C81">
              <w:rPr>
                <w:sz w:val="20"/>
                <w:szCs w:val="20"/>
              </w:rPr>
              <w:t>A move from competitive organisational behaviours to collaborative ones</w:t>
            </w:r>
          </w:p>
        </w:tc>
        <w:tc>
          <w:tcPr>
            <w:tcW w:w="2026" w:type="dxa"/>
          </w:tcPr>
          <w:p w14:paraId="19DF6D39" w14:textId="77777777" w:rsidR="00EE501D" w:rsidRPr="00FA5C81" w:rsidRDefault="00EE501D" w:rsidP="00525BE0">
            <w:pPr>
              <w:jc w:val="both"/>
              <w:rPr>
                <w:sz w:val="20"/>
                <w:szCs w:val="20"/>
              </w:rPr>
            </w:pPr>
            <w:r w:rsidRPr="00FA5C81">
              <w:rPr>
                <w:sz w:val="20"/>
                <w:szCs w:val="20"/>
              </w:rPr>
              <w:t>Collaborative effectiveness</w:t>
            </w:r>
          </w:p>
        </w:tc>
      </w:tr>
      <w:tr w:rsidR="00EE501D" w14:paraId="3F19C964" w14:textId="77777777" w:rsidTr="00A77C56">
        <w:trPr>
          <w:trHeight w:val="249"/>
        </w:trPr>
        <w:tc>
          <w:tcPr>
            <w:tcW w:w="2830" w:type="dxa"/>
          </w:tcPr>
          <w:p w14:paraId="32185E66" w14:textId="77777777" w:rsidR="00EE501D" w:rsidRPr="00FA5C81" w:rsidRDefault="00EE501D" w:rsidP="00525BE0">
            <w:pPr>
              <w:jc w:val="both"/>
              <w:rPr>
                <w:sz w:val="20"/>
                <w:szCs w:val="20"/>
              </w:rPr>
            </w:pPr>
            <w:r w:rsidRPr="00FA5C81">
              <w:rPr>
                <w:sz w:val="20"/>
                <w:szCs w:val="20"/>
              </w:rPr>
              <w:t>Risk threshold (cognitive process)</w:t>
            </w:r>
          </w:p>
        </w:tc>
        <w:tc>
          <w:tcPr>
            <w:tcW w:w="5102" w:type="dxa"/>
          </w:tcPr>
          <w:p w14:paraId="6BEA4658" w14:textId="77777777" w:rsidR="00EE501D" w:rsidRPr="00FA5C81" w:rsidRDefault="00EE501D" w:rsidP="00525BE0">
            <w:pPr>
              <w:jc w:val="both"/>
              <w:rPr>
                <w:sz w:val="20"/>
                <w:szCs w:val="20"/>
              </w:rPr>
            </w:pPr>
            <w:r w:rsidRPr="00FA5C81">
              <w:rPr>
                <w:sz w:val="20"/>
                <w:szCs w:val="20"/>
              </w:rPr>
              <w:t>How much risk an organisation is willing to take on with a collaborator</w:t>
            </w:r>
          </w:p>
        </w:tc>
        <w:tc>
          <w:tcPr>
            <w:tcW w:w="2026" w:type="dxa"/>
          </w:tcPr>
          <w:p w14:paraId="15998F43" w14:textId="77777777" w:rsidR="00EE501D" w:rsidRPr="00FA5C81" w:rsidRDefault="00EE501D" w:rsidP="00525BE0">
            <w:pPr>
              <w:jc w:val="both"/>
              <w:rPr>
                <w:sz w:val="20"/>
                <w:szCs w:val="20"/>
              </w:rPr>
            </w:pPr>
            <w:r w:rsidRPr="00FA5C81">
              <w:rPr>
                <w:sz w:val="20"/>
                <w:szCs w:val="20"/>
              </w:rPr>
              <w:t>Collaborative behaviour</w:t>
            </w:r>
          </w:p>
        </w:tc>
      </w:tr>
      <w:tr w:rsidR="00EE501D" w14:paraId="1325B15C" w14:textId="77777777" w:rsidTr="00A77C56">
        <w:trPr>
          <w:trHeight w:val="702"/>
        </w:trPr>
        <w:tc>
          <w:tcPr>
            <w:tcW w:w="2830" w:type="dxa"/>
          </w:tcPr>
          <w:p w14:paraId="5B4FE92D" w14:textId="77777777" w:rsidR="00EE501D" w:rsidRPr="00FA5C81" w:rsidRDefault="00EE501D" w:rsidP="00525BE0">
            <w:pPr>
              <w:jc w:val="both"/>
              <w:rPr>
                <w:sz w:val="20"/>
                <w:szCs w:val="20"/>
              </w:rPr>
            </w:pPr>
            <w:r w:rsidRPr="00FA5C81">
              <w:rPr>
                <w:sz w:val="20"/>
                <w:szCs w:val="20"/>
              </w:rPr>
              <w:t>Faith (cognitive process)</w:t>
            </w:r>
          </w:p>
        </w:tc>
        <w:tc>
          <w:tcPr>
            <w:tcW w:w="5102" w:type="dxa"/>
          </w:tcPr>
          <w:p w14:paraId="23B15A1C" w14:textId="77777777" w:rsidR="00EE501D" w:rsidRPr="00FA5C81" w:rsidRDefault="00EE501D" w:rsidP="00525BE0">
            <w:pPr>
              <w:jc w:val="both"/>
              <w:rPr>
                <w:sz w:val="20"/>
                <w:szCs w:val="20"/>
              </w:rPr>
            </w:pPr>
            <w:r w:rsidRPr="00FA5C81">
              <w:rPr>
                <w:sz w:val="20"/>
                <w:szCs w:val="20"/>
              </w:rPr>
              <w:t>A belief in the collaborative endeavour as a positive force and therefore a motivation to work on its goals</w:t>
            </w:r>
          </w:p>
        </w:tc>
        <w:tc>
          <w:tcPr>
            <w:tcW w:w="2026" w:type="dxa"/>
          </w:tcPr>
          <w:p w14:paraId="65DABA30" w14:textId="77777777" w:rsidR="00EE501D" w:rsidRPr="00FA5C81" w:rsidRDefault="00EE501D" w:rsidP="00525BE0">
            <w:pPr>
              <w:jc w:val="both"/>
              <w:rPr>
                <w:sz w:val="20"/>
                <w:szCs w:val="20"/>
              </w:rPr>
            </w:pPr>
            <w:r w:rsidRPr="00FA5C81">
              <w:rPr>
                <w:sz w:val="20"/>
                <w:szCs w:val="20"/>
              </w:rPr>
              <w:t>Collaborative behaviour</w:t>
            </w:r>
          </w:p>
        </w:tc>
      </w:tr>
      <w:tr w:rsidR="00EE501D" w14:paraId="4912BD8E" w14:textId="77777777" w:rsidTr="00A77C56">
        <w:trPr>
          <w:trHeight w:val="967"/>
        </w:trPr>
        <w:tc>
          <w:tcPr>
            <w:tcW w:w="2830" w:type="dxa"/>
          </w:tcPr>
          <w:p w14:paraId="2811DBCF" w14:textId="77777777" w:rsidR="00EE501D" w:rsidRPr="00FA5C81" w:rsidRDefault="00EE501D" w:rsidP="00525BE0">
            <w:pPr>
              <w:jc w:val="both"/>
              <w:rPr>
                <w:sz w:val="20"/>
                <w:szCs w:val="20"/>
              </w:rPr>
            </w:pPr>
            <w:r w:rsidRPr="00FA5C81">
              <w:rPr>
                <w:sz w:val="20"/>
                <w:szCs w:val="20"/>
              </w:rPr>
              <w:t>Perception of progress (cognitive process)</w:t>
            </w:r>
          </w:p>
        </w:tc>
        <w:tc>
          <w:tcPr>
            <w:tcW w:w="5102" w:type="dxa"/>
          </w:tcPr>
          <w:p w14:paraId="502A4F51" w14:textId="77777777" w:rsidR="00EE501D" w:rsidRPr="00FA5C81" w:rsidRDefault="00EE501D" w:rsidP="00525BE0">
            <w:pPr>
              <w:jc w:val="both"/>
              <w:rPr>
                <w:sz w:val="20"/>
                <w:szCs w:val="20"/>
              </w:rPr>
            </w:pPr>
            <w:r w:rsidRPr="00FA5C81">
              <w:rPr>
                <w:sz w:val="20"/>
                <w:szCs w:val="20"/>
              </w:rPr>
              <w:t>Whether actors perceive advancement towards the goals of the collaboration</w:t>
            </w:r>
          </w:p>
        </w:tc>
        <w:tc>
          <w:tcPr>
            <w:tcW w:w="2026" w:type="dxa"/>
          </w:tcPr>
          <w:p w14:paraId="0231BC55" w14:textId="77777777" w:rsidR="00EE501D" w:rsidRPr="00FA5C81" w:rsidRDefault="00EE501D" w:rsidP="00525BE0">
            <w:pPr>
              <w:jc w:val="both"/>
              <w:rPr>
                <w:sz w:val="20"/>
                <w:szCs w:val="20"/>
              </w:rPr>
            </w:pPr>
            <w:r w:rsidRPr="00FA5C81">
              <w:rPr>
                <w:sz w:val="20"/>
                <w:szCs w:val="20"/>
              </w:rPr>
              <w:t>Faith</w:t>
            </w:r>
          </w:p>
        </w:tc>
      </w:tr>
      <w:tr w:rsidR="00EE501D" w14:paraId="3BC72454" w14:textId="77777777" w:rsidTr="00A77C56">
        <w:trPr>
          <w:trHeight w:val="748"/>
        </w:trPr>
        <w:tc>
          <w:tcPr>
            <w:tcW w:w="2830" w:type="dxa"/>
          </w:tcPr>
          <w:p w14:paraId="6EFEBEA9" w14:textId="77777777" w:rsidR="00EE501D" w:rsidRPr="00FA5C81" w:rsidRDefault="00EE501D" w:rsidP="00525BE0">
            <w:pPr>
              <w:jc w:val="both"/>
              <w:rPr>
                <w:sz w:val="20"/>
                <w:szCs w:val="20"/>
              </w:rPr>
            </w:pPr>
            <w:r w:rsidRPr="00FA5C81">
              <w:rPr>
                <w:sz w:val="20"/>
                <w:szCs w:val="20"/>
              </w:rPr>
              <w:t>Conflict (cognitive process)</w:t>
            </w:r>
          </w:p>
        </w:tc>
        <w:tc>
          <w:tcPr>
            <w:tcW w:w="5102" w:type="dxa"/>
          </w:tcPr>
          <w:p w14:paraId="3DE55494" w14:textId="77777777" w:rsidR="00EE501D" w:rsidRPr="00FA5C81" w:rsidRDefault="00EE501D" w:rsidP="00525BE0">
            <w:pPr>
              <w:jc w:val="both"/>
              <w:rPr>
                <w:sz w:val="20"/>
                <w:szCs w:val="20"/>
              </w:rPr>
            </w:pPr>
            <w:r w:rsidRPr="00FA5C81">
              <w:rPr>
                <w:sz w:val="20"/>
                <w:szCs w:val="20"/>
              </w:rPr>
              <w:t>The perception by organisational actors that they are in opposition to collaborators in some way</w:t>
            </w:r>
          </w:p>
        </w:tc>
        <w:tc>
          <w:tcPr>
            <w:tcW w:w="2026" w:type="dxa"/>
          </w:tcPr>
          <w:p w14:paraId="21EA7CEC" w14:textId="77777777" w:rsidR="00EE501D" w:rsidRPr="00FA5C81" w:rsidRDefault="00EE501D" w:rsidP="00525BE0">
            <w:pPr>
              <w:jc w:val="both"/>
              <w:rPr>
                <w:sz w:val="20"/>
                <w:szCs w:val="20"/>
              </w:rPr>
            </w:pPr>
            <w:r w:rsidRPr="00FA5C81">
              <w:rPr>
                <w:sz w:val="20"/>
                <w:szCs w:val="20"/>
              </w:rPr>
              <w:t>Trust</w:t>
            </w:r>
          </w:p>
        </w:tc>
      </w:tr>
      <w:tr w:rsidR="00EE501D" w14:paraId="5213CDD6" w14:textId="77777777" w:rsidTr="00A77C56">
        <w:trPr>
          <w:trHeight w:val="1229"/>
        </w:trPr>
        <w:tc>
          <w:tcPr>
            <w:tcW w:w="2830" w:type="dxa"/>
          </w:tcPr>
          <w:p w14:paraId="61C98600" w14:textId="77777777" w:rsidR="00EE501D" w:rsidRPr="00FA5C81" w:rsidRDefault="00EE501D" w:rsidP="00525BE0">
            <w:pPr>
              <w:jc w:val="both"/>
              <w:rPr>
                <w:sz w:val="20"/>
                <w:szCs w:val="20"/>
              </w:rPr>
            </w:pPr>
            <w:r w:rsidRPr="00FA5C81">
              <w:rPr>
                <w:sz w:val="20"/>
                <w:szCs w:val="20"/>
              </w:rPr>
              <w:t>Approach to conflict resolution and accountability (cognitive processes)</w:t>
            </w:r>
          </w:p>
        </w:tc>
        <w:tc>
          <w:tcPr>
            <w:tcW w:w="5102" w:type="dxa"/>
          </w:tcPr>
          <w:p w14:paraId="0B26A5E4" w14:textId="77777777" w:rsidR="00EE501D" w:rsidRPr="00FA5C81" w:rsidRDefault="00EE501D" w:rsidP="00525BE0">
            <w:pPr>
              <w:jc w:val="both"/>
              <w:rPr>
                <w:sz w:val="20"/>
                <w:szCs w:val="20"/>
              </w:rPr>
            </w:pPr>
            <w:r w:rsidRPr="00FA5C81">
              <w:rPr>
                <w:sz w:val="20"/>
                <w:szCs w:val="20"/>
              </w:rPr>
              <w:t>Processes and attitudes in place that lessen the severity of conflict</w:t>
            </w:r>
          </w:p>
        </w:tc>
        <w:tc>
          <w:tcPr>
            <w:tcW w:w="2026" w:type="dxa"/>
          </w:tcPr>
          <w:p w14:paraId="64B6C0EA" w14:textId="77777777" w:rsidR="00EE501D" w:rsidRPr="00FA5C81" w:rsidRDefault="00EE501D" w:rsidP="00525BE0">
            <w:pPr>
              <w:jc w:val="both"/>
              <w:rPr>
                <w:sz w:val="20"/>
                <w:szCs w:val="20"/>
              </w:rPr>
            </w:pPr>
            <w:r w:rsidRPr="00FA5C81">
              <w:rPr>
                <w:sz w:val="20"/>
                <w:szCs w:val="20"/>
              </w:rPr>
              <w:t>Conflict</w:t>
            </w:r>
          </w:p>
        </w:tc>
      </w:tr>
      <w:tr w:rsidR="00EE501D" w14:paraId="4328FA2E" w14:textId="77777777" w:rsidTr="00A77C56">
        <w:trPr>
          <w:trHeight w:val="1125"/>
        </w:trPr>
        <w:tc>
          <w:tcPr>
            <w:tcW w:w="2830" w:type="dxa"/>
          </w:tcPr>
          <w:p w14:paraId="5CCC7C1B" w14:textId="77777777" w:rsidR="00EE501D" w:rsidRPr="00FA5C81" w:rsidRDefault="00EE501D" w:rsidP="00525BE0">
            <w:pPr>
              <w:jc w:val="both"/>
              <w:rPr>
                <w:sz w:val="20"/>
                <w:szCs w:val="20"/>
              </w:rPr>
            </w:pPr>
            <w:r w:rsidRPr="00FA5C81">
              <w:rPr>
                <w:sz w:val="20"/>
                <w:szCs w:val="20"/>
              </w:rPr>
              <w:t>Trust (cognitive process)</w:t>
            </w:r>
          </w:p>
        </w:tc>
        <w:tc>
          <w:tcPr>
            <w:tcW w:w="5102" w:type="dxa"/>
          </w:tcPr>
          <w:p w14:paraId="2BC21132" w14:textId="5E14F03C" w:rsidR="00EE501D" w:rsidRPr="00FA5C81" w:rsidRDefault="00EE501D" w:rsidP="00525BE0">
            <w:pPr>
              <w:jc w:val="both"/>
              <w:rPr>
                <w:sz w:val="20"/>
                <w:szCs w:val="20"/>
              </w:rPr>
            </w:pPr>
            <w:r w:rsidRPr="00FA5C81">
              <w:rPr>
                <w:i/>
                <w:sz w:val="20"/>
                <w:szCs w:val="20"/>
              </w:rPr>
              <w:t>“A psychological state comprising the intention to accept vulnerability based upon positive expectations of the intentions or behaviour of another</w:t>
            </w:r>
            <w:r w:rsidRPr="00FA5C81">
              <w:rPr>
                <w:iCs/>
                <w:sz w:val="20"/>
                <w:szCs w:val="20"/>
              </w:rPr>
              <w:t xml:space="preserve">” </w:t>
            </w:r>
            <w:r w:rsidRPr="00FA5C81">
              <w:rPr>
                <w:iCs/>
                <w:sz w:val="20"/>
                <w:szCs w:val="20"/>
              </w:rPr>
              <w:fldChar w:fldCharType="begin" w:fldLock="1"/>
            </w:r>
            <w:r w:rsidR="00EA4B53">
              <w:rPr>
                <w:iCs/>
                <w:sz w:val="20"/>
                <w:szCs w:val="20"/>
              </w:rPr>
              <w:instrText>ADDIN CSL_CITATION {"citationItems":[{"id":"ITEM-1","itemData":{"DOI":"10.5465/AMR.1998.926617","ISSN":"03637425","author":[{"dropping-particle":"","family":"Rousseau","given":"Denise M.","non-dropping-particle":"","parse-names":false,"suffix":""},{"dropping-particle":"","family":"Sitkin","given":"Sim B.","non-dropping-particle":"","parse-names":false,"suffix":""},{"dropping-particle":"","family":"Burt","given":"Ronald S.","non-dropping-particle":"","parse-names":false,"suffix":""},{"dropping-particle":"","family":"Camerer","given":"Colin","non-dropping-particle":"","parse-names":false,"suffix":""}],"container-title":"Academy of Management Review","id":"ITEM-1","issued":{"date-parts":[["1998"]]},"title":"Not so different after all: A cross-discipline view of trust","type":"article"},"locator":"395","uris":["http://www.mendeley.com/documents/?uuid=3a5fd70b-1466-441b-a810-5c2f8f2f3abf"]}],"mendeley":{"formattedCitation":"&lt;sup&gt;212&lt;/sup&gt;","plainTextFormattedCitation":"212","previouslyFormattedCitation":"&lt;sup&gt;212&lt;/sup&gt;"},"properties":{"noteIndex":0},"schema":"https://github.com/citation-style-language/schema/raw/master/csl-citation.json"}</w:instrText>
            </w:r>
            <w:r w:rsidRPr="00FA5C81">
              <w:rPr>
                <w:iCs/>
                <w:sz w:val="20"/>
                <w:szCs w:val="20"/>
              </w:rPr>
              <w:fldChar w:fldCharType="separate"/>
            </w:r>
            <w:r w:rsidR="00E25884" w:rsidRPr="00E25884">
              <w:rPr>
                <w:iCs/>
                <w:noProof/>
                <w:sz w:val="20"/>
                <w:szCs w:val="20"/>
                <w:vertAlign w:val="superscript"/>
              </w:rPr>
              <w:t>212</w:t>
            </w:r>
            <w:r w:rsidRPr="00FA5C81">
              <w:rPr>
                <w:iCs/>
                <w:sz w:val="20"/>
                <w:szCs w:val="20"/>
              </w:rPr>
              <w:fldChar w:fldCharType="end"/>
            </w:r>
            <w:r w:rsidRPr="00FA5C81">
              <w:rPr>
                <w:iCs/>
                <w:sz w:val="20"/>
                <w:szCs w:val="20"/>
              </w:rPr>
              <w:t>.</w:t>
            </w:r>
          </w:p>
        </w:tc>
        <w:tc>
          <w:tcPr>
            <w:tcW w:w="2026" w:type="dxa"/>
          </w:tcPr>
          <w:p w14:paraId="4F1A6888" w14:textId="77777777" w:rsidR="00EE501D" w:rsidRPr="00FA5C81" w:rsidRDefault="00EE501D" w:rsidP="00525BE0">
            <w:pPr>
              <w:jc w:val="both"/>
              <w:rPr>
                <w:iCs/>
                <w:sz w:val="20"/>
                <w:szCs w:val="20"/>
              </w:rPr>
            </w:pPr>
            <w:r w:rsidRPr="00FA5C81">
              <w:rPr>
                <w:iCs/>
                <w:sz w:val="20"/>
                <w:szCs w:val="20"/>
              </w:rPr>
              <w:t>Risk threshold</w:t>
            </w:r>
          </w:p>
        </w:tc>
      </w:tr>
      <w:tr w:rsidR="00EE501D" w14:paraId="4278827C" w14:textId="77777777" w:rsidTr="00A77C56">
        <w:trPr>
          <w:trHeight w:val="468"/>
        </w:trPr>
        <w:tc>
          <w:tcPr>
            <w:tcW w:w="2830" w:type="dxa"/>
          </w:tcPr>
          <w:p w14:paraId="16128936" w14:textId="77777777" w:rsidR="00EE501D" w:rsidRPr="00FA5C81" w:rsidRDefault="00EE501D" w:rsidP="00525BE0">
            <w:pPr>
              <w:jc w:val="both"/>
              <w:rPr>
                <w:sz w:val="20"/>
                <w:szCs w:val="20"/>
              </w:rPr>
            </w:pPr>
            <w:r w:rsidRPr="00FA5C81">
              <w:rPr>
                <w:sz w:val="20"/>
                <w:szCs w:val="20"/>
              </w:rPr>
              <w:t>Confidence (cognitive process)</w:t>
            </w:r>
          </w:p>
        </w:tc>
        <w:tc>
          <w:tcPr>
            <w:tcW w:w="5102" w:type="dxa"/>
          </w:tcPr>
          <w:p w14:paraId="60268F91" w14:textId="77777777" w:rsidR="00EE501D" w:rsidRPr="00FA5C81" w:rsidRDefault="00EE501D" w:rsidP="00525BE0">
            <w:pPr>
              <w:jc w:val="both"/>
              <w:rPr>
                <w:sz w:val="20"/>
                <w:szCs w:val="20"/>
              </w:rPr>
            </w:pPr>
            <w:r w:rsidRPr="00FA5C81">
              <w:rPr>
                <w:sz w:val="20"/>
                <w:szCs w:val="20"/>
              </w:rPr>
              <w:t>A belief that a collaborator will behave collaboratively due to contractual or other obligation</w:t>
            </w:r>
          </w:p>
        </w:tc>
        <w:tc>
          <w:tcPr>
            <w:tcW w:w="2026" w:type="dxa"/>
          </w:tcPr>
          <w:p w14:paraId="425E9B4C" w14:textId="77777777" w:rsidR="00EE501D" w:rsidRPr="00FA5C81" w:rsidRDefault="00EE501D" w:rsidP="00525BE0">
            <w:pPr>
              <w:jc w:val="both"/>
              <w:rPr>
                <w:sz w:val="20"/>
                <w:szCs w:val="20"/>
              </w:rPr>
            </w:pPr>
            <w:r w:rsidRPr="00FA5C81">
              <w:rPr>
                <w:sz w:val="20"/>
                <w:szCs w:val="20"/>
              </w:rPr>
              <w:t>Risk threshold</w:t>
            </w:r>
          </w:p>
        </w:tc>
      </w:tr>
      <w:tr w:rsidR="00EE501D" w14:paraId="03915983" w14:textId="77777777" w:rsidTr="00A77C56">
        <w:trPr>
          <w:trHeight w:val="628"/>
        </w:trPr>
        <w:tc>
          <w:tcPr>
            <w:tcW w:w="2830" w:type="dxa"/>
          </w:tcPr>
          <w:p w14:paraId="24329AA7" w14:textId="77777777" w:rsidR="00EE501D" w:rsidRPr="00FA5C81" w:rsidRDefault="00EE501D" w:rsidP="00525BE0">
            <w:pPr>
              <w:jc w:val="both"/>
              <w:rPr>
                <w:sz w:val="20"/>
                <w:szCs w:val="20"/>
              </w:rPr>
            </w:pPr>
            <w:r w:rsidRPr="00FA5C81">
              <w:rPr>
                <w:sz w:val="20"/>
                <w:szCs w:val="20"/>
              </w:rPr>
              <w:t>Initial trust (cognitive process)</w:t>
            </w:r>
          </w:p>
        </w:tc>
        <w:tc>
          <w:tcPr>
            <w:tcW w:w="5102" w:type="dxa"/>
          </w:tcPr>
          <w:p w14:paraId="4463B6B5" w14:textId="77777777" w:rsidR="00EE501D" w:rsidRPr="00FA5C81" w:rsidRDefault="00EE501D" w:rsidP="00525BE0">
            <w:pPr>
              <w:jc w:val="both"/>
              <w:rPr>
                <w:sz w:val="20"/>
                <w:szCs w:val="20"/>
              </w:rPr>
            </w:pPr>
            <w:r w:rsidRPr="00FA5C81">
              <w:rPr>
                <w:sz w:val="20"/>
                <w:szCs w:val="20"/>
              </w:rPr>
              <w:t>Trust that manifests as a result of pre-existing contextual factors</w:t>
            </w:r>
          </w:p>
        </w:tc>
        <w:tc>
          <w:tcPr>
            <w:tcW w:w="2026" w:type="dxa"/>
          </w:tcPr>
          <w:p w14:paraId="406526E1" w14:textId="77777777" w:rsidR="00EE501D" w:rsidRPr="00FA5C81" w:rsidRDefault="00EE501D" w:rsidP="00525BE0">
            <w:pPr>
              <w:jc w:val="both"/>
              <w:rPr>
                <w:sz w:val="20"/>
                <w:szCs w:val="20"/>
              </w:rPr>
            </w:pPr>
            <w:r w:rsidRPr="00FA5C81">
              <w:rPr>
                <w:sz w:val="20"/>
                <w:szCs w:val="20"/>
              </w:rPr>
              <w:t>Trust</w:t>
            </w:r>
          </w:p>
        </w:tc>
      </w:tr>
      <w:tr w:rsidR="00EE501D" w14:paraId="0B13BDA4" w14:textId="77777777" w:rsidTr="00A77C56">
        <w:trPr>
          <w:trHeight w:val="671"/>
        </w:trPr>
        <w:tc>
          <w:tcPr>
            <w:tcW w:w="2830" w:type="dxa"/>
          </w:tcPr>
          <w:p w14:paraId="7A23ACE9" w14:textId="77777777" w:rsidR="00EE501D" w:rsidRPr="00FA5C81" w:rsidRDefault="00EE501D" w:rsidP="00525BE0">
            <w:pPr>
              <w:jc w:val="both"/>
              <w:rPr>
                <w:sz w:val="20"/>
                <w:szCs w:val="20"/>
              </w:rPr>
            </w:pPr>
            <w:r w:rsidRPr="00FA5C81">
              <w:rPr>
                <w:sz w:val="20"/>
                <w:szCs w:val="20"/>
              </w:rPr>
              <w:t>Cultural assimilation (cognitive process)</w:t>
            </w:r>
          </w:p>
        </w:tc>
        <w:tc>
          <w:tcPr>
            <w:tcW w:w="5102" w:type="dxa"/>
          </w:tcPr>
          <w:p w14:paraId="45AD5AEF" w14:textId="77777777" w:rsidR="00EE501D" w:rsidRPr="00FA5C81" w:rsidRDefault="00EE501D" w:rsidP="00525BE0">
            <w:pPr>
              <w:jc w:val="both"/>
              <w:rPr>
                <w:sz w:val="20"/>
                <w:szCs w:val="20"/>
              </w:rPr>
            </w:pPr>
            <w:r w:rsidRPr="00FA5C81">
              <w:rPr>
                <w:sz w:val="20"/>
                <w:szCs w:val="20"/>
              </w:rPr>
              <w:t>How well actors between organisations are aligning in terms of attitudes and behaviours</w:t>
            </w:r>
          </w:p>
        </w:tc>
        <w:tc>
          <w:tcPr>
            <w:tcW w:w="2026" w:type="dxa"/>
          </w:tcPr>
          <w:p w14:paraId="26865912" w14:textId="77777777" w:rsidR="00EE501D" w:rsidRPr="00FA5C81" w:rsidRDefault="00EE501D" w:rsidP="00525BE0">
            <w:pPr>
              <w:jc w:val="both"/>
              <w:rPr>
                <w:sz w:val="20"/>
                <w:szCs w:val="20"/>
              </w:rPr>
            </w:pPr>
            <w:r w:rsidRPr="00FA5C81">
              <w:rPr>
                <w:sz w:val="20"/>
                <w:szCs w:val="20"/>
              </w:rPr>
              <w:t>Trust</w:t>
            </w:r>
          </w:p>
        </w:tc>
      </w:tr>
      <w:tr w:rsidR="00EE501D" w14:paraId="462C0AE1" w14:textId="77777777" w:rsidTr="00A77C56">
        <w:trPr>
          <w:trHeight w:val="1246"/>
        </w:trPr>
        <w:tc>
          <w:tcPr>
            <w:tcW w:w="2830" w:type="dxa"/>
          </w:tcPr>
          <w:p w14:paraId="0F5EF59A" w14:textId="77777777" w:rsidR="00EE501D" w:rsidRPr="00FA5C81" w:rsidRDefault="00EE501D" w:rsidP="00525BE0">
            <w:pPr>
              <w:jc w:val="both"/>
              <w:rPr>
                <w:sz w:val="20"/>
                <w:szCs w:val="20"/>
              </w:rPr>
            </w:pPr>
            <w:r w:rsidRPr="00FA5C81">
              <w:rPr>
                <w:sz w:val="20"/>
                <w:szCs w:val="20"/>
              </w:rPr>
              <w:t>Interpersonal communication &amp; information sharing (behaviour)</w:t>
            </w:r>
          </w:p>
        </w:tc>
        <w:tc>
          <w:tcPr>
            <w:tcW w:w="5102" w:type="dxa"/>
          </w:tcPr>
          <w:p w14:paraId="4900D130" w14:textId="77777777" w:rsidR="00EE501D" w:rsidRPr="00FA5C81" w:rsidRDefault="00EE501D" w:rsidP="00525BE0">
            <w:pPr>
              <w:jc w:val="both"/>
              <w:rPr>
                <w:sz w:val="20"/>
                <w:szCs w:val="20"/>
              </w:rPr>
            </w:pPr>
            <w:r w:rsidRPr="00FA5C81">
              <w:rPr>
                <w:sz w:val="20"/>
                <w:szCs w:val="20"/>
              </w:rPr>
              <w:t>The behaviour of communicating and sharing information</w:t>
            </w:r>
          </w:p>
        </w:tc>
        <w:tc>
          <w:tcPr>
            <w:tcW w:w="2026" w:type="dxa"/>
          </w:tcPr>
          <w:p w14:paraId="3F65F9C7" w14:textId="77777777" w:rsidR="00EE501D" w:rsidRPr="00FA5C81" w:rsidRDefault="00EE501D" w:rsidP="00525BE0">
            <w:pPr>
              <w:jc w:val="both"/>
              <w:rPr>
                <w:sz w:val="20"/>
                <w:szCs w:val="20"/>
              </w:rPr>
            </w:pPr>
            <w:r w:rsidRPr="00FA5C81">
              <w:rPr>
                <w:sz w:val="20"/>
                <w:szCs w:val="20"/>
              </w:rPr>
              <w:t>Trust</w:t>
            </w:r>
          </w:p>
        </w:tc>
      </w:tr>
      <w:tr w:rsidR="00EE501D" w14:paraId="60562CF0" w14:textId="77777777" w:rsidTr="00A77C56">
        <w:trPr>
          <w:trHeight w:val="967"/>
        </w:trPr>
        <w:tc>
          <w:tcPr>
            <w:tcW w:w="2830" w:type="dxa"/>
          </w:tcPr>
          <w:p w14:paraId="22AA2D6F" w14:textId="77777777" w:rsidR="00EE501D" w:rsidRPr="00FA5C81" w:rsidRDefault="00EE501D" w:rsidP="00525BE0">
            <w:pPr>
              <w:jc w:val="both"/>
              <w:rPr>
                <w:sz w:val="20"/>
                <w:szCs w:val="20"/>
              </w:rPr>
            </w:pPr>
            <w:r w:rsidRPr="00FA5C81">
              <w:rPr>
                <w:sz w:val="20"/>
                <w:szCs w:val="20"/>
              </w:rPr>
              <w:t>Perception of task complexity/initial faith (cognitive process)</w:t>
            </w:r>
          </w:p>
        </w:tc>
        <w:tc>
          <w:tcPr>
            <w:tcW w:w="5102" w:type="dxa"/>
          </w:tcPr>
          <w:p w14:paraId="759DD10A" w14:textId="77777777" w:rsidR="00EE501D" w:rsidRPr="00FA5C81" w:rsidRDefault="00EE501D" w:rsidP="00525BE0">
            <w:pPr>
              <w:jc w:val="both"/>
              <w:rPr>
                <w:sz w:val="20"/>
                <w:szCs w:val="20"/>
              </w:rPr>
            </w:pPr>
            <w:r w:rsidRPr="00FA5C81">
              <w:rPr>
                <w:sz w:val="20"/>
                <w:szCs w:val="20"/>
              </w:rPr>
              <w:t>How complex actors perceive the collaborative endeavour to be</w:t>
            </w:r>
          </w:p>
        </w:tc>
        <w:tc>
          <w:tcPr>
            <w:tcW w:w="2026" w:type="dxa"/>
          </w:tcPr>
          <w:p w14:paraId="4269650B" w14:textId="77777777" w:rsidR="00EE501D" w:rsidRPr="00FA5C81" w:rsidRDefault="00EE501D" w:rsidP="00525BE0">
            <w:pPr>
              <w:jc w:val="both"/>
              <w:rPr>
                <w:sz w:val="20"/>
                <w:szCs w:val="20"/>
              </w:rPr>
            </w:pPr>
            <w:r w:rsidRPr="00FA5C81">
              <w:rPr>
                <w:sz w:val="20"/>
                <w:szCs w:val="20"/>
              </w:rPr>
              <w:t>Faith</w:t>
            </w:r>
          </w:p>
        </w:tc>
      </w:tr>
      <w:tr w:rsidR="00EE501D" w14:paraId="316C8839" w14:textId="77777777" w:rsidTr="00A77C56">
        <w:trPr>
          <w:trHeight w:val="467"/>
        </w:trPr>
        <w:tc>
          <w:tcPr>
            <w:tcW w:w="2830" w:type="dxa"/>
          </w:tcPr>
          <w:p w14:paraId="6506DA23" w14:textId="77777777" w:rsidR="00EE501D" w:rsidRPr="00FA5C81" w:rsidRDefault="00EE501D" w:rsidP="00525BE0">
            <w:pPr>
              <w:jc w:val="both"/>
              <w:rPr>
                <w:sz w:val="20"/>
                <w:szCs w:val="20"/>
              </w:rPr>
            </w:pPr>
            <w:r w:rsidRPr="00FA5C81">
              <w:rPr>
                <w:sz w:val="20"/>
                <w:szCs w:val="20"/>
              </w:rPr>
              <w:t>Clarity and sharedness of vision (cognitive process)</w:t>
            </w:r>
          </w:p>
        </w:tc>
        <w:tc>
          <w:tcPr>
            <w:tcW w:w="5102" w:type="dxa"/>
          </w:tcPr>
          <w:p w14:paraId="52EB6095" w14:textId="77777777" w:rsidR="00EE501D" w:rsidRPr="00FA5C81" w:rsidRDefault="00EE501D" w:rsidP="00525BE0">
            <w:pPr>
              <w:jc w:val="both"/>
              <w:rPr>
                <w:sz w:val="20"/>
                <w:szCs w:val="20"/>
              </w:rPr>
            </w:pPr>
            <w:r w:rsidRPr="00FA5C81">
              <w:rPr>
                <w:sz w:val="20"/>
                <w:szCs w:val="20"/>
              </w:rPr>
              <w:t xml:space="preserve">How well-defined and to what extent the vision between partners is agreed-upon </w:t>
            </w:r>
          </w:p>
        </w:tc>
        <w:tc>
          <w:tcPr>
            <w:tcW w:w="2026" w:type="dxa"/>
          </w:tcPr>
          <w:p w14:paraId="2AE5153D" w14:textId="77777777" w:rsidR="00EE501D" w:rsidRPr="00FA5C81" w:rsidRDefault="00EE501D" w:rsidP="00525BE0">
            <w:pPr>
              <w:jc w:val="both"/>
              <w:rPr>
                <w:sz w:val="20"/>
                <w:szCs w:val="20"/>
              </w:rPr>
            </w:pPr>
            <w:r w:rsidRPr="00FA5C81">
              <w:rPr>
                <w:sz w:val="20"/>
                <w:szCs w:val="20"/>
              </w:rPr>
              <w:t>Trust</w:t>
            </w:r>
          </w:p>
        </w:tc>
      </w:tr>
      <w:tr w:rsidR="00EE501D" w14:paraId="2EFB5D87" w14:textId="77777777" w:rsidTr="00A77C56">
        <w:trPr>
          <w:trHeight w:val="950"/>
        </w:trPr>
        <w:tc>
          <w:tcPr>
            <w:tcW w:w="2830" w:type="dxa"/>
          </w:tcPr>
          <w:p w14:paraId="2BB2BBFD" w14:textId="77777777" w:rsidR="00EE501D" w:rsidRPr="00FA5C81" w:rsidRDefault="00EE501D" w:rsidP="00525BE0">
            <w:pPr>
              <w:jc w:val="both"/>
              <w:rPr>
                <w:sz w:val="20"/>
                <w:szCs w:val="20"/>
              </w:rPr>
            </w:pPr>
            <w:r w:rsidRPr="00FA5C81">
              <w:rPr>
                <w:sz w:val="20"/>
                <w:szCs w:val="20"/>
              </w:rPr>
              <w:t>Perceived legitimacy of collaboration (cognitive process)</w:t>
            </w:r>
          </w:p>
        </w:tc>
        <w:tc>
          <w:tcPr>
            <w:tcW w:w="5102" w:type="dxa"/>
          </w:tcPr>
          <w:p w14:paraId="02E2A51E" w14:textId="77777777" w:rsidR="00EE501D" w:rsidRPr="00FA5C81" w:rsidRDefault="00EE501D" w:rsidP="00525BE0">
            <w:pPr>
              <w:jc w:val="both"/>
              <w:rPr>
                <w:sz w:val="20"/>
                <w:szCs w:val="20"/>
              </w:rPr>
            </w:pPr>
            <w:r w:rsidRPr="00FA5C81">
              <w:rPr>
                <w:sz w:val="20"/>
                <w:szCs w:val="20"/>
              </w:rPr>
              <w:t>How actors perceive the collaboration in terms of its authenticity</w:t>
            </w:r>
          </w:p>
        </w:tc>
        <w:tc>
          <w:tcPr>
            <w:tcW w:w="2026" w:type="dxa"/>
          </w:tcPr>
          <w:p w14:paraId="4BE518F5" w14:textId="77777777" w:rsidR="00EE501D" w:rsidRPr="00FA5C81" w:rsidRDefault="00EE501D" w:rsidP="00525BE0">
            <w:pPr>
              <w:jc w:val="both"/>
              <w:rPr>
                <w:sz w:val="20"/>
                <w:szCs w:val="20"/>
              </w:rPr>
            </w:pPr>
            <w:r w:rsidRPr="00FA5C81">
              <w:rPr>
                <w:sz w:val="20"/>
                <w:szCs w:val="20"/>
              </w:rPr>
              <w:t>Initial faith</w:t>
            </w:r>
          </w:p>
        </w:tc>
      </w:tr>
    </w:tbl>
    <w:p w14:paraId="7C3FCB72" w14:textId="77777777" w:rsidR="00EE501D" w:rsidRDefault="00EE501D" w:rsidP="00525BE0">
      <w:pPr>
        <w:pStyle w:val="Heading3"/>
        <w:jc w:val="both"/>
      </w:pPr>
    </w:p>
    <w:p w14:paraId="366CD897" w14:textId="77777777" w:rsidR="00EE501D" w:rsidRDefault="00EE501D" w:rsidP="00525BE0">
      <w:pPr>
        <w:pStyle w:val="Heading4"/>
        <w:jc w:val="both"/>
      </w:pPr>
      <w:r>
        <w:t>Mechanisms specific to early stages of collaboration</w:t>
      </w:r>
    </w:p>
    <w:p w14:paraId="08BDDC38" w14:textId="0915AD23" w:rsidR="00EE501D" w:rsidRDefault="00EE501D" w:rsidP="00525BE0">
      <w:pPr>
        <w:spacing w:line="360" w:lineRule="auto"/>
        <w:jc w:val="both"/>
      </w:pPr>
      <w:r>
        <w:t xml:space="preserve">Our initial CMOCs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xml:space="preserve"> identified that, essential to establishing ‘initial faith’ (i.e., </w:t>
      </w:r>
      <w:r w:rsidRPr="000C4DC3">
        <w:t>whether engaging in collaboration is feasible, and worth the risk and effort</w:t>
      </w:r>
      <w:r>
        <w:t xml:space="preserve">) are factors such as financial constraints, the regulatory environment and its favourability to collaboration, and organisational size (which may affect the perceived difficulty of the task). A further contextual factor identified in this refinement stage was the reputation of the specific form of collaboration being considered; for example, some papers referred to negative perceptions due to collaborations being associated with privatisation of the NHS </w:t>
      </w:r>
      <w:r>
        <w:fldChar w:fldCharType="begin" w:fldLock="1"/>
      </w:r>
      <w:r w:rsidR="00EA4B53">
        <w:instrText>ADDIN CSL_CITATION {"citationItems":[{"id":"ITEM-1","itemData":{"ISBN":"964-7445-88-1","author":[{"dropping-particle":"","family":"Kershaw","given":"Matthew","non-dropping-particle":"","parse-names":false,"suffix":""},{"dropping-particle":"","family":"McKenna","given":"Helen","non-dropping-particle":"","parse-names":false,"suffix":""},{"dropping-particle":"","family":"Charles","given":"Anna","non-dropping-particle":"","parse-names":false,"suffix":""},{"dropping-particle":"","family":"Ewbank","given":"Leo","non-dropping-particle":"","parse-names":false,"suffix":""},{"dropping-particle":"","family":"Ham","given":"Chris","non-dropping-particle":"","parse-names":false,"suffix":""}],"id":"ITEM-1","issued":{"date-parts":[["2018"]]},"number-of-pages":"66","title":"Sustainability and transformation partnerships in London","type":"report"},"uris":["http://www.mendeley.com/documents/?uuid=ede5a165-6ade-4a57-b6a9-b5672552cc46"]}],"mendeley":{"formattedCitation":"&lt;sup&gt;176&lt;/sup&gt;","plainTextFormattedCitation":"176","previouslyFormattedCitation":"&lt;sup&gt;176&lt;/sup&gt;"},"properties":{"noteIndex":0},"schema":"https://github.com/citation-style-language/schema/raw/master/csl-citation.json"}</w:instrText>
      </w:r>
      <w:r>
        <w:fldChar w:fldCharType="separate"/>
      </w:r>
      <w:r w:rsidR="00E25884" w:rsidRPr="00E25884">
        <w:rPr>
          <w:noProof/>
          <w:vertAlign w:val="superscript"/>
        </w:rPr>
        <w:t>176</w:t>
      </w:r>
      <w:r>
        <w:fldChar w:fldCharType="end"/>
      </w:r>
      <w:r>
        <w:t>. This lowered actors’ desire to engage with this form of collaboration in the first place (their initial faith in the endeavour).</w:t>
      </w:r>
      <w:r w:rsidRPr="0039688C">
        <w:t xml:space="preserve"> </w:t>
      </w:r>
      <w:r>
        <w:t xml:space="preserve">Also tied into faith as a precursor mechanism is the perceived legitimacy of collaboration, which often affects a collaboration from the outset. Impacting this mechanism is stakeholder involvement, which can serve to increase its legitimacy in the eyes of staff, whether a partnership is voluntary or not, and whether staff perceive the collaboration as a threat professionally </w:t>
      </w:r>
      <w:r>
        <w:fldChar w:fldCharType="begin" w:fldLock="1"/>
      </w:r>
      <w:r w:rsidR="00EA4B53">
        <w:instrText>ADDIN CSL_CITATION {"citationItems":[{"id":"ITEM-1","itemData":{"ISSN":"0966-0429","abstract":"The influence of the merger of two major medical centres on the emotional well-being of nurses was investigated by use of a questionnaire on emotional distress, perception of threat, self-efficacy and emotional reactivity. Evaluations were carried out one month prior to the merger at the official announcement, and again half a year after the merger took place. Before the merger, threat perception was higher in the transferring nurses, but the difference was of borderline significance (P = 0.05). There was a significant positive correlation between threat perception and both emotional reactivity and emotional distress, and a significant negative correlation between self-efficacy and both threat perception and emotional distress (P &lt; 0.001 for all). After the merger, the transferring nurses showed more emotional distress (P = 0.009). There was a significant positive correlation between threat perception, emotional distress and negative outcome variables such as burnout and stress (P &lt; 0.001), and a significant negative correlation between threat perception and positive outcome variables such as growth (P &lt; 0.01). This study identifies some personal characteristics that can affect the way nurses deal with hospital mergers and need to be considered during organisational changes in order to maintain job satisfaction. 30 refs. [Abstract]","author":[{"dropping-particle":"","family":"Idel","given":"Menucha","non-dropping-particle":"","parse-names":false,"suffix":""}],"container-title":"Journal of Nursing Management","id":"ITEM-1","issue":"1","issued":{"date-parts":[["2003"]]},"note":"Useful for workforce","page":"59-63","title":"Influence of a merger on nurses' emotional well-being : the importance of self-efficacy and emotional reactivity.","type":"article-journal","volume":"11"},"uris":["http://www.mendeley.com/documents/?uuid=ddac9754-6b82-426f-a705-0c24f86442b3"]}],"mendeley":{"formattedCitation":"&lt;sup&gt;173&lt;/sup&gt;","plainTextFormattedCitation":"173","previouslyFormattedCitation":"&lt;sup&gt;173&lt;/sup&gt;"},"properties":{"noteIndex":0},"schema":"https://github.com/citation-style-language/schema/raw/master/csl-citation.json"}</w:instrText>
      </w:r>
      <w:r>
        <w:fldChar w:fldCharType="separate"/>
      </w:r>
      <w:r w:rsidR="00E25884" w:rsidRPr="00E25884">
        <w:rPr>
          <w:noProof/>
          <w:vertAlign w:val="superscript"/>
        </w:rPr>
        <w:t>173</w:t>
      </w:r>
      <w:r>
        <w:fldChar w:fldCharType="end"/>
      </w:r>
      <w:r>
        <w:t>.</w:t>
      </w:r>
    </w:p>
    <w:p w14:paraId="76B60F21" w14:textId="0065EE93" w:rsidR="00EE501D" w:rsidRDefault="00EE501D" w:rsidP="00525BE0">
      <w:pPr>
        <w:spacing w:line="360" w:lineRule="auto"/>
        <w:jc w:val="both"/>
      </w:pPr>
      <w:r>
        <w:t xml:space="preserve">Related to the level of initial faith is that of initial trust. Initial trust was put forward during the theory gleaning phase of our realist synthesis as likely to come into play in the ‘Connecting’ phase of collaboration, during which organisations seek partners and establish initial relationships </w:t>
      </w:r>
      <w:r>
        <w:fldChar w:fldCharType="begin" w:fldLock="1"/>
      </w:r>
      <w:r w:rsidR="00EA4B53">
        <w:instrText>ADDIN CSL_CITATION {"citationItems":[{"id":"ITEM-1","itemData":{"author":[{"dropping-particle":"","family":"Aunger","given":"Justin","non-dropping-particle":"","parse-names":false,"suffix":""},{"dropping-particle":"","family":"Millar","given":"Ross","non-dropping-particle":"","parse-names":false,"suffix":""},{"dropping-particle":"","family":"Greenhalgh","given":"Joanne","non-dropping-particle":"","parse-names":false,"suffix":""}],"id":"ITEM-1","issued":{"date-parts":[["0"]]},"title":"Modelling healthcare inter-organizational collaborations over time: a systematic review and best-fit framework synthesis","type":"report"},"uris":["http://www.mendeley.com/documents/?uuid=fb7766ca-f172-44ae-9784-6d592441115f"]}],"mendeley":{"formattedCitation":"&lt;sup&gt;213&lt;/sup&gt;","plainTextFormattedCitation":"213","previouslyFormattedCitation":"&lt;sup&gt;213&lt;/sup&gt;"},"properties":{"noteIndex":0},"schema":"https://github.com/citation-style-language/schema/raw/master/csl-citation.json"}</w:instrText>
      </w:r>
      <w:r>
        <w:fldChar w:fldCharType="separate"/>
      </w:r>
      <w:r w:rsidR="00E25884" w:rsidRPr="00E25884">
        <w:rPr>
          <w:noProof/>
          <w:vertAlign w:val="superscript"/>
        </w:rPr>
        <w:t>213</w:t>
      </w:r>
      <w:r>
        <w:fldChar w:fldCharType="end"/>
      </w:r>
      <w:r>
        <w:t xml:space="preserve">. Contextual elements identified as essential to determining this initial level of trust are the history of collaborating or competing between the organisations </w:t>
      </w:r>
      <w:r>
        <w:fldChar w:fldCharType="begin" w:fldLock="1"/>
      </w:r>
      <w:r w:rsidR="00EA4B53">
        <w:instrText>ADDIN CSL_CITATION {"citationItems":[{"id":"ITEM-1","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-1","issue":"November","issued":{"date-parts":[["2020"]]},"title":"HS &amp; DR Rapid Evaluation Centre Topic Report Early evidence of the development of primary care networks in England: a rapid evaluation study","type":"report"},"uris":["http://www.mendeley.com/documents/?uuid=d8ac51e3-1c56-426a-b71e-68e97e21b386"]},{"id":"ITEM-2","itemData":{"ISBN":"964-7445-88-1","author":[{"dropping-particle":"","family":"Kershaw","given":"Matthew","non-dropping-particle":"","parse-names":false,"suffix":""},{"dropping-particle":"","family":"McKenna","given":"Helen","non-dropping-particle":"","parse-names":false,"suffix":""},{"dropping-particle":"","family":"Charles","given":"Anna","non-dropping-particle":"","parse-names":false,"suffix":""},{"dropping-particle":"","family":"Ewbank","given":"Leo","non-dropping-particle":"","parse-names":false,"suffix":""},{"dropping-particle":"","family":"Ham","given":"Chris","non-dropping-particle":"","parse-names":false,"suffix":""}],"id":"ITEM-2","issued":{"date-parts":[["2018"]]},"number-of-pages":"66","title":"Sustainability and transformation partnerships in London","type":"report"},"uris":["http://www.mendeley.com/documents/?uuid=ede5a165-6ade-4a57-b6a9-b5672552cc46"]},{"id":"ITEM-3","itemData":{"author":[{"dropping-particle":"","family":"Maniatopoulos","given":"Gregory","non-dropping-particle":"","parse-names":false,"suffix":""},{"dropping-particle":"","family":"Hunter","given":"David J","non-dropping-particle":"","parse-names":false,"suffix":""},{"dropping-particle":"","family":"Erskine","given":"Jonathan","non-dropping-particle":"","parse-names":false,"suffix":""},{"dropping-particle":"","family":"Hudson","given":"Bob","non-dropping-particle":"","parse-names":false,"suffix":""}],"container-title":"Transitions and Boundaries in the Coordination and Reform of Health Services","id":"ITEM-3","issued":{"date-parts":[["2020"]]},"page":"3-27","publisher":"Palgrave Macmillan","title":"Implementing the New Care Models in the NHS: Reconfiguring the Multilevel Nature of Context to Make It Happen","type":"chapter"},"uris":["http://www.mendeley.com/documents/?uuid=39abc5ef-6e24-46f0-b382-e9337d5943e6"]},{"id":"ITEM-4","itemData":{"DOI":"10.1258/095148402320589019","ISSN":"09514848","abstract":"Research in two recently merged teaching hospitals has studied the effects of merger on the organizational culture of the hospitals and individual staff. Organizational culture is both a tool for managers introducing change and also an observable indicator of change, and hospitals have particularly strong cultures. After reviewing different approaches to analysing culture, and adopting Hofstede's six-dimensional model, the researchers describe one hospital as an aggressive, entrepreneurial, results-oriented organization, with a loosely controlled, devolved management, high expectations of staff and limited participation in decision making. The other is described as a tightly controlled, centralized and paternalistic organization, concerned for its staff and open to dialogue, with a principled commitment to partnership. The management's vision for the new trust combines elements of both cultures. In studying the effects of the merger on staff, the research documents individuals' journey through the merger experience, using Stuart's 'map' of the processes of change. The principal experiences are categorized as sensing, worry work, positioning, shock, hoping and sharing, holding on, letting go, moving, and moving on or away. Individuals' perceptions of the changing hospital cultures show a slow convergence but with new 'fault lines' opening up in the organization.","author":[{"dropping-particle":"","family":"Shaw","given":"Jane","non-dropping-particle":"","parse-names":false,"suffix":""}],"container-title":"Health Services Management Research","id":"ITEM-4","issue":"4","issued":{"date-parts":[["2002"]]},"page":"211-222","title":"Tracking the merger: The human experience","type":"article-journal","volume":"15"},"uris":["http://www.mendeley.com/documents/?uuid=8c60ed4f-7bed-45c2-92f3-af1e6119713d"]}],"mendeley":{"formattedCitation":"&lt;sup&gt;37,176,181,191&lt;/sup&gt;","plainTextFormattedCitation":"37,176,181,191","previouslyFormattedCitation":"&lt;sup&gt;37,176,181,191&lt;/sup&gt;"},"properties":{"noteIndex":0},"schema":"https://github.com/citation-style-language/schema/raw/master/csl-citation.json"}</w:instrText>
      </w:r>
      <w:r>
        <w:fldChar w:fldCharType="separate"/>
      </w:r>
      <w:r w:rsidR="00E25884" w:rsidRPr="00E25884">
        <w:rPr>
          <w:noProof/>
          <w:vertAlign w:val="superscript"/>
        </w:rPr>
        <w:t>37,176,181,191</w:t>
      </w:r>
      <w:r>
        <w:fldChar w:fldCharType="end"/>
      </w:r>
      <w:r>
        <w:t xml:space="preserve">, their organisational reputations </w:t>
      </w:r>
      <w:r>
        <w:fldChar w:fldCharType="begin" w:fldLock="1"/>
      </w:r>
      <w:r w:rsidR="00EA4B53">
        <w:instrText>ADDIN CSL_CITATION {"citationItems":[{"id":"ITEM-1","itemData":{"author":[{"dropping-particle":"","family":"NHS Employers","given":"","non-dropping-particle":"","parse-names":false,"suffix":""}],"id":"ITEM-1","issued":{"date-parts":[["2017"]]},"page":"1-56","title":"Trustworthy Collaboration","type":"article-journal"},"uris":["http://www.mendeley.com/documents/?uuid=419502eb-b01f-41ca-aec3-bc02a63dec92"]}],"mendeley":{"formattedCitation":"&lt;sup&gt;44&lt;/sup&gt;","plainTextFormattedCitation":"44","previouslyFormattedCitation":"&lt;sup&gt;44&lt;/sup&gt;"},"properties":{"noteIndex":0},"schema":"https://github.com/citation-style-language/schema/raw/master/csl-citation.json"}</w:instrText>
      </w:r>
      <w:r>
        <w:fldChar w:fldCharType="separate"/>
      </w:r>
      <w:r w:rsidR="00E25884" w:rsidRPr="00E25884">
        <w:rPr>
          <w:noProof/>
          <w:vertAlign w:val="superscript"/>
        </w:rPr>
        <w:t>44</w:t>
      </w:r>
      <w:r>
        <w:fldChar w:fldCharType="end"/>
      </w:r>
      <w:r>
        <w:t xml:space="preserve">, and at a later stage, the strength of legal agreements </w:t>
      </w:r>
      <w:r>
        <w:fldChar w:fldCharType="begin" w:fldLock="1"/>
      </w:r>
      <w:r w:rsidR="00EA4B53">
        <w:instrText>ADDIN CSL_CITATION {"citationItems":[{"id":"ITEM-1","itemData":{"author":[{"dropping-particle":"","family":"NHS Providers","given":"","non-dropping-particle":"","parse-names":false,"suffix":""}],"container-title":"NHS Providers","id":"ITEM-1","issue":"November","issued":{"date-parts":[["2018"]]},"title":"Collaborative working: tackling governance challenges in practice","type":"article-journal"},"uris":["http://www.mendeley.com/documents/?uuid=0c4ec821-3dba-4131-99a5-692997a9c94a"]}],"mendeley":{"formattedCitation":"&lt;sup&gt;186&lt;/sup&gt;","plainTextFormattedCitation":"186","previouslyFormattedCitation":"&lt;sup&gt;186&lt;/sup&gt;"},"properties":{"noteIndex":0},"schema":"https://github.com/citation-style-language/schema/raw/master/csl-citation.json"}</w:instrText>
      </w:r>
      <w:r>
        <w:fldChar w:fldCharType="separate"/>
      </w:r>
      <w:r w:rsidR="00E25884" w:rsidRPr="00E25884">
        <w:rPr>
          <w:noProof/>
          <w:vertAlign w:val="superscript"/>
        </w:rPr>
        <w:t>186</w:t>
      </w:r>
      <w:r>
        <w:fldChar w:fldCharType="end"/>
      </w:r>
      <w:r>
        <w:t xml:space="preserve">. These factors have been found to enhance or undermine trust. For example, legal agreements can both act as an initial reassurance when relying on a partner, as well as undermine it, if they do not allow for attribution of collaborative behaviours to altruistic intent </w:t>
      </w:r>
      <w:r>
        <w:fldChar w:fldCharType="begin" w:fldLock="1"/>
      </w:r>
      <w:r w:rsidR="00EA4B53">
        <w:instrText>ADDIN CSL_CITATION {"citationItems":[{"id":"ITEM-1","itemData":{"ISSN":"1476-9018","abstract":"PURPOSE: This paper reports research undertaken into the practices, processes and outcomes of joint commissioning at five English localities. This paper reflects on the implications of this study for the practice of joint commissioning. DESIGN/METHODOLOGY/APPROACH: A case study approach to the research was adopted where the assumptions about what joint commissioning should deliver in five \"best practice\" sites. These hypothesised relationships about organisational processes, services and outcomes were then tested through the collection of primary and secondary data. Methods of data collection included an online tool based on Q methodology, documentary analysis, interviews and focus groups. FINDINGS: Very little of what we found seemed to relate directly to issues of joint commissioning. Respondents often spoke of joint commissioning conflating it with issues of commissioning or joint working more generally. We found a variety of different definitions and meanings of joint commissioning in practice suggesting that this is not a coherent model but varies across localities. Little evidence of improved outcomes was found, due to practical and technical difficulties. RESEARCH LIMITATIONS/IMPLICATIONS: Joint commissioning is not a coherent model and is applied in different ways across different contexts. As such we may need to ask very different questions of joint commissioning to those typically asked. PRACTICAL IMPLICATIONS: It is important that local sites are clear about what they are trying to deliver through joint commissioning or else risk that it becomes an end in itself. Some of the current reforms taking place in health and social care risk pulling apart existing relationships that have taken significant time and resource to develop. ORIGINALITY/VALUE: This is one of the first large-scale studies of joint commissioning conducted in England. [Abstract]","author":[{"dropping-particle":"","family":"Dickinson","given":"Helen","non-dropping-particle":"","parse-names":false,"suffix":""},{"dropping-particle":"","family":"Glasby","given":"Jon","non-dropping-particle":"","parse-names":false,"suffix":""}],"container-title":"Journal of Integrated Care","id":"ITEM-1","issue":"4","issued":{"date-parts":[["2013"]]},"page":"221-232","publisher":"2013","title":"How effective is joint commissioning? A study of five English localities.","type":"article-journal","volume":"21"},"uris":["http://www.mendeley.com/documents/?uuid=6ec42eb0-70b6-40da-a4f5-9e7639723a05"]},{"id":"ITEM-2","itemData":{"author":[{"dropping-particle":"","family":"NHS Employers","given":"","non-dropping-particle":"","parse-names":false,"suffix":""}],"id":"ITEM-2","issued":{"date-parts":[["2017"]]},"page":"1-56","title":"Trustworthy Collaboration","type":"article-journal"},"uris":["http://www.mendeley.com/documents/?uuid=419502eb-b01f-41ca-aec3-bc02a63dec92"]}],"mendeley":{"formattedCitation":"&lt;sup&gt;22,44&lt;/sup&gt;","plainTextFormattedCitation":"22,44","previouslyFormattedCitation":"&lt;sup&gt;22,44&lt;/sup&gt;"},"properties":{"noteIndex":0},"schema":"https://github.com/citation-style-language/schema/raw/master/csl-citation.json"}</w:instrText>
      </w:r>
      <w:r>
        <w:fldChar w:fldCharType="separate"/>
      </w:r>
      <w:r w:rsidR="00E25884" w:rsidRPr="00E25884">
        <w:rPr>
          <w:noProof/>
          <w:vertAlign w:val="superscript"/>
        </w:rPr>
        <w:t>22,44</w:t>
      </w:r>
      <w:r>
        <w:fldChar w:fldCharType="end"/>
      </w:r>
      <w:r>
        <w:t xml:space="preserve">. Furthermore, this refinement stage identified also that a context of a known history of health system failures in the region can lower initial trust </w:t>
      </w:r>
      <w:r>
        <w:fldChar w:fldCharType="begin" w:fldLock="1"/>
      </w:r>
      <w:r w:rsidR="00EA4B53">
        <w:instrText>ADDIN CSL_CITATION {"citationItems":[{"id":"ITEM-1","itemData":{"ISSN":"09678638","author":[{"dropping-particle":"","family":"NHS Providers","given":"","non-dropping-particle":"","parse-names":false,"suffix":""},{"dropping-particle":"","family":"NHS Clinical Commissioners","given":"","non-dropping-particle":"","parse-names":false,"suffix":""}],"container-title":"NHS Providers","id":"ITEM-1","issued":{"date-parts":[["2018"]]},"title":"Driving forward system working: a snapshot of early progress in collaborative commissioning","type":"report"},"uris":["http://www.mendeley.com/documents/?uuid=b34cd3cf-2571-4d34-a9b8-e8eebde5cb2a"]}],"mendeley":{"formattedCitation":"&lt;sup&gt;187&lt;/sup&gt;","plainTextFormattedCitation":"187","previouslyFormattedCitation":"&lt;sup&gt;187&lt;/sup&gt;"},"properties":{"noteIndex":0},"schema":"https://github.com/citation-style-language/schema/raw/master/csl-citation.json"}</w:instrText>
      </w:r>
      <w:r>
        <w:fldChar w:fldCharType="separate"/>
      </w:r>
      <w:r w:rsidR="00E25884" w:rsidRPr="00E25884">
        <w:rPr>
          <w:noProof/>
          <w:vertAlign w:val="superscript"/>
        </w:rPr>
        <w:t>187</w:t>
      </w:r>
      <w:r>
        <w:fldChar w:fldCharType="end"/>
      </w:r>
      <w:r>
        <w:t>, as evidenced by NHS Providers (2018), who put forward that “</w:t>
      </w:r>
      <w:r w:rsidRPr="00630131">
        <w:rPr>
          <w:i/>
          <w:iCs/>
        </w:rPr>
        <w:t xml:space="preserve">a legacy of challenges led to a break-down in trust and dialogue and an entrenchment of organisational </w:t>
      </w:r>
      <w:r>
        <w:rPr>
          <w:i/>
          <w:iCs/>
        </w:rPr>
        <w:t>‘</w:t>
      </w:r>
      <w:r w:rsidRPr="00630131">
        <w:rPr>
          <w:i/>
          <w:iCs/>
        </w:rPr>
        <w:t>fortress mentalities</w:t>
      </w:r>
      <w:r>
        <w:t xml:space="preserve">’ </w:t>
      </w:r>
      <w:r>
        <w:fldChar w:fldCharType="begin" w:fldLock="1"/>
      </w:r>
      <w:r w:rsidR="00EA4B53">
        <w:instrText>ADDIN CSL_CITATION {"citationItems":[{"id":"ITEM-1","itemData":{"ISSN":"09678638","author":[{"dropping-particle":"","family":"NHS Providers","given":"","non-dropping-particle":"","parse-names":false,"suffix":""},{"dropping-particle":"","family":"NHS Clinical Commissioners","given":"","non-dropping-particle":"","parse-names":false,"suffix":""}],"container-title":"NHS Providers","id":"ITEM-1","issued":{"date-parts":[["2018"]]},"title":"Driving forward system working: a snapshot of early progress in collaborative commissioning","type":"report"},"locator":"24","uris":["http://www.mendeley.com/documents/?uuid=b34cd3cf-2571-4d34-a9b8-e8eebde5cb2a"]}],"mendeley":{"formattedCitation":"&lt;sup&gt;187&lt;/sup&gt;","plainTextFormattedCitation":"187","previouslyFormattedCitation":"&lt;sup&gt;187&lt;/sup&gt;"},"properties":{"noteIndex":0},"schema":"https://github.com/citation-style-language/schema/raw/master/csl-citation.json"}</w:instrText>
      </w:r>
      <w:r>
        <w:fldChar w:fldCharType="separate"/>
      </w:r>
      <w:r w:rsidR="00E25884" w:rsidRPr="00E25884">
        <w:rPr>
          <w:noProof/>
          <w:vertAlign w:val="superscript"/>
        </w:rPr>
        <w:t>187</w:t>
      </w:r>
      <w:r>
        <w:fldChar w:fldCharType="end"/>
      </w:r>
      <w:r w:rsidRPr="00630131">
        <w:t>.</w:t>
      </w:r>
      <w:r>
        <w:t xml:space="preserve"> As trust and risk are intricately linked, this level of initial trust is essential to setting the degree of risk an organisation is willing to take on with its partner, which can affect the aims and outcomes a partnership seeks to accomplish </w:t>
      </w:r>
      <w:r>
        <w:fldChar w:fldCharType="begin" w:fldLock="1"/>
      </w:r>
      <w:r w:rsidR="00804189">
        <w:instrText>ADDIN CSL_CITATION {"citationItems":[{"id":"ITEM-1","itemData":{"author":[{"dropping-particle":"","family":"NHS Employers","given":"","non-dropping-particle":"","parse-names":false,"suffix":""}],"id":"ITEM-1","issued":{"date-parts":[["2017"]]},"page":"1-56","title":"Trustworthy Collaboration","type":"article-journal"},"uris":["http://www.mendeley.com/documents/?uuid=419502eb-b01f-41ca-aec3-bc02a63dec92"]},{"id":"ITEM-2","itemData":{"DOI":"10.1111/1468-0009.12356","ISSN":"14680009","abstract":"Policy Points Accountable care organizations (ACOs) form alliances with management partners to access financial, technical, and managerial support. Alliances between ACOs and management partners are subject to destabilizing tension around decision-making authority, distribution of shared savings, and conflicting goals and values. Management partners may serve either as trainers, ultimately breaking off from the ACO, or as central drivers of the ACO. Management partner participation in ACOs is currently unregulated, and management partners may receive a significant portion (in some cases, majority) of shared savings. Context: Accountable care organizations (ACOs) are a prominent payment and delivery model. Though ACOs are often described as groups of health care providers, nearly 4 in 10 ACOs partner with a management company for services such as financial investment, contracting, data analytics, and care management, according to recent research. However, we know little about how and why these partnerships form. This article aims to understand the reasons providers seek partners, the nature of these relationships, and factors critical to the success or failure of these alliances. Methods: We used qualitative data collected longitudinally from 2012 to 2017 at 2 ACOs to understand relationships between management partners and ACO providers. The data include 115 semistructured interviews and observational data from 7 site visits. Two coders applied 48 codes to the data. We reviewed coded data for emergent themes in the context of alliance life cycle theory. Findings: Qualitative data revealed that management partners brought specific skills and services and also gave providers confidence in pursuing an ACO. Over time, tension between providers and management partners arose around decision-making authority, distribution of shared savings, and conflicting goals and values. We observed 2 outcomes of partnerships: cemented partnerships and dissolution. Key factors distinguishing alliance outcome in these 2 cases include degree of trust between organizations in the alliance; approach to conflict resolution; distribution of power in the alliance; skills and confidence acquired by the ACO over the life of the alliance; continuity of management partner delivery on promised resources; and proportion of savings going to the management partner. Conclusions: The diverging paths for ACOs with management partners suggest 2 different roles that management partners may pla…","author":[{"dropping-particle":"","family":"Murray","given":"Genevra F.","non-dropping-particle":"","parse-names":false,"suffix":""},{"dropping-particle":"","family":"D'Aunno","given":"Thomas","non-dropping-particle":"","parse-names":false,"suffix":""},{"dropping-particle":"","family":"Lewis","given":"Valerie A.","non-dropping-particle":"","parse-names":false,"suffix":""}],"container-title":"Milbank Quarterly","id":"ITEM-2","issue":"4","issued":{"date-parts":[["2018"]]},"page":"755-781","title":"Trust, Money, and Power: Life Cycle Dynamics in Alliances Between Management Partners and Accountable Care Organizations","type":"article-journal","volume":"96"},"uris":["http://www.mendeley.com/documents/?uuid=87ed0673-8dc6-4539-95b4-fffb3d412316"]}],"mendeley":{"formattedCitation":"&lt;sup&gt;44,100&lt;/sup&gt;","plainTextFormattedCitation":"44,100","previouslyFormattedCitation":"&lt;sup&gt;44,100&lt;/sup&gt;"},"properties":{"noteIndex":0},"schema":"https://github.com/citation-style-language/schema/raw/master/csl-citation.json"}</w:instrText>
      </w:r>
      <w:r>
        <w:fldChar w:fldCharType="separate"/>
      </w:r>
      <w:r w:rsidR="00C4603E" w:rsidRPr="00C4603E">
        <w:rPr>
          <w:noProof/>
          <w:vertAlign w:val="superscript"/>
        </w:rPr>
        <w:t>44,100</w:t>
      </w:r>
      <w:r>
        <w:fldChar w:fldCharType="end"/>
      </w:r>
      <w:r>
        <w:t>.</w:t>
      </w:r>
    </w:p>
    <w:p w14:paraId="416F6D6F" w14:textId="77777777" w:rsidR="00EE501D" w:rsidRDefault="00EE501D" w:rsidP="00525BE0">
      <w:pPr>
        <w:pStyle w:val="Heading4"/>
        <w:jc w:val="both"/>
      </w:pPr>
      <w:r>
        <w:t>Middle stage of collaboration</w:t>
      </w:r>
    </w:p>
    <w:p w14:paraId="6AC60C52" w14:textId="19010501" w:rsidR="00EE501D" w:rsidRDefault="00EE501D" w:rsidP="00525BE0">
      <w:pPr>
        <w:spacing w:line="360" w:lineRule="auto"/>
        <w:jc w:val="both"/>
      </w:pPr>
      <w:r>
        <w:t xml:space="preserve">During the ‘mid-life’ of a collaboration, a multitude of factors come into play which can help rapidly increase the level of trust, buffering against potential conflicts that may occur. Chief among these are ‘quick wins’ with a partner, which also help to increase faith </w:t>
      </w:r>
      <w:r>
        <w:fldChar w:fldCharType="begin" w:fldLock="1"/>
      </w:r>
      <w:r w:rsidR="00EA4B53">
        <w:instrText>ADDIN CSL_CITATION {"citationItems":[{"id":"ITEM-1","itemData":{"author":[{"dropping-particle":"","family":"NHS Employers","given":"","non-dropping-particle":"","parse-names":false,"suffix":""}],"id":"ITEM-1","issued":{"date-parts":[["2017"]]},"page":"1-56","title":"Trustworthy Collaboration","type":"article-journal"},"uris":["http://www.mendeley.com/documents/?uuid=419502eb-b01f-41ca-aec3-bc02a63dec92"]},{"id":"ITEM-2","itemData":{"DOI":"10.1136/bmjopen-2019-029174","ISSN":"20446055","PMID":"32152152","abstract":"NHS vanguards, under-pressure to perform, required better contracting and data management arrangements with evaluation teams, to ensure that integrated service outcomes could be reported effectively. This communication reflects the experience of evaluating an NHS vanguard and suggests how academic teams can improve capacity for complex programme evaluation of rapid improvements in integrated services. This should be based on a shared commitment to data collection and management. Also, robust knowledge exchange processes can enable systems change and sustainability. The identifying features of the particular site have been withheld.","author":[{"dropping-particle":"","family":"Fowler Davis","given":"Sally","non-dropping-particle":"","parse-names":false,"suffix":""},{"dropping-particle":"","family":"Hinde","given":"Sebastian","non-dropping-particle":"","parse-names":false,"suffix":""},{"dropping-particle":"","family":"Ariss","given":"Steven","non-dropping-particle":"","parse-names":false,"suffix":""}],"container-title":"BMJ open","id":"ITEM-2","issue":"3","issued":{"date-parts":[["2020"]]},"page":"e029174","title":"Complex programme evaluation of a 'new care model' vanguard: a shared commitment to quality improvement in an integrated health and care context","type":"article-journal","volume":"10"},"uris":["http://www.mendeley.com/documents/?uuid=430a43c7-44f7-4b6c-a39d-d75abb24ddd4"]}],"mendeley":{"formattedCitation":"&lt;sup&gt;44,166&lt;/sup&gt;","plainTextFormattedCitation":"44,166","previouslyFormattedCitation":"&lt;sup&gt;44,166&lt;/sup&gt;"},"properties":{"noteIndex":0},"schema":"https://github.com/citation-style-language/schema/raw/master/csl-citation.json"}</w:instrText>
      </w:r>
      <w:r>
        <w:fldChar w:fldCharType="separate"/>
      </w:r>
      <w:r w:rsidR="00E25884" w:rsidRPr="00E25884">
        <w:rPr>
          <w:noProof/>
          <w:vertAlign w:val="superscript"/>
        </w:rPr>
        <w:t>44,166</w:t>
      </w:r>
      <w:r>
        <w:fldChar w:fldCharType="end"/>
      </w:r>
      <w:r>
        <w:t xml:space="preserve">. These small successes serve to rapidly bolster trust and can be increased further through factors such as seconding staff </w:t>
      </w:r>
      <w:r>
        <w:fldChar w:fldCharType="begin" w:fldLock="1"/>
      </w:r>
      <w:r w:rsidR="00EA4B53">
        <w:instrText>ADDIN CSL_CITATION {"citationItems":[{"id":"ITEM-1","itemData":{"DOI":"10.1080/13561820120080454","ISSN":"13561820","PMID":"11725579","abstract":"On the 1st of April 1999 Somerset Health Authority and Somerset County Council established a Joint Commissioning Board (JCB) to commission mental health services. Simultaneously, the Somerset Partnerships Health and Social Care NHS Trust was set-up as a combined health and social care services provider; for the first time in England, the majority of social services mental health staff transferred their employment to this Trust. The JCB commissioned an evaluation of the impact of these innovations on users and carers, staff and senior officers and members in the organisations concerned. In the course of the research, one concept frequently recurred as a source of both optimism and concern: 'culture'. However, the meanings attributed to this term varied significantly between stakeholders. After summarising the methodology and the results to date of the evaluation, this paper briefly reviews the conceptions of culture in the literature on organisations, and introduces a taxonomy for discussing culture. That taxonomy is then deployed to explore the ways in which the notion of 'culture' is being applied to and within the combined Trust in Somerset, and the implications of those applications for local practice and national policy around partnership.","author":[{"dropping-particle":"","family":"Peck","given":"E.","non-dropping-particle":"","parse-names":false,"suffix":""},{"dropping-particle":"","family":"Towell","given":"D.","non-dropping-particle":"","parse-names":false,"suffix":""},{"dropping-particle":"","family":"Gulliver","given":"P.","non-dropping-particle":"","parse-names":false,"suffix":""}],"container-title":"Journal of Interprofessional Care","id":"ITEM-1","issue":"4","issued":{"date-parts":[["2001"]]},"page":"319-327","title":"The meanings of 'culture' in health and social care: A case study of the combined Trust in Somerset","type":"article-journal","volume":"15"},"uris":["http://www.mendeley.com/documents/?uuid=05594aaf-6703-4eea-a503-148c06567ff0"]},{"id":"ITEM-2","itemData":{"ISSN":"1461-5436","abstract":"This local case study reviews progress in joint working in adult services in a country which has been developing innovative partnership arrangements for some years. It is a follow-up to an article in this journal in Issue 10.2 April 2002 (The road to integration in Hertfordshire) and focuses particularly on practical issues which have now arisen from the work of the county-wide joint commissioning board. This will be of interest to other localities where complex collaborative arrangements are needed because several PCTs are working with one local authority. 1 table [Abstract]","author":[{"dropping-particle":"","family":"Pickup","given":"Sarah","non-dropping-particle":"","parse-names":false,"suffix":""}],"container-title":"Journal of Integrated Care","id":"ITEM-2","issue":"2","issued":{"date-parts":[["2004"]]},"note":"From Duplicate 1 (Partnership and governance : the Hertfordshire experience. - Pickup, Sarah)\n\nNot very relevant\n\nFrom Duplicate 2 (Partnership and governance : the Hertfordshire experience. - Pickup, Sarah)\n\nFrom Duplicate 1 (Partnership and governance : the Hertfordshire experience. - Pickup, Sarah)\n\nNot very relevant","page":"14-19","publisher":"2004","title":"Partnership and governance : the Hertfordshire experience.","type":"article-journal","volume":"12"},"uris":["http://www.mendeley.com/documents/?uuid=9c27c2f7-259b-44ae-ad2f-e4a3e284f1af"]}],"mendeley":{"formattedCitation":"&lt;sup&gt;188,189&lt;/sup&gt;","plainTextFormattedCitation":"188,189","previouslyFormattedCitation":"&lt;sup&gt;188,189&lt;/sup&gt;"},"properties":{"noteIndex":0},"schema":"https://github.com/citation-style-language/schema/raw/master/csl-citation.json"}</w:instrText>
      </w:r>
      <w:r>
        <w:fldChar w:fldCharType="separate"/>
      </w:r>
      <w:r w:rsidR="00E25884" w:rsidRPr="00E25884">
        <w:rPr>
          <w:noProof/>
          <w:vertAlign w:val="superscript"/>
        </w:rPr>
        <w:t>188,189</w:t>
      </w:r>
      <w:r>
        <w:fldChar w:fldCharType="end"/>
      </w:r>
      <w:r>
        <w:t xml:space="preserve">, and having open, honest, stable, and empathetic leadership </w:t>
      </w:r>
      <w:r>
        <w:fldChar w:fldCharType="begin" w:fldLock="1"/>
      </w:r>
      <w:r w:rsidR="00EA4B53">
        <w:instrText>ADDIN CSL_CITATION {"citationItems":[{"id":"ITEM-1","itemData":{"ISBN":"978 1 909029 95 8","author":[{"dropping-particle":"","family":"Timmins","given":"Nicholas","non-dropping-particle":"","parse-names":false,"suffix":""}],"id":"ITEM-1","issue":"November","issued":{"date-parts":[["2019"]]},"page":"3-25","title":"Leading for integrated care: 'If you think competition is hard, you should try collaboration'","type":"article-journal"},"uris":["http://www.mendeley.com/documents/?uuid=5a8583bf-e072-46b5-b3cd-6d247894e29e"]},{"id":"ITEM-2","itemData":{"ISSN":"09678638","author":[{"dropping-particle":"","family":"NHS Providers","given":"","non-dropping-particle":"","parse-names":false,"suffix":""},{"dropping-particle":"","family":"NHS Clinical Commissioners","given":"","non-dropping-particle":"","parse-names":false,"suffix":""}],"container-title":"NHS Providers","id":"ITEM-2","issued":{"date-parts":[["2018"]]},"title":"Driving forward system working: a snapshot of early progress in collaborative commissioning","type":"report"},"uris":["http://www.mendeley.com/documents/?uuid=b34cd3cf-2571-4d34-a9b8-e8eebde5cb2a"]}],"mendeley":{"formattedCitation":"&lt;sup&gt;187,197&lt;/sup&gt;","plainTextFormattedCitation":"187,197","previouslyFormattedCitation":"&lt;sup&gt;187,197&lt;/sup&gt;"},"properties":{"noteIndex":0},"schema":"https://github.com/citation-style-language/schema/raw/master/csl-citation.json"}</w:instrText>
      </w:r>
      <w:r>
        <w:fldChar w:fldCharType="separate"/>
      </w:r>
      <w:r w:rsidR="00E25884" w:rsidRPr="00E25884">
        <w:rPr>
          <w:noProof/>
          <w:vertAlign w:val="superscript"/>
        </w:rPr>
        <w:t>187,197</w:t>
      </w:r>
      <w:r>
        <w:fldChar w:fldCharType="end"/>
      </w:r>
      <w:r>
        <w:t xml:space="preserve">. Alongside these quick wins are longer-term battles, such as the need to ensure effective interpersonal communication between key organisational actors, managing conflict </w:t>
      </w:r>
      <w:r>
        <w:fldChar w:fldCharType="begin" w:fldLock="1"/>
      </w:r>
      <w:r w:rsidR="00804189">
        <w:instrText>ADDIN CSL_CITATION {"citationItems":[{"id":"ITEM-1","itemData":{"author":[{"dropping-particle":"","family":"Findlay","given":"Patricia","non-dropping-particle":"","parse-names":false,"suffix":""}],"id":"ITEM-1","issue":"January","issued":{"date-parts":[["2019"]]},"title":"Review of Partnership Working in NHS Scotland","type":"article-journal"},"uris":["http://www.mendeley.com/documents/?uuid=775dd8e1-5331-43cf-b92c-176d93ed9731"]},{"id":"ITEM-2","itemData":{"DOI":"10.1080/13561820600890235","ISSN":"13561820","abstract":"The need to provide more joined services in health and social care is now recognized by governments as a major objective, and technology is increasingly seen as the key to achieving it. This paper is based upon the authors' experience as research partners in a national project in England known as FrAmework for Multi-agency Environments (FAME). In the first phase of FAME (April 2003-October 2004) six local \"strands\" led by local authorities worked in partnership with service providers and IT suppliers. Each partnership aimed to support collaboration and interaction between professions in a particular set of services (for example, to vulnerable older people or disabled children) through effective and appropriate exchange of information. This paper examines the literature on partnership and collaboration in public services in order to contextualize and reflect upon IT-enabled multi-agency partnerships.","author":[{"dropping-particle":"","family":"Gannon-Leary","given":"Pat","non-dropping-particle":"","parse-names":false,"suffix":""},{"dropping-particle":"","family":"Baines","given":"Sue","non-dropping-particle":"","parse-names":false,"suffix":""},{"dropping-particle":"","family":"Wilson","given":"Rob","non-dropping-particle":"","parse-names":false,"suffix":""}],"container-title":"Journal of Interprofessional Care","id":"ITEM-2","issue":"6","issued":{"date-parts":[["2006"]]},"page":"665-674","title":"Collaboration and partnership: A review and reflections on a national project to join up local services in England","type":"article-journal","volume":"20"},"uris":["http://www.mendeley.com/documents/?uuid=ab96d496-f09b-4fb3-acd2-0455dc254ba8"]},{"id":"ITEM-3","itemData":{"DOI":"10.1111/1468-0009.12356","ISSN":"14680009","abstract":"Policy Points Accountable care organizations (ACOs) form alliances with management partners to access financial, technical, and managerial support. Alliances between ACOs and management partners are subject to destabilizing tension around decision-making authority, distribution of shared savings, and conflicting goals and values. Management partners may serve either as trainers, ultimately breaking off from the ACO, or as central drivers of the ACO. Management partner participation in ACOs is currently unregulated, and management partners may receive a significant portion (in some cases, majority) of shared savings. Context: Accountable care organizations (ACOs) are a prominent payment and delivery model. Though ACOs are often described as groups of health care providers, nearly 4 in 10 ACOs partner with a management company for services such as financial investment, contracting, data analytics, and care management, according to recent research. However, we know little about how and why these partnerships form. This article aims to understand the reasons providers seek partners, the nature of these relationships, and factors critical to the success or failure of these alliances. Methods: We used qualitative data collected longitudinally from 2012 to 2017 at 2 ACOs to understand relationships between management partners and ACO providers. The data include 115 semistructured interviews and observational data from 7 site visits. Two coders applied 48 codes to the data. We reviewed coded data for emergent themes in the context of alliance life cycle theory. Findings: Qualitative data revealed that management partners brought specific skills and services and also gave providers confidence in pursuing an ACO. Over time, tension between providers and management partners arose around decision-making authority, distribution of shared savings, and conflicting goals and values. We observed 2 outcomes of partnerships: cemented partnerships and dissolution. Key factors distinguishing alliance outcome in these 2 cases include degree of trust between organizations in the alliance; approach to conflict resolution; distribution of power in the alliance; skills and confidence acquired by the ACO over the life of the alliance; continuity of management partner delivery on promised resources; and proportion of savings going to the management partner. Conclusions: The diverging paths for ACOs with management partners suggest 2 different roles that management partners may pla…","author":[{"dropping-particle":"","family":"Murray","given":"Genevra F.","non-dropping-particle":"","parse-names":false,"suffix":""},{"dropping-particle":"","family":"D'Aunno","given":"Thomas","non-dropping-particle":"","parse-names":false,"suffix":""},{"dropping-particle":"","family":"Lewis","given":"Valerie A.","non-dropping-particle":"","parse-names":false,"suffix":""}],"container-title":"Milbank Quarterly","id":"ITEM-3","issue":"4","issued":{"date-parts":[["2018"]]},"page":"755-781","title":"Trust, Money, and Power: Life Cycle Dynamics in Alliances Between Management Partners and Accountable Care Organizations","type":"article-journal","volume":"96"},"uris":["http://www.mendeley.com/documents/?uuid=87ed0673-8dc6-4539-95b4-fffb3d412316"]},{"id":"ITEM-4","itemData":{"ISBN":"9781909029","abstract":"A core part of the vision laid out in the NHS five year forward view (Forward View) involves acute hospitals becoming more closely integrated with other forms of care. If the health and social care system is to respond to the changing needs of the population, and also address the financial challenges it faces, acute hospitals will need to play a fundamentally different role within local health economies. This will involve: • moving from an organisational focus to a system-wide perspective • working more closely with local partners, including primary care, social care and community services • developing integrated service models that span organisational boundaries • providing services through horizontal networks with other acute hospitals. This report explores the role that acute hospitals can play in integrated care, drawing on learning from five case study sites in England where acute hospital providers have engaged actively with the integration agenda.","author":[{"dropping-particle":"","family":"Naylor","given":"Chris","non-dropping-particle":"","parse-names":false,"suffix":""},{"dropping-particle":"","family":"Alderwick","given":"Hugh","non-dropping-particle":"","parse-names":false,"suffix":""},{"dropping-particle":"","family":"Honeyman","given":"Matthew","non-dropping-particle":"","parse-names":false,"suffix":""}],"container-title":"King's Fund (revista electrónica)","id":"ITEM-4","issue":"March","issued":{"date-parts":[["2015"]]},"page":"1-90","title":"Acute hospitals and integrated care. From hospitals to health systems.","type":"article-journal"},"uris":["http://www.mendeley.com/documents/?uuid=934e1f78-de81-450c-9f54-205563a3bb17"]}],"mendeley":{"formattedCitation":"&lt;sup&gt;100,163,167,183&lt;/sup&gt;","plainTextFormattedCitation":"100,163,167,183","previouslyFormattedCitation":"&lt;sup&gt;100,163,167,183&lt;/sup&gt;"},"properties":{"noteIndex":0},"schema":"https://github.com/citation-style-language/schema/raw/master/csl-citation.json"}</w:instrText>
      </w:r>
      <w:r>
        <w:fldChar w:fldCharType="separate"/>
      </w:r>
      <w:r w:rsidR="00C4603E" w:rsidRPr="00C4603E">
        <w:rPr>
          <w:noProof/>
          <w:vertAlign w:val="superscript"/>
        </w:rPr>
        <w:t>100,163,167,183</w:t>
      </w:r>
      <w:r>
        <w:fldChar w:fldCharType="end"/>
      </w:r>
      <w:r>
        <w:t xml:space="preserve">, and either creating a new culture or helping build bridges between existing ones </w:t>
      </w:r>
      <w:r>
        <w:fldChar w:fldCharType="begin" w:fldLock="1"/>
      </w:r>
      <w:r w:rsidR="00EA4B53">
        <w:instrText>ADDIN CSL_CITATION {"citationItems":[{"id":"ITEM-1","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-1","issue":"November","issued":{"date-parts":[["2020"]]},"title":"HS &amp; DR Rapid Evaluation Centre Topic Report Early evidence of the development of primary care networks in England: a rapid evaluation study","type":"report"},"uris":["http://www.mendeley.com/documents/?uuid=d8ac51e3-1c56-426a-b71e-68e97e21b386"]},{"id":"ITEM-2","itemData":{"DOI":"10.1080/15433714.2014.997094","ISSN":"23761415","abstract":"Social work programs are experiencing unprecedented organizational changes due to budget cuts, dwindling resources, global, and technological challenges. However, there is limited information in the literature about the merger experiences of faculty in social work programs. On one hand undergoing merger and reorganization provides the opportunity to reorganize, reprioritize, re-assess, develop strategies, and explore previously untapped opportunities for social work programs. Conversely, merger experiences have caused frustration, intention to quit, confusion, and loss of professional identity for social work faculty. In this article the authors utilize a journaling method and sense-making approach of the merger experiences of some of the faculty members of a social work program in the United States. The authors suggest a framework to understand how the faculty confronted the challenges, overcame the pitfalls, and maximized the opportunities offered during the merger and organizational change process.","author":[{"dropping-particle":"","family":"Adedoyin","given":"A. Christson","non-dropping-particle":"","parse-names":false,"suffix":""},{"dropping-particle":"","family":"Miller","given":"Monte","non-dropping-particle":"","parse-names":false,"suffix":""},{"dropping-particle":"","family":"Jackson","given":"Mary S.","non-dropping-particle":"","parse-names":false,"suffix":""},{"dropping-particle":"","family":"Dodor","given":"Bernice","non-dropping-particle":"","parse-names":false,"suffix":""},{"dropping-particle":"","family":"Hall","given":"Kristen","non-dropping-particle":"","parse-names":false,"suffix":""}],"container-title":"Journal of Evidence-Informed Social Work","id":"ITEM-2","issue":"1","issued":{"date-parts":[["2016"]]},"page":"87-98","title":"Faculty experiences of merger and organizational change in a social work program","type":"article-journal","volume":"13"},"uris":["http://www.mendeley.com/documents/?uuid=0181fc24-2668-431c-b615-38ff14d2497a"]},{"id":"ITEM-3","itemData":{"author":[{"dropping-particle":"","family":"Community Network","given":"","non-dropping-particle":"","parse-names":false,"suffix":""}],"id":"ITEM-3","issue":"July","issued":{"date-parts":[["2020"]]},"title":"Delivering integrated care at neighbourhood level","type":"article-journal"},"uris":["http://www.mendeley.com/documents/?uuid=ed5f9976-47e4-4997-9459-f8ccbb0f14ea"]}],"mendeley":{"formattedCitation":"&lt;sup&gt;37,145,153&lt;/sup&gt;","plainTextFormattedCitation":"37,145,153","previouslyFormattedCitation":"&lt;sup&gt;37,145,153&lt;/sup&gt;"},"properties":{"noteIndex":0},"schema":"https://github.com/citation-style-language/schema/raw/master/csl-citation.json"}</w:instrText>
      </w:r>
      <w:r>
        <w:fldChar w:fldCharType="separate"/>
      </w:r>
      <w:r w:rsidR="00E25884" w:rsidRPr="00E25884">
        <w:rPr>
          <w:noProof/>
          <w:vertAlign w:val="superscript"/>
        </w:rPr>
        <w:t>37,145,153</w:t>
      </w:r>
      <w:r>
        <w:fldChar w:fldCharType="end"/>
      </w:r>
      <w:r>
        <w:t>.</w:t>
      </w:r>
    </w:p>
    <w:p w14:paraId="4AD38D31" w14:textId="67E3CF72" w:rsidR="00EE501D" w:rsidRDefault="00EE501D" w:rsidP="00525BE0">
      <w:pPr>
        <w:spacing w:line="360" w:lineRule="auto"/>
        <w:jc w:val="both"/>
      </w:pPr>
      <w:r>
        <w:t xml:space="preserve">With respect to ensuring appropriate communication between collaborators, a number of contextual elements are key. Geographical proximity is one element that is difficult to mitigate, as a greater geographical distance between collaborators increases time spent building relationships significantly by allowing for ease of arranging meetings and enabling informal interaction </w:t>
      </w:r>
      <w:r>
        <w:fldChar w:fldCharType="begin" w:fldLock="1"/>
      </w:r>
      <w:r w:rsidR="00EA4B53">
        <w:instrText>ADDIN CSL_CITATION {"citationItems":[{"id":"ITEM-1","itemData":{"author":[{"dropping-particle":"","family":"Foundation Trust Network","given":"","non-dropping-particle":"","parse-names":false,"suffix":""}],"id":"ITEM-1","issue":"September","issued":{"date-parts":[["2014"]]},"number-of-pages":"1-15","publisher-place":"London","title":"Review of buddying arrangements, with a focus on trusts in special measures and their partnering organisations","type":"report"},"uris":["http://www.mendeley.com/documents/?uuid=edb6537b-8318-4e71-88a6-eecaa3b7ef44"]}],"mendeley":{"formattedCitation":"&lt;sup&gt;165&lt;/sup&gt;","plainTextFormattedCitation":"165","previouslyFormattedCitation":"&lt;sup&gt;165&lt;/sup&gt;"},"properties":{"noteIndex":0},"schema":"https://github.com/citation-style-language/schema/raw/master/csl-citation.json"}</w:instrText>
      </w:r>
      <w:r>
        <w:fldChar w:fldCharType="separate"/>
      </w:r>
      <w:r w:rsidR="00E25884" w:rsidRPr="00E25884">
        <w:rPr>
          <w:noProof/>
          <w:vertAlign w:val="superscript"/>
        </w:rPr>
        <w:t>165</w:t>
      </w:r>
      <w:r>
        <w:fldChar w:fldCharType="end"/>
      </w:r>
      <w:r>
        <w:t xml:space="preserve">. Greater geographical proximity was most often cited as improving communication, but can also be unhelpful if conflict is already occurring </w:t>
      </w:r>
      <w:r>
        <w:fldChar w:fldCharType="begin" w:fldLock="1"/>
      </w:r>
      <w:r w:rsidR="00EA4B53">
        <w:instrText>ADDIN CSL_CITATION {"citationItems":[{"id":"ITEM-1","itemData":{"DOI":"10.1111/hsc.12538","ISSN":"13652524","PMID":"29327484","abstract":"Collaborative working between general practice (GP) and voluntary and community sector (VCS) organisations is increasingly championed as a means of primary care doing more with less and of addressing patients’ “wicked problems”. This paper aims to add to the knowledge base around collaborative practice between GPs and VCS organisations by examining the factors that aid or inhibit such collaboration. A case study design was used to examine the lived-experience of GPs and VCS organisations working collaboratively. Four cases, each consisting of a GP and a VCS organisation with whom they work collaboratively, were identified. Interviews (n = 18) and a focus group (n = 1) were conducted with staff within each organisation. Transcribed data were analysed thematically. Whilet there are similarities across cases in their use of, for example, Health Trainers and social prescribing, the form and function of GP-VCS collaborations were unique to their local context. The identified factors affecting GP-VCS collaboration reflect those found in previous service evaluations and the broader literature on partnership working; shared understanding, time and resources, trust, strong leadership, operational systems and governance and the “negotiation” of professional boundaries. While the current political environment may represent an opportunity for collaborations to develop, there are issues yet to be resolved before collaboration—especially more holistic and integrated approaches—becomes systematically embedded into practice.","author":[{"dropping-particle":"","family":"Southby","given":"Kris","non-dropping-particle":"","parse-names":false,"suffix":""},{"dropping-particle":"","family":"Gamsu","given":"Mark","non-dropping-particle":"","parse-names":false,"suffix":""}],"container-title":"Health and Social Care in the Community","id":"ITEM-1","issue":"3","issued":{"date-parts":[["2018"]]},"page":"e360-e369","publisher":"Wiley","title":"Factors affecting general practice collaboration with voluntary and community sector organisations","type":"article-journal","volume":"26"},"uris":["http://www.mendeley.com/documents/?uuid=f0d15fce-3c5c-4526-ba00-52c75ddf0021"]},{"id":"ITEM-2","itemData":{"DOI":"10.1111/hsc.12953","ISSN":"13652524","PMID":"32052531","abstract":"Partnering across health clinics and community organisations, while worthwhile for improving health and well-being, is challenging and time consuming. Even partnerships that have essential elements for success in place face inevitable challenges. To better understand how cross-organisational partnerships work in practice, this paper examines collaborations between six primary care clinics and community-based organisations in the United States that were part of an initiative to address late-life depression using an enhanced collaborative care model (Archstone Foundation Care Partners Project). As part of an evaluation of the Care Partners Project, 54 key informant interviews and 10 focus groups were conducted from 2015 to 2017. Additionally, more than 80 project-related documents were reviewed. Qualitative thematic analysis was used to code the transcripts and identify prominent themes in the data. Examining clinic and community organisation partnerships in practice highlighted their inherent complexity. The partnerships were fluid and constantly evolving, shaped by a multiplicity of perspectives and values, and vulnerable to unpredictability. Care Partners sites negotiated the complexity of their partnerships drawing upon three main strategies: adaptation (allowing for flexibility and rapid change); integration (providing opportunities for multi-level partnerships within and across organisations) and cultivation (fostering a commitment to the partnership and its value). These strategies provided opportunities for Care Partners collaborators to work with the inherent complexity of partnering. Intentionally acknowledging and embracing such complexity rather than trying to reduce or avoid it, may allow clinic and community collaborators to strengthen and sustain their partnerships.","author":[{"dropping-particle":"","family":"Henderson","given":"Stuart","non-dropping-particle":"","parse-names":false,"suffix":""},{"dropping-particle":"","family":"Wagner","given":"Jenny L.","non-dropping-particle":"","parse-names":false,"suffix":""},{"dropping-particle":"","family":"Gosdin","given":"Melissa M.","non-dropping-particle":"","parse-names":false,"suffix":""},{"dropping-particle":"","family":"Hoeft","given":"Theresa J.","non-dropping-particle":"","parse-names":false,"suffix":""},{"dropping-particle":"","family":"Unützer","given":"Jürgen","non-dropping-particle":"","parse-names":false,"suffix":""},{"dropping-particle":"","family":"Rath","given":"Laura","non-dropping-particle":"","parse-names":false,"suffix":""},{"dropping-particle":"","family":"Hinton","given":"Ladson","non-dropping-particle":"","parse-names":false,"suffix":""}],"container-title":"Health and Social Care in the Community","id":"ITEM-2","issue":"4","issued":{"date-parts":[["2020"]]},"page":"1199-1208","title":"Complexity in partnerships: A qualitative examination of collaborative depression care in primary care clinics and community-based organisations in California, United States","type":"article-journal","volume":"28"},"uris":["http://www.mendeley.com/documents/?uuid=aaf32efb-2135-4ea7-9214-01ebc21544d4"]}],"mendeley":{"formattedCitation":"&lt;sup&gt;172,192&lt;/sup&gt;","plainTextFormattedCitation":"172,192","previouslyFormattedCitation":"&lt;sup&gt;172,192&lt;/sup&gt;"},"properties":{"noteIndex":0},"schema":"https://github.com/citation-style-language/schema/raw/master/csl-citation.json"}</w:instrText>
      </w:r>
      <w:r>
        <w:fldChar w:fldCharType="separate"/>
      </w:r>
      <w:r w:rsidR="00E25884" w:rsidRPr="00E25884">
        <w:rPr>
          <w:noProof/>
          <w:vertAlign w:val="superscript"/>
        </w:rPr>
        <w:t>172,192</w:t>
      </w:r>
      <w:r>
        <w:fldChar w:fldCharType="end"/>
      </w:r>
      <w:r>
        <w:t xml:space="preserve">. Additionally, having a larger size and/or quantity of organisations involved can make communicating more difficult, due to the increased number of involved actors and moving parts </w:t>
      </w:r>
      <w:r>
        <w:fldChar w:fldCharType="begin" w:fldLock="1"/>
      </w:r>
      <w:r w:rsidR="00804189">
        <w:instrText>ADDIN CSL_CITATION {"citationItems":[{"id":"ITEM-1","itemData":{"DOI":"10.1136/bmj.325.7358.246","ISSN":"09598146","abstract":"Objective: To study the processes involved in and impact of mergers between NHS trusts, including the effect on management costs. Design: Cross sectional study involving in depth interviews and documentary analysis; case study to compare savings in management costs between case trusts and control trusts. Setting: Nine trusts (cross sectional study) and four trusts (case study) in London. Participants: 96 interviews with trust board members, other senior managers, clinicians, service managers, and representatives of health authorities, regional office, community health councils, local authorities, other trusts in the area, and primary care groups and trusts. Main outcome measures: Stated and unstated drivers, and impact of merger on delivery and development of services, management structures, and staff recruitment, retention, and morale. Effects of difference in trust size before and after the merger. Savings in management costs two years after merger. Results: Some important drivers for merger are not publicly stated. Mergers had a negative effect on delivery of services because of a loss of managerial focus on services. Planned developments in services were delayed by at least 18 months. Trusts' larger sizes after mergers had unintended negative consequences, as well as predicted advantages. The tendency for one trust's management team to dominate over the other resulted in tension. No improvement in recruitment or retention of clinical and managerial staff was reported. Perceived differences in organisational culture were an important barrier to bringing together two or more organisations. Two years after merger, merged trusts had not achieved the objective of saving £500 000 a year in management costs. Conclusions: Important unintended consequences need to be accounted for when mergers are planned. Mergers can cause considerable disruptions to services, and require greater management support than previously acknowledged. Other organisations undergoing restructuring, such as primary care groups developing into primary care trusts and health authorities merging into strategic health authorities, should take these findings into account.","author":[{"dropping-particle":"","family":"Fulop","given":"Naomi","non-dropping-particle":"","parse-names":false,"suffix":""},{"dropping-particle":"","family":"Protopsaltis","given":"Gerasimos","non-dropping-particle":"","parse-names":false,"suffix":""},{"dropping-particle":"","family":"Hutchings","given":"Andrew","non-dropping-particle":"","parse-names":false,"suffix":""},{"dropping-particle":"","family":"King","given":"Annette","non-dropping-particle":"","parse-names":false,"suffix":""},{"dropping-particle":"","family":"Allen","given":"Pauline","non-dropping-particle":"","parse-names":false,"suffix":""},{"dropping-particle":"","family":"Normand","given":"Charles","non-dropping-particle":"","parse-names":false,"suffix":""},{"dropping-particle":"","family":"Walters","given":"Rhiannon","non-dropping-particle":"","parse-names":false,"suffix":""}],"container-title":"British Medical Journal","id":"ITEM-1","issue":"7358","issued":{"date-parts":[["2002"]]},"page":"246-249","title":"Process and impact of mergers of NHS trusts: Multicentre case study and management cost analysis","type":"article-journal","volume":"325"},"uris":["http://www.mendeley.com/documents/?uuid=f9213f97-3906-4651-9340-5411de66b628"]}],"mendeley":{"formattedCitation":"&lt;sup&gt;85&lt;/sup&gt;","plainTextFormattedCitation":"85","previouslyFormattedCitation":"&lt;sup&gt;85&lt;/sup&gt;"},"properties":{"noteIndex":0},"schema":"https://github.com/citation-style-language/schema/raw/master/csl-citation.json"}</w:instrText>
      </w:r>
      <w:r>
        <w:fldChar w:fldCharType="separate"/>
      </w:r>
      <w:r w:rsidR="00C4603E" w:rsidRPr="00C4603E">
        <w:rPr>
          <w:noProof/>
          <w:vertAlign w:val="superscript"/>
        </w:rPr>
        <w:t>85</w:t>
      </w:r>
      <w:r>
        <w:fldChar w:fldCharType="end"/>
      </w:r>
      <w:r>
        <w:t xml:space="preserve">. Compatibility of IT systems </w:t>
      </w:r>
      <w:r>
        <w:fldChar w:fldCharType="begin" w:fldLock="1"/>
      </w:r>
      <w:r w:rsidR="00EA4B53">
        <w:instrText>ADDIN CSL_CITATION {"citationItems":[{"id":"ITEM-1","itemData":{"DOI":"10.1108/JICA-12-2016-0047","ISSN":"14769018","abstract":"Purpose - Integrating health and social care is a priority in England, although there is little evidence that previous initiatives have reduced hospital admissions or costs. In total, 25 Integrated Care Pioneers have been established to drive change \"at scale and pace\". The early phases of the evaluation (April 2014-June 2016) aimed to identify their objectives, plans and activities, and to assess the extent to which they have overcome barriers to integration. In the longer term, the authors will assess whether integrated care leads to improved outcomes and quality of care and at what cost. The paper aims to discuss these issues. Design/methodology/approach - Mixed methods involving documentary analysis, qualitative interviews and an online key informant survey. Findings - Over time, there was a narrowing of the integration agenda in most Pioneers. The predominant approach was to establish community-based multi-disciplinary teams focussed on (older) people with multiple long-term conditions with extensive needs. Moving from design to delivery proved difficult, as many barriers are outside the control of local actors. There was limited evidence of service change. Research limitations/implications - Because the findings relate to the early stage of the 5+ years of the Pioneer programme (2014-2019), it is not yet possible to detect changes in services or in user experiences and outcomes. Practical implications - The persistence of many barriers to integration highlights the need for greater national support to remove them. Originality/value - The evaluation demonstrates that implementing integrated health and social care is not a short-term process and cannot be achieved without national support in tackling persistent barriers.","author":[{"dropping-particle":"","family":"Erens","given":"Bob","non-dropping-particle":"","parse-names":false,"suffix":""},{"dropping-particle":"","family":"Wistow","given":"Gerald","non-dropping-particle":"","parse-names":false,"suffix":""},{"dropping-particle":"","family":"Mounier-Jack","given":"Sandra","non-dropping-particle":"","parse-names":false,"suffix":""},{"dropping-particle":"","family":"Douglas","given":"Nick","non-dropping-particle":"","parse-names":false,"suffix":""},{"dropping-particle":"","family":"Manacorda","given":"Tommaso","non-dropping-particle":"","parse-names":false,"suffix":""},{"dropping-particle":"","family":"Durand","given":"Mary Alison","non-dropping-particle":"","parse-names":false,"suffix":""},{"dropping-particle":"","family":"Mays","given":"Nicholas","non-dropping-particle":"","parse-names":false,"suffix":""}],"container-title":"Journal of Integrated Care","id":"ITEM-1","issue":"3","issued":{"date-parts":[["2017"]]},"page":"137-149","publisher":"Emerald","title":"Early findings from the evaluation of the Integrated Care and Support Pioneers in England","type":"article-journal","volume":"25"},"uris":["http://www.mendeley.com/documents/?uuid=5cebea46-5b5f-4d98-9d2b-6f7899410f8e"]},{"id":"ITEM-2","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-2","issue":"November","issued":{"date-parts":[["2020"]]},"title":"HS &amp; DR Rapid Evaluation Centre Topic Report Early evidence of the development of primary care networks in England: a rapid evaluation study","type":"report"},"uris":["http://www.mendeley.com/documents/?uuid=d8ac51e3-1c56-426a-b71e-68e97e21b386"]}],"mendeley":{"formattedCitation":"&lt;sup&gt;37,160&lt;/sup&gt;","plainTextFormattedCitation":"37,160","previouslyFormattedCitation":"&lt;sup&gt;37,160&lt;/sup&gt;"},"properties":{"noteIndex":0},"schema":"https://github.com/citation-style-language/schema/raw/master/csl-citation.json"}</w:instrText>
      </w:r>
      <w:r>
        <w:fldChar w:fldCharType="separate"/>
      </w:r>
      <w:r w:rsidR="00E25884" w:rsidRPr="00E25884">
        <w:rPr>
          <w:noProof/>
          <w:vertAlign w:val="superscript"/>
        </w:rPr>
        <w:t>37,160</w:t>
      </w:r>
      <w:r>
        <w:fldChar w:fldCharType="end"/>
      </w:r>
      <w:r>
        <w:t xml:space="preserve">, joint staff appointments </w:t>
      </w:r>
      <w:r>
        <w:fldChar w:fldCharType="begin" w:fldLock="1"/>
      </w:r>
      <w:r w:rsidR="00EA4B53">
        <w:instrText>ADDIN CSL_CITATION {"citationItems":[{"id":"ITEM-1","itemData":{"ISBN":"9781909029","abstract":"A core part of the vision laid out in the NHS five year forward view (Forward View) involves acute hospitals becoming more closely integrated with other forms of care. If the health and social care system is to respond to the changing needs of the population, and also address the financial challenges it faces, acute hospitals will need to play a fundamentally different role within local health economies. This will involve: • moving from an organisational focus to a system-wide perspective • working more closely with local partners, including primary care, social care and community services • developing integrated service models that span organisational boundaries • providing services through horizontal networks with other acute hospitals. This report explores the role that acute hospitals can play in integrated care, drawing on learning from five case study sites in England where acute hospital providers have engaged actively with the integration agenda.","author":[{"dropping-particle":"","family":"Naylor","given":"Chris","non-dropping-particle":"","parse-names":false,"suffix":""},{"dropping-particle":"","family":"Alderwick","given":"Hugh","non-dropping-particle":"","parse-names":false,"suffix":""},{"dropping-particle":"","family":"Honeyman","given":"Matthew","non-dropping-particle":"","parse-names":false,"suffix":""}],"container-title":"King's Fund (revista electrónica)","id":"ITEM-1","issue":"March","issued":{"date-parts":[["2015"]]},"page":"1-90","title":"Acute hospitals and integrated care. From hospitals to health systems.","type":"article-journal"},"uris":["http://www.mendeley.com/documents/?uuid=934e1f78-de81-450c-9f54-205563a3bb17"]}],"mendeley":{"formattedCitation":"&lt;sup&gt;183&lt;/sup&gt;","plainTextFormattedCitation":"183","previouslyFormattedCitation":"&lt;sup&gt;183&lt;/sup&gt;"},"properties":{"noteIndex":0},"schema":"https://github.com/citation-style-language/schema/raw/master/csl-citation.json"}</w:instrText>
      </w:r>
      <w:r>
        <w:fldChar w:fldCharType="separate"/>
      </w:r>
      <w:r w:rsidR="00E25884" w:rsidRPr="00E25884">
        <w:rPr>
          <w:noProof/>
          <w:vertAlign w:val="superscript"/>
        </w:rPr>
        <w:t>183</w:t>
      </w:r>
      <w:r>
        <w:fldChar w:fldCharType="end"/>
      </w:r>
      <w:r>
        <w:t xml:space="preserve">, and having regular collaboration-wide meetings can also work to increase trust as an outcome through the mechanism of interpersonal communication </w:t>
      </w:r>
      <w:r>
        <w:fldChar w:fldCharType="begin" w:fldLock="1"/>
      </w:r>
      <w:r w:rsidR="00804189">
        <w:instrText>ADDIN CSL_CITATION {"citationItems":[{"id":"ITEM-1","itemData":{"DOI":"10.1080/13561820701585353","ISBN":"1356182070","ISSN":"13561820","abstract":"This paper describes an action research study which focused on an exploration of the aspirations for and initial achievements of Stratham Mental Health NHS and Social Care Trust. Local leaders perceived that Stratham had a good history of health and social care partnership working and as such, adopted an integrationist view of culture to help shape the context of the new structural form. In doing so, consistency remained a key message to staff throughout this organizational transition and the change did not appear to cause the distraction to core business which the literature suggests it would do so. However, this continuity may have come at a cost, at least initially. In the process of formalizing the previous partnership into a Care Trust, Stratham may not have produced all the beneficial effects of synergy which are usually (albeit eventually) associated with mergers in the private sector. Certainly, local actors could see opportunities that had been missed. By focusing on the structural manifestation of the relationship, the opportunities to broaden informal horizontal linkages may have been underexploited. The study of Stratham serves to confirm that the integrationist conception of culture is limited and that the differentiation of professional groupings and the ambiguity of individual experience will always make contested the meanings that are attributed to organizational change.","author":[{"dropping-particle":"","family":"Dickinson","given":"Helen","non-dropping-particle":"","parse-names":false,"suffix":""},{"dropping-particle":"","family":"Peck","given":"Edward","non-dropping-particle":"","parse-names":false,"suffix":""},{"dropping-particle":"","family":"Davidson","given":"Deborah","non-dropping-particle":"","parse-names":false,"suffix":""}],"container-title":"Journal of Interprofessional Care","id":"ITEM-1","issue":"5","issued":{"date-parts":[["2007"]]},"page":"503-513","title":"Opportunity seized or missed? A case study of leadership and organizational change in the creation of a Care Trust","type":"article-journal","volume":"21"},"uris":["http://www.mendeley.com/documents/?uuid=78fd82fa-19cd-45ef-aa87-73c82532c532"]},{"id":"ITEM-2","itemData":{"DOI":"https://dx.doi.org/10.7861/futurehosp.6-1-67","ISSN":"2514-6645","abstract":"Increased NHS regulation has identified many healthcare organisations with operational and/or financial difficulties. Although the causes are often complex, most cases are effectively managed internally with limited input from external agencies. How best to support the few organisations needing additional support has not been established. 'Buddying', in which senior clinical and managerial teams from a well performing organisation work with colleagues from an organisation in difficulty has been proposed as a potential solution. Previous reports suggest that these partnerships are generally valued by the organisation in difficulty but there is a paucity of measured operational benefit. In this article we present our experience of a 'buddying agreement' and its impact on the introduction of a new 'whole system' medical pathway (ie rotas, staffing, process) at an organisation in difficulty. We describe the process, problems, effect on operational performance, staff survey feedback six months post-implementation and the lessons learned. Factors critical to success were good communication; clear responsibilities, common values and strong governance; incorporation into an effective local improvement programme; targeting of specific issues; ability to influence people and foster relationships; adequate 'manpower' and gradual transition to local 'ownership'.","author":[{"dropping-particle":"","family":"Leach","given":"Richard","non-dropping-particle":"","parse-names":false,"suffix":""},{"dropping-particle":"","family":"Banerjee","given":"Sandip","non-dropping-particle":"","parse-names":false,"suffix":""},{"dropping-particle":"","family":"Beer","given":"Gail","non-dropping-particle":"","parse-names":false,"suffix":""},{"dropping-particle":"","family":"Tencheva","given":"Svetka","non-dropping-particle":"","parse-names":false,"suffix":""},{"dropping-particle":"","family":"Conn","given":"Deidre","non-dropping-particle":"","parse-names":false,"suffix":""},{"dropping-particle":"","family":"Waterman","given":"Ashley","non-dropping-particle":"","parse-names":false,"suffix":""},{"dropping-particle":"","family":"Parrott","given":"Jackie","non-dropping-particle":"","parse-names":false,"suffix":""},{"dropping-particle":"","family":"Gifford","given":"Julie","non-dropping-particle":"","parse-names":false,"suffix":""},{"dropping-particle":"","family":"Steddon","given":"Simon","non-dropping-particle":"","parse-names":false,"suffix":""},{"dropping-particle":"","family":"Abbs","given":"Ian","non-dropping-particle":"","parse-names":false,"suffix":""},{"dropping-particle":"","family":"Pritchard","given":"Amanda","non-dropping-particle":"","parse-names":false,"suffix":""},{"dropping-particle":"","family":"Kerr","given":"Ron","non-dropping-particle":"","parse-names":false,"suffix":""},{"dropping-particle":"","family":"Dwyer","given":"Lesley","non-dropping-particle":"","parse-names":false,"suffix":""},{"dropping-particle":"","family":"Hamilton-Fairley","given":"Diana","non-dropping-particle":"","parse-names":false,"suffix":""}],"container-title":"Future healthcare journal","id":"ITEM-2","issue":"1","issued":{"date-parts":[["2019"]]},"page":"67-75","publisher-place":"England","title":"QUALITY IMPROVEMENT: Supporting a hospital in difficulty: -experience of a '-buddying' agreement to implement a new medical pathway.","type":"article-journal","volume":"6"},"uris":["http://www.mendeley.com/documents/?uuid=104b95db-03a3-4575-80c5-934c35187a13"]}],"mendeley":{"formattedCitation":"&lt;sup&gt;102,158&lt;/sup&gt;","plainTextFormattedCitation":"102,158","previouslyFormattedCitation":"&lt;sup&gt;102,158&lt;/sup&gt;"},"properties":{"noteIndex":0},"schema":"https://github.com/citation-style-language/schema/raw/master/csl-citation.json"}</w:instrText>
      </w:r>
      <w:r>
        <w:fldChar w:fldCharType="separate"/>
      </w:r>
      <w:r w:rsidR="00C4603E" w:rsidRPr="00C4603E">
        <w:rPr>
          <w:noProof/>
          <w:vertAlign w:val="superscript"/>
        </w:rPr>
        <w:t>102,158</w:t>
      </w:r>
      <w:r>
        <w:fldChar w:fldCharType="end"/>
      </w:r>
      <w:r>
        <w:t xml:space="preserve">. When cultures are mismatched or not mutually understood, conflict can occur, which thereby reduces trust </w:t>
      </w:r>
      <w:r>
        <w:fldChar w:fldCharType="begin" w:fldLock="1"/>
      </w:r>
      <w:r w:rsidR="00EA4B53">
        <w:instrText>ADDIN CSL_CITATION {"citationItems":[{"id":"ITEM-1","itemData":{"DOI":"10.1080/13561820120080454","ISSN":"13561820","PMID":"11725579","abstract":"On the 1st of April 1999 Somerset Health Authority and Somerset County Council established a Joint Commissioning Board (JCB) to commission mental health services. Simultaneously, the Somerset Partnerships Health and Social Care NHS Trust was set-up as a combined health and social care services provider; for the first time in England, the majority of social services mental health staff transferred their employment to this Trust. The JCB commissioned an evaluation of the impact of these innovations on users and carers, staff and senior officers and members in the organisations concerned. In the course of the research, one concept frequently recurred as a source of both optimism and concern: 'culture'. However, the meanings attributed to this term varied significantly between stakeholders. After summarising the methodology and the results to date of the evaluation, this paper briefly reviews the conceptions of culture in the literature on organisations, and introduces a taxonomy for discussing culture. That taxonomy is then deployed to explore the ways in which the notion of 'culture' is being applied to and within the combined Trust in Somerset, and the implications of those applications for local practice and national policy around partnership.","author":[{"dropping-particle":"","family":"Peck","given":"E.","non-dropping-particle":"","parse-names":false,"suffix":""},{"dropping-particle":"","family":"Towell","given":"D.","non-dropping-particle":"","parse-names":false,"suffix":""},{"dropping-particle":"","family":"Gulliver","given":"P.","non-dropping-particle":"","parse-names":false,"suffix":""}],"container-title":"Journal of Interprofessional Care","id":"ITEM-1","issue":"4","issued":{"date-parts":[["2001"]]},"page":"319-327","title":"The meanings of 'culture' in health and social care: A case study of the combined Trust in Somerset","type":"article-journal","volume":"15"},"uris":["http://www.mendeley.com/documents/?uuid=05594aaf-6703-4eea-a503-148c06567ff0"]}],"mendeley":{"formattedCitation":"&lt;sup&gt;188&lt;/sup&gt;","plainTextFormattedCitation":"188","previouslyFormattedCitation":"&lt;sup&gt;188&lt;/sup&gt;"},"properties":{"noteIndex":0},"schema":"https://github.com/citation-style-language/schema/raw/master/csl-citation.json"}</w:instrText>
      </w:r>
      <w:r>
        <w:fldChar w:fldCharType="separate"/>
      </w:r>
      <w:r w:rsidR="00E25884" w:rsidRPr="00E25884">
        <w:rPr>
          <w:noProof/>
          <w:vertAlign w:val="superscript"/>
        </w:rPr>
        <w:t>188</w:t>
      </w:r>
      <w:r>
        <w:fldChar w:fldCharType="end"/>
      </w:r>
      <w:r>
        <w:t xml:space="preserve">. Improving cultural assimilation by configuring the context is also possible, which can also go on to enhance trust. A mutual cultural understanding can be fostered by: ensuring a shared vision of the collaboration is in place </w:t>
      </w:r>
      <w:r>
        <w:fldChar w:fldCharType="begin" w:fldLock="1"/>
      </w:r>
      <w:r w:rsidR="00EA4B53">
        <w:instrText>ADDIN CSL_CITATION {"citationItems":[{"id":"ITEM-1","itemData":{"author":[{"dropping-particle":"","family":"Community Network","given":"","non-dropping-particle":"","parse-names":false,"suffix":""}],"id":"ITEM-1","issue":"July","issued":{"date-parts":[["2020"]]},"title":"Delivering integrated care at neighbourhood level","type":"article-journal"},"uris":["http://www.mendeley.com/documents/?uuid=ed5f9976-47e4-4997-9459-f8ccbb0f14ea"]}],"mendeley":{"formattedCitation":"&lt;sup&gt;153&lt;/sup&gt;","plainTextFormattedCitation":"153","previouslyFormattedCitation":"&lt;sup&gt;153&lt;/sup&gt;"},"properties":{"noteIndex":0},"schema":"https://github.com/citation-style-language/schema/raw/master/csl-citation.json"}</w:instrText>
      </w:r>
      <w:r>
        <w:fldChar w:fldCharType="separate"/>
      </w:r>
      <w:r w:rsidR="00E25884" w:rsidRPr="00E25884">
        <w:rPr>
          <w:noProof/>
          <w:vertAlign w:val="superscript"/>
        </w:rPr>
        <w:t>153</w:t>
      </w:r>
      <w:r>
        <w:fldChar w:fldCharType="end"/>
      </w:r>
      <w:r>
        <w:t xml:space="preserve">, by having a cross-organisational ‘inspirational leader’ who also engages in role-modelling behaviours </w:t>
      </w:r>
      <w:r>
        <w:fldChar w:fldCharType="begin" w:fldLock="1"/>
      </w:r>
      <w:r w:rsidR="00EA4B53">
        <w:instrText>ADDIN CSL_CITATION {"citationItems":[{"id":"ITEM-1","itemData":{"DOI":"10.1080/13561820701585353","ISBN":"1356182070","ISSN":"13561820","abstract":"This paper describes an action research study which focused on an exploration of the aspirations for and initial achievements of Stratham Mental Health NHS and Social Care Trust. Local leaders perceived that Stratham had a good history of health and social care partnership working and as such, adopted an integrationist view of culture to help shape the context of the new structural form. In doing so, consistency remained a key message to staff throughout this organizational transition and the change did not appear to cause the distraction to core business which the literature suggests it would do so. However, this continuity may have come at a cost, at least initially. In the process of formalizing the previous partnership into a Care Trust, Stratham may not have produced all the beneficial effects of synergy which are usually (albeit eventually) associated with mergers in the private sector. Certainly, local actors could see opportunities that had been missed. By focusing on the structural manifestation of the relationship, the opportunities to broaden informal horizontal linkages may have been underexploited. The study of Stratham serves to confirm that the integrationist conception of culture is limited and that the differentiation of professional groupings and the ambiguity of individual experience will always make contested the meanings that are attributed to organizational change.","author":[{"dropping-particle":"","family":"Dickinson","given":"Helen","non-dropping-particle":"","parse-names":false,"suffix":""},{"dropping-particle":"","family":"Peck","given":"Edward","non-dropping-particle":"","parse-names":false,"suffix":""},{"dropping-particle":"","family":"Davidson","given":"Deborah","non-dropping-particle":"","parse-names":false,"suffix":""}],"container-title":"Journal of Interprofessional Care","id":"ITEM-1","issue":"5","issued":{"date-parts":[["2007"]]},"page":"503-513","title":"Opportunity seized or missed? A case study of leadership and organizational change in the creation of a Care Trust","type":"article-journal","volume":"21"},"uris":["http://www.mendeley.com/documents/?uuid=78fd82fa-19cd-45ef-aa87-73c82532c532"]}],"mendeley":{"formattedCitation":"&lt;sup&gt;158&lt;/sup&gt;","plainTextFormattedCitation":"158","previouslyFormattedCitation":"&lt;sup&gt;158&lt;/sup&gt;"},"properties":{"noteIndex":0},"schema":"https://github.com/citation-style-language/schema/raw/master/csl-citation.json"}</w:instrText>
      </w:r>
      <w:r>
        <w:fldChar w:fldCharType="separate"/>
      </w:r>
      <w:r w:rsidR="00E25884" w:rsidRPr="00E25884">
        <w:rPr>
          <w:noProof/>
          <w:vertAlign w:val="superscript"/>
        </w:rPr>
        <w:t>158</w:t>
      </w:r>
      <w:r>
        <w:fldChar w:fldCharType="end"/>
      </w:r>
      <w:r>
        <w:t xml:space="preserve">, and by supporting staff through the transition </w:t>
      </w:r>
      <w:r>
        <w:fldChar w:fldCharType="begin" w:fldLock="1"/>
      </w:r>
      <w:r w:rsidR="00EA4B53">
        <w:instrText>ADDIN CSL_CITATION {"citationItems":[{"id":"ITEM-1","itemData":{"ISSN":"0966-0429","abstract":"The influence of the merger of two major medical centres on the emotional well-being of nurses was investigated by use of a questionnaire on emotional distress, perception of threat, self-efficacy and emotional reactivity. Evaluations were carried out one month prior to the merger at the official announcement, and again half a year after the merger took place. Before the merger, threat perception was higher in the transferring nurses, but the difference was of borderline significance (P = 0.05). There was a significant positive correlation between threat perception and both emotional reactivity and emotional distress, and a significant negative correlation between self-efficacy and both threat perception and emotional distress (P &lt; 0.001 for all). After the merger, the transferring nurses showed more emotional distress (P = 0.009). There was a significant positive correlation between threat perception, emotional distress and negative outcome variables such as burnout and stress (P &lt; 0.001), and a significant negative correlation between threat perception and positive outcome variables such as growth (P &lt; 0.01). This study identifies some personal characteristics that can affect the way nurses deal with hospital mergers and need to be considered during organisational changes in order to maintain job satisfaction. 30 refs. [Abstract]","author":[{"dropping-particle":"","family":"Idel","given":"Menucha","non-dropping-particle":"","parse-names":false,"suffix":""}],"container-title":"Journal of Nursing Management","id":"ITEM-1","issue":"1","issued":{"date-parts":[["2003"]]},"note":"Useful for workforce","page":"59-63","title":"Influence of a merger on nurses' emotional well-being : the importance of self-efficacy and emotional reactivity.","type":"article-journal","volume":"11"},"uris":["http://www.mendeley.com/documents/?uuid=ddac9754-6b82-426f-a705-0c24f86442b3"]}],"mendeley":{"formattedCitation":"&lt;sup&gt;173&lt;/sup&gt;","plainTextFormattedCitation":"173","previouslyFormattedCitation":"&lt;sup&gt;173&lt;/sup&gt;"},"properties":{"noteIndex":0},"schema":"https://github.com/citation-style-language/schema/raw/master/csl-citation.json"}</w:instrText>
      </w:r>
      <w:r>
        <w:fldChar w:fldCharType="separate"/>
      </w:r>
      <w:r w:rsidR="00E25884" w:rsidRPr="00E25884">
        <w:rPr>
          <w:noProof/>
          <w:vertAlign w:val="superscript"/>
        </w:rPr>
        <w:t>173</w:t>
      </w:r>
      <w:r>
        <w:fldChar w:fldCharType="end"/>
      </w:r>
      <w:r>
        <w:t xml:space="preserve">. It can also be improved by having joint teams of staff to work on shared goals, which can improve a sense of collegiality </w:t>
      </w:r>
      <w:r>
        <w:fldChar w:fldCharType="begin" w:fldLock="1"/>
      </w:r>
      <w:r w:rsidR="00EA4B53">
        <w:instrText>ADDIN CSL_CITATION {"citationItems":[{"id":"ITEM-1","itemData":{"author":[{"dropping-particle":"","family":"Community Network","given":"","non-dropping-particle":"","parse-names":false,"suffix":""}],"id":"ITEM-1","issue":"July","issued":{"date-parts":[["2020"]]},"title":"Delivering neighbourhood-level integrated care in Leeds","type":"article-journal"},"uris":["http://www.mendeley.com/documents/?uuid=767c4bc3-6045-43d9-9bf6-2dbc84a19352"]},{"id":"ITEM-2","itemData":{"author":[{"dropping-particle":"","family":"Community Network","given":"","non-dropping-particle":"","parse-names":false,"suffix":""}],"id":"ITEM-2","issue":"July","issued":{"date-parts":[["2020"]]},"title":"Delivering neighbourhood-level integrated care in Haringey and Islington","type":"article-journal"},"uris":["http://www.mendeley.com/documents/?uuid=c05e582e-81c3-408f-b819-37cac2ef0b84"]}],"mendeley":{"formattedCitation":"&lt;sup&gt;150,154&lt;/sup&gt;","plainTextFormattedCitation":"150,154","previouslyFormattedCitation":"&lt;sup&gt;150,154&lt;/sup&gt;"},"properties":{"noteIndex":0},"schema":"https://github.com/citation-style-language/schema/raw/master/csl-citation.json"}</w:instrText>
      </w:r>
      <w:r>
        <w:fldChar w:fldCharType="separate"/>
      </w:r>
      <w:r w:rsidR="00E25884" w:rsidRPr="00E25884">
        <w:rPr>
          <w:noProof/>
          <w:vertAlign w:val="superscript"/>
        </w:rPr>
        <w:t>150,154</w:t>
      </w:r>
      <w:r>
        <w:fldChar w:fldCharType="end"/>
      </w:r>
      <w:r>
        <w:t xml:space="preserve">. It was evident in the literature that certain passive elements, such as the pre-existing degree of cultural distance, and whether or not the collaboration is perceived as forced upon staff, can also significantly change the difficulty of cultural assimilation </w:t>
      </w:r>
      <w:r>
        <w:fldChar w:fldCharType="begin" w:fldLock="1"/>
      </w:r>
      <w:r w:rsidR="00EA4B53">
        <w:instrText>ADDIN CSL_CITATION {"citationItems":[{"id":"ITEM-1","itemData":{"ISBN":"978 1 909029 95 8","author":[{"dropping-particle":"","family":"Timmins","given":"Nicholas","non-dropping-particle":"","parse-names":false,"suffix":""}],"id":"ITEM-1","issue":"November","issued":{"date-parts":[["2019"]]},"page":"3-25","title":"Leading for integrated care: 'If you think competition is hard, you should try collaboration'","type":"article-journal"},"uris":["http://www.mendeley.com/documents/?uuid=5a8583bf-e072-46b5-b3cd-6d247894e29e"]}],"mendeley":{"formattedCitation":"&lt;sup&gt;197&lt;/sup&gt;","plainTextFormattedCitation":"197","previouslyFormattedCitation":"&lt;sup&gt;197&lt;/sup&gt;"},"properties":{"noteIndex":0},"schema":"https://github.com/citation-style-language/schema/raw/master/csl-citation.json"}</w:instrText>
      </w:r>
      <w:r>
        <w:fldChar w:fldCharType="separate"/>
      </w:r>
      <w:r w:rsidR="00E25884" w:rsidRPr="00E25884">
        <w:rPr>
          <w:noProof/>
          <w:vertAlign w:val="superscript"/>
        </w:rPr>
        <w:t>197</w:t>
      </w:r>
      <w:r>
        <w:fldChar w:fldCharType="end"/>
      </w:r>
      <w:r>
        <w:t>.</w:t>
      </w:r>
    </w:p>
    <w:p w14:paraId="30DC5DC1" w14:textId="77777777" w:rsidR="00EE501D" w:rsidRDefault="00EE501D" w:rsidP="00525BE0">
      <w:pPr>
        <w:pStyle w:val="Heading4"/>
        <w:jc w:val="both"/>
      </w:pPr>
      <w:r>
        <w:t>Atemporal elements impacting collaboration</w:t>
      </w:r>
    </w:p>
    <w:p w14:paraId="11057D7F" w14:textId="213A1820" w:rsidR="00EE501D" w:rsidRDefault="00EE501D" w:rsidP="00525BE0">
      <w:pPr>
        <w:spacing w:line="360" w:lineRule="auto"/>
        <w:jc w:val="both"/>
      </w:pPr>
      <w:r>
        <w:t xml:space="preserve">Conflicts between organisations can occur as a result of deteriorations in trust, as a result of ‘acute events’ such as failures on specific tasks, or from accumulating tensions caused by cultural distance, for example </w:t>
      </w:r>
      <w:r>
        <w:fldChar w:fldCharType="begin" w:fldLock="1"/>
      </w:r>
      <w:r w:rsidR="006A5B59">
        <w:instrText>ADDIN CSL_CITATION {"citationItems":[{"id":"ITEM-1","itemData":{"DOI":"10.1111/1468-0009.12356","ISSN":"14680009","abstract":"Policy Points Accountable care organizations (ACOs) form alliances with management partners to access financial, technical, and managerial support. Alliances between ACOs and management partners are subject to destabilizing tension around decision-making authority, distribution of shared savings, and conflicting goals and values. Management partners may serve either as trainers, ultimately breaking off from the ACO, or as central drivers of the ACO. Management partner participation in ACOs is currently unregulated, and management partners may receive a significant portion (in some cases, majority) of shared savings. Context: Accountable care organizations (ACOs) are a prominent payment and delivery model. Though ACOs are often described as groups of health care providers, nearly 4 in 10 ACOs partner with a management company for services such as financial investment, contracting, data analytics, and care management, according to recent research. However, we know little about how and why these partnerships form. This article aims to understand the reasons providers seek partners, the nature of these relationships, and factors critical to the success or failure of these alliances. Methods: We used qualitative data collected longitudinally from 2012 to 2017 at 2 ACOs to understand relationships between management partners and ACO providers. The data include 115 semistructured interviews and observational data from 7 site visits. Two coders applied 48 codes to the data. We reviewed coded data for emergent themes in the context of alliance life cycle theory. Findings: Qualitative data revealed that management partners brought specific skills and services and also gave providers confidence in pursuing an ACO. Over time, tension between providers and management partners arose around decision-making authority, distribution of shared savings, and conflicting goals and values. We observed 2 outcomes of partnerships: cemented partnerships and dissolution. Key factors distinguishing alliance outcome in these 2 cases include degree of trust between organizations in the alliance; approach to conflict resolution; distribution of power in the alliance; skills and confidence acquired by the ACO over the life of the alliance; continuity of management partner delivery on promised resources; and proportion of savings going to the management partner. Conclusions: The diverging paths for ACOs with management partners suggest 2 different roles that management partners may pla…","author":[{"dropping-particle":"","family":"Murray","given":"Genevra F.","non-dropping-particle":"","parse-names":false,"suffix":""},{"dropping-particle":"","family":"D'Aunno","given":"Thomas","non-dropping-particle":"","parse-names":false,"suffix":""},{"dropping-particle":"","family":"Lewis","given":"Valerie A.","non-dropping-particle":"","parse-names":false,"suffix":""}],"container-title":"Milbank Quarterly","id":"ITEM-1","issue":"4","issued":{"date-parts":[["2018"]]},"page":"755-781","title":"Trust, Money, and Power: Life Cycle Dynamics in Alliances Between Management Partners and Accountable Care Organizations","type":"article-journal","volume":"96"},"uris":["http://www.mendeley.com/documents/?uuid=87ed0673-8dc6-4539-95b4-fffb3d412316"]},{"id":"ITEM-2","itemData":{"DOI":"10.1186/s13643-021-01630-8","author":[{"dropping-particle":"","family":"Aunger","given":"Justin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Reviews","id":"ITEM-2","issue":"82","issued":{"date-parts":[["2021"]]},"title":"Why do some inter-organisational collaborations in healthcare work when others do not? A realist review","type":"article-journal","volume":"10"},"uris":["http://www.mendeley.com/documents/?uuid=4c2502ce-f262-41ce-80f9-fb7d74555f78"]}],"mendeley":{"formattedCitation":"&lt;sup&gt;100,138&lt;/sup&gt;","plainTextFormattedCitation":"100,138","previouslyFormattedCitation":"&lt;sup&gt;100,138&lt;/sup&gt;"},"properties":{"noteIndex":0},"schema":"https://github.com/citation-style-language/schema/raw/master/csl-citation.json"}</w:instrText>
      </w:r>
      <w:r>
        <w:fldChar w:fldCharType="separate"/>
      </w:r>
      <w:r w:rsidR="006A5B59" w:rsidRPr="006A5B59">
        <w:rPr>
          <w:noProof/>
          <w:vertAlign w:val="superscript"/>
        </w:rPr>
        <w:t>100,138</w:t>
      </w:r>
      <w:r>
        <w:fldChar w:fldCharType="end"/>
      </w:r>
      <w:r>
        <w:t xml:space="preserve">. Conflicts directly cause a loss of faith in the collaboration and trust between partners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xml:space="preserve">. As such, there is a reciprocal relationship between conflict and trust, and conflict and faith (figure </w:t>
      </w:r>
      <w:r w:rsidR="00C259F3">
        <w:t>3</w:t>
      </w:r>
      <w:r>
        <w:t>). This is supported by excerpts such as: “</w:t>
      </w:r>
      <w:r w:rsidRPr="00647752">
        <w:rPr>
          <w:i/>
          <w:iCs/>
        </w:rPr>
        <w:t>Conflict, for example, due to competition between partners, increases the difficulty in predicting the partner’s behaviour and increases the uncertainty in the decision to trust</w:t>
      </w:r>
      <w:r>
        <w:t xml:space="preserve">” </w:t>
      </w:r>
      <w:r>
        <w:fldChar w:fldCharType="begin" w:fldLock="1"/>
      </w:r>
      <w:r w:rsidR="00EA4B53">
        <w:instrText>ADDIN CSL_CITATION {"citationItems":[{"id":"ITEM-1","itemData":{"author":[{"dropping-particle":"","family":"NHS Employers","given":"","non-dropping-particle":"","parse-names":false,"suffix":""}],"id":"ITEM-1","issued":{"date-parts":[["2017"]]},"page":"1-56","title":"Trustworthy Collaboration","type":"article-journal"},"locator":"13","uris":["http://www.mendeley.com/documents/?uuid=419502eb-b01f-41ca-aec3-bc02a63dec92"]}],"mendeley":{"formattedCitation":"&lt;sup&gt;44&lt;/sup&gt;","plainTextFormattedCitation":"44","previouslyFormattedCitation":"&lt;sup&gt;44&lt;/sup&gt;"},"properties":{"noteIndex":0},"schema":"https://github.com/citation-style-language/schema/raw/master/csl-citation.json"}</w:instrText>
      </w:r>
      <w:r>
        <w:fldChar w:fldCharType="separate"/>
      </w:r>
      <w:r w:rsidR="00E25884" w:rsidRPr="00E25884">
        <w:rPr>
          <w:noProof/>
          <w:vertAlign w:val="superscript"/>
        </w:rPr>
        <w:t>44</w:t>
      </w:r>
      <w:r>
        <w:fldChar w:fldCharType="end"/>
      </w:r>
      <w:r>
        <w:t xml:space="preserve">. Reductions in faith can also lead to intra-organisational conflict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xml:space="preserve">. We also found that conflict can be modulated when it occurs by the approach to conflict resolution. Conflict resolution is now a mechanism in itself in this refined theory, which can dampen the impact of conflict on trust or faith </w:t>
      </w:r>
      <w:r>
        <w:fldChar w:fldCharType="begin" w:fldLock="1"/>
      </w:r>
      <w:r w:rsidR="00EA4B53">
        <w:instrText>ADDIN CSL_CITATION {"citationItems":[{"id":"ITEM-1","itemData":{"ISBN":"9781909029","abstract":"A core part of the vision laid out in the NHS five year forward view (Forward View) involves acute hospitals becoming more closely integrated with other forms of care. If the health and social care system is to respond to the changing needs of the population, and also address the financial challenges it faces, acute hospitals will need to play a fundamentally different role within local health economies. This will involve: • moving from an organisational focus to a system-wide perspective • working more closely with local partners, including primary care, social care and community services • developing integrated service models that span organisational boundaries • providing services through horizontal networks with other acute hospitals. This report explores the role that acute hospitals can play in integrated care, drawing on learning from five case study sites in England where acute hospital providers have engaged actively with the integration agenda.","author":[{"dropping-particle":"","family":"Naylor","given":"Chris","non-dropping-particle":"","parse-names":false,"suffix":""},{"dropping-particle":"","family":"Alderwick","given":"Hugh","non-dropping-particle":"","parse-names":false,"suffix":""},{"dropping-particle":"","family":"Honeyman","given":"Matthew","non-dropping-particle":"","parse-names":false,"suffix":""}],"container-title":"King's Fund (revista electrónica)","id":"ITEM-1","issue":"March","issued":{"date-parts":[["2015"]]},"page":"1-90","title":"Acute hospitals and integrated care. From hospitals to health systems.","type":"article-journal"},"uris":["http://www.mendeley.com/documents/?uuid=934e1f78-de81-450c-9f54-205563a3bb17"]}],"mendeley":{"formattedCitation":"&lt;sup&gt;183&lt;/sup&gt;","plainTextFormattedCitation":"183","previouslyFormattedCitation":"&lt;sup&gt;183&lt;/sup&gt;"},"properties":{"noteIndex":0},"schema":"https://github.com/citation-style-language/schema/raw/master/csl-citation.json"}</w:instrText>
      </w:r>
      <w:r>
        <w:fldChar w:fldCharType="separate"/>
      </w:r>
      <w:r w:rsidR="00E25884" w:rsidRPr="00E25884">
        <w:rPr>
          <w:noProof/>
          <w:vertAlign w:val="superscript"/>
        </w:rPr>
        <w:t>183</w:t>
      </w:r>
      <w:r>
        <w:fldChar w:fldCharType="end"/>
      </w:r>
      <w:r>
        <w:t>.</w:t>
      </w:r>
    </w:p>
    <w:p w14:paraId="1AAC3673" w14:textId="543A8204" w:rsidR="00EE501D" w:rsidRDefault="00EE501D" w:rsidP="00525BE0">
      <w:pPr>
        <w:spacing w:line="360" w:lineRule="auto"/>
        <w:jc w:val="both"/>
      </w:pPr>
      <w:r>
        <w:t xml:space="preserve">This refinement stage further identifies that use of external, impartial deal brokers and committees can lessen the impact of conflict on trust by moving the locus of that trust to the third party rather than the partner </w:t>
      </w:r>
      <w:r>
        <w:fldChar w:fldCharType="begin" w:fldLock="1"/>
      </w:r>
      <w:r w:rsidR="00EA4B53">
        <w:instrText>ADDIN CSL_CITATION {"citationItems":[{"id":"ITEM-1","itemData":{"DOI":"10.1080/13561820600890235","ISSN":"13561820","abstract":"The need to provide more joined services in health and social care is now recognized by governments as a major objective, and technology is increasingly seen as the key to achieving it. This paper is based upon the authors' experience as research partners in a national project in England known as FrAmework for Multi-agency Environments (FAME). In the first phase of FAME (April 2003-October 2004) six local \"strands\" led by local authorities worked in partnership with service providers and IT suppliers. Each partnership aimed to support collaboration and interaction between professions in a particular set of services (for example, to vulnerable older people or disabled children) through effective and appropriate exchange of information. This paper examines the literature on partnership and collaboration in public services in order to contextualize and reflect upon IT-enabled multi-agency partnerships.","author":[{"dropping-particle":"","family":"Gannon-Leary","given":"Pat","non-dropping-particle":"","parse-names":false,"suffix":""},{"dropping-particle":"","family":"Baines","given":"Sue","non-dropping-particle":"","parse-names":false,"suffix":""},{"dropping-particle":"","family":"Wilson","given":"Rob","non-dropping-particle":"","parse-names":false,"suffix":""}],"container-title":"Journal of Interprofessional Care","id":"ITEM-1","issue":"6","issued":{"date-parts":[["2006"]]},"page":"665-674","title":"Collaboration and partnership: A review and reflections on a national project to join up local services in England","type":"article-journal","volume":"20"},"uris":["http://www.mendeley.com/documents/?uuid=ab96d496-f09b-4fb3-acd2-0455dc254ba8"]}],"mendeley":{"formattedCitation":"&lt;sup&gt;167&lt;/sup&gt;","plainTextFormattedCitation":"167","previouslyFormattedCitation":"&lt;sup&gt;167&lt;/sup&gt;"},"properties":{"noteIndex":0},"schema":"https://github.com/citation-style-language/schema/raw/master/csl-citation.json"}</w:instrText>
      </w:r>
      <w:r>
        <w:fldChar w:fldCharType="separate"/>
      </w:r>
      <w:r w:rsidR="00E25884" w:rsidRPr="00E25884">
        <w:rPr>
          <w:noProof/>
          <w:vertAlign w:val="superscript"/>
        </w:rPr>
        <w:t>167</w:t>
      </w:r>
      <w:r>
        <w:fldChar w:fldCharType="end"/>
      </w:r>
      <w:r>
        <w:t xml:space="preserve">, along with having robust governance structures which are not imbalanced in either direction in terms of power </w:t>
      </w:r>
      <w:r>
        <w:fldChar w:fldCharType="begin" w:fldLock="1"/>
      </w:r>
      <w:r w:rsidR="00EA4B53">
        <w:instrText>ADDIN CSL_CITATION {"citationItems":[{"id":"ITEM-1","itemData":{"ISBN":"9781909029","abstract":"A core part of the vision laid out in the NHS five year forward view (Forward View) involves acute hospitals becoming more closely integrated with other forms of care. If the health and social care system is to respond to the changing needs of the population, and also address the financial challenges it faces, acute hospitals will need to play a fundamentally different role within local health economies. This will involve: • moving from an organisational focus to a system-wide perspective • working more closely with local partners, including primary care, social care and community services • developing integrated service models that span organisational boundaries • providing services through horizontal networks with other acute hospitals. This report explores the role that acute hospitals can play in integrated care, drawing on learning from five case study sites in England where acute hospital providers have engaged actively with the integration agenda.","author":[{"dropping-particle":"","family":"Naylor","given":"Chris","non-dropping-particle":"","parse-names":false,"suffix":""},{"dropping-particle":"","family":"Alderwick","given":"Hugh","non-dropping-particle":"","parse-names":false,"suffix":""},{"dropping-particle":"","family":"Honeyman","given":"Matthew","non-dropping-particle":"","parse-names":false,"suffix":""}],"container-title":"King's Fund (revista electrónica)","id":"ITEM-1","issue":"March","issued":{"date-parts":[["2015"]]},"page":"1-90","title":"Acute hospitals and integrated care. From hospitals to health systems.","type":"article-journal"},"uris":["http://www.mendeley.com/documents/?uuid=934e1f78-de81-450c-9f54-205563a3bb17"]}],"mendeley":{"formattedCitation":"&lt;sup&gt;183&lt;/sup&gt;","plainTextFormattedCitation":"183","previouslyFormattedCitation":"&lt;sup&gt;183&lt;/sup&gt;"},"properties":{"noteIndex":0},"schema":"https://github.com/citation-style-language/schema/raw/master/csl-citation.json"}</w:instrText>
      </w:r>
      <w:r>
        <w:fldChar w:fldCharType="separate"/>
      </w:r>
      <w:r w:rsidR="00E25884" w:rsidRPr="00E25884">
        <w:rPr>
          <w:noProof/>
          <w:vertAlign w:val="superscript"/>
        </w:rPr>
        <w:t>183</w:t>
      </w:r>
      <w:r>
        <w:fldChar w:fldCharType="end"/>
      </w:r>
      <w:r>
        <w:t xml:space="preserve">. Likewise, conflict itself can be mitigated by leaders bringing a constructive approach to conflicts, by proactively attempting to reduce power imbalances, and by avoiding or managing any senses of takeovers in the case of mergers or other more integrative collaboration types </w:t>
      </w:r>
      <w:r>
        <w:fldChar w:fldCharType="begin" w:fldLock="1"/>
      </w:r>
      <w:r w:rsidR="00EA4B53">
        <w:instrText>ADDIN CSL_CITATION {"citationItems":[{"id":"ITEM-1","itemData":{"author":[{"dropping-particle":"","family":"NHS Employers","given":"","non-dropping-particle":"","parse-names":false,"suffix":""}],"id":"ITEM-1","issued":{"date-parts":[["2017"]]},"page":"1-56","title":"Trustworthy Collaboration","type":"article-journal"},"uris":["http://www.mendeley.com/documents/?uuid=419502eb-b01f-41ca-aec3-bc02a63dec92"]}],"mendeley":{"formattedCitation":"&lt;sup&gt;44&lt;/sup&gt;","plainTextFormattedCitation":"44","previouslyFormattedCitation":"&lt;sup&gt;44&lt;/sup&gt;"},"properties":{"noteIndex":0},"schema":"https://github.com/citation-style-language/schema/raw/master/csl-citation.json"}</w:instrText>
      </w:r>
      <w:r>
        <w:fldChar w:fldCharType="separate"/>
      </w:r>
      <w:r w:rsidR="00E25884" w:rsidRPr="00E25884">
        <w:rPr>
          <w:noProof/>
          <w:vertAlign w:val="superscript"/>
        </w:rPr>
        <w:t>44</w:t>
      </w:r>
      <w:r>
        <w:fldChar w:fldCharType="end"/>
      </w:r>
      <w:r>
        <w:t>. While conflict interacts with both trust and faith, so too does the degree to which the collaborative vision is shared and its clarity. The clarity of vision is more keenly interlinked with faith, which is supported by quotes such as “</w:t>
      </w:r>
      <w:r>
        <w:rPr>
          <w:i/>
          <w:iCs/>
        </w:rPr>
        <w:t>m</w:t>
      </w:r>
      <w:r w:rsidRPr="003B4D22">
        <w:rPr>
          <w:i/>
          <w:iCs/>
        </w:rPr>
        <w:t>ost sources concur that a clear vision and/or mission statement should include attainable goals and that lack of clarity about vision can be a serious barrier to engagement</w:t>
      </w:r>
      <w:r>
        <w:t xml:space="preserve">” </w:t>
      </w:r>
      <w:r>
        <w:fldChar w:fldCharType="begin" w:fldLock="1"/>
      </w:r>
      <w:r w:rsidR="00EA4B53">
        <w:instrText>ADDIN CSL_CITATION {"citationItems":[{"id":"ITEM-1","itemData":{"DOI":"10.1080/13561820600890235","ISSN":"13561820","abstract":"The need to provide more joined services in health and social care is now recognized by governments as a major objective, and technology is increasingly seen as the key to achieving it. This paper is based upon the authors' experience as research partners in a national project in England known as FrAmework for Multi-agency Environments (FAME). In the first phase of FAME (April 2003-October 2004) six local \"strands\" led by local authorities worked in partnership with service providers and IT suppliers. Each partnership aimed to support collaboration and interaction between professions in a particular set of services (for example, to vulnerable older people or disabled children) through effective and appropriate exchange of information. This paper examines the literature on partnership and collaboration in public services in order to contextualize and reflect upon IT-enabled multi-agency partnerships.","author":[{"dropping-particle":"","family":"Gannon-Leary","given":"Pat","non-dropping-particle":"","parse-names":false,"suffix":""},{"dropping-particle":"","family":"Baines","given":"Sue","non-dropping-particle":"","parse-names":false,"suffix":""},{"dropping-particle":"","family":"Wilson","given":"Rob","non-dropping-particle":"","parse-names":false,"suffix":""}],"container-title":"Journal of Interprofessional Care","id":"ITEM-1","issue":"6","issued":{"date-parts":[["2006"]]},"page":"665-674","title":"Collaboration and partnership: A review and reflections on a national project to join up local services in England","type":"article-journal","volume":"20"},"locator":"672","uris":["http://www.mendeley.com/documents/?uuid=ab96d496-f09b-4fb3-acd2-0455dc254ba8"]}],"mendeley":{"formattedCitation":"&lt;sup&gt;167&lt;/sup&gt;","plainTextFormattedCitation":"167","previouslyFormattedCitation":"&lt;sup&gt;167&lt;/sup&gt;"},"properties":{"noteIndex":0},"schema":"https://github.com/citation-style-language/schema/raw/master/csl-citation.json"}</w:instrText>
      </w:r>
      <w:r>
        <w:fldChar w:fldCharType="separate"/>
      </w:r>
      <w:r w:rsidR="00E25884" w:rsidRPr="00E25884">
        <w:rPr>
          <w:noProof/>
          <w:vertAlign w:val="superscript"/>
        </w:rPr>
        <w:t>167</w:t>
      </w:r>
      <w:r>
        <w:fldChar w:fldCharType="end"/>
      </w:r>
      <w:r>
        <w:t xml:space="preserve">. Here, engagement can be considered similar to our concept of faith. However, the sharedness of the vision works through the mechanism of trust, as sharedness relates directly to the inter-organisational perception of each organisation. The clarity and sharedness of vision are affected by patient and public engagement, which helps keep the focus on improving care quality rather than secondary objectives, having inclusive decision-making processes, and stable leadership. In many cases, significant leadership turnover meant starting over with trust building exercises, due to large changes in vision occurring </w:t>
      </w:r>
      <w:r>
        <w:fldChar w:fldCharType="begin" w:fldLock="1"/>
      </w:r>
      <w:r w:rsidR="00EA4B53">
        <w:instrText>ADDIN CSL_CITATION {"citationItems":[{"id":"ITEM-1","itemData":{"ISSN":"0361-6274","abstract":"BACKGROUND: Collaborative forms of organizations such as multisectoral health care alliances play an increasingly prominent role in the U.S. health care system. A key feature of these organizations highlighted in previous research is leadership, yet little research has examined what happens when there is a change in leadership. PURPOSE: The aim of this study was to examine the relationship between leadership transitions in an alliance and member assessments of the benefits and costs of participation, indicators of the value that members derive from their involvement in the alliance. METHODOLOGY/APPROACH: The study used quantitative data collected from three rounds of surveys of alliance members participating in the Robert Wood Johnson Foundation's Aligning Forces for Quality Program. Qualitative interview data supplemented this analysis by providing examples of why leadership transitions may affect participation benefits and costs. FINDINGS: Quantitative analysis indicated that alliance members who experienced a change in leadership reported both higher and lower levels of participation benefits and costs, depending on the type of leadership change (i.e., alliance leader vs. programmatic leader). Qualitative analysis suggested that the scope of responsibilities of different types of leaders plays an important role in how members perceive changes. Likewise, interviews indicated that timing influences how disruptive a leadership transition is and whether it is perceived positively or negatively. PRACTICE IMPLICATIONS: Leadership transitions present both challenges and opportunities; whether the effects are felt positively or negatively depends on when a transition occurs and how it is handled by incoming leaders and remaining members. Furthermore, different types of members report higher levels of participation benefits and lower levels of participation costs, suggesting that efforts to maintain a sense of alliance value during times of transitions may be able to target certain types of individuals. [Abstract]","author":[{"dropping-particle":"","family":"Hearld","given":"Larry","non-dropping-particle":"","parse-names":false,"suffix":""},{"dropping-particle":"","family":"Alexander","given":"Jeffrey","non-dropping-particle":"","parse-names":false,"suffix":""},{"dropping-particle":"","family":"Shi","given":"Yunfeng","non-dropping-particle":"","parse-names":false,"suffix":""}],"container-title":"Health Care Management Review","id":"ITEM-1","issue":"4","issued":{"date-parts":[["2015"]]},"note":"Perspectives on leadership in US alliances","page":"185-274","publisher":"2015","title":"Leadership transitions in multisectoral health care alliances : implications for member perceptions of participation value.","type":"article-journal","volume":"40"},"uris":["http://www.mendeley.com/documents/?uuid=f89a782e-8deb-4186-b5d0-2ca5fcb6f755"]},{"id":"ITEM-2","itemData":{"ISSN":"0951-4848","abstract":"The NHS has experienced a significant amount of organisational change and restructuring, which has included numerous mergers and de-mergers, since the Labour party came to power in the UK in 1997. However, to date there has been little in the way of evaluation of such changes, particularly the impact of organisational restructuring on the staff involved. This paper examines the human aspect of a merger, and subsequent de-merger, within a primary care trust (PCT) in the north of England, using a focus group methodology. The findings demonstrate that leadership and management styles have a significant impact on staff experiencing such changes. In addition, the psychological contract can be damaged due to the impact of several factors, inducing exit or intention to leave. Employees experienced a constant cycle of change with little time for stabilisation or adjustment, leading to negativity and lowered motivation at times. 49 refs. [Abstract]","author":[{"dropping-particle":"","family":"Cortvriend","given":"Penny","non-dropping-particle":"","parse-names":false,"suffix":""}],"container-title":"Health Services Management Research","id":"ITEM-2","issue":"3","issued":{"date-parts":[["2004"]]},"note":"Gives info about mental impact of mergers","page":"177-187","publisher":"2004","title":"Change management of mergers : the impact on NHS staff and their psychological contracts.","type":"article-journal","volume":"17"},"uris":["http://www.mendeley.com/documents/?uuid=f135ffd6-e2b6-496a-8541-39eb63670b4e"]}],"mendeley":{"formattedCitation":"&lt;sup&gt;155,171&lt;/sup&gt;","plainTextFormattedCitation":"155,171","previouslyFormattedCitation":"&lt;sup&gt;155,171&lt;/sup&gt;"},"properties":{"noteIndex":0},"schema":"https://github.com/citation-style-language/schema/raw/master/csl-citation.json"}</w:instrText>
      </w:r>
      <w:r>
        <w:fldChar w:fldCharType="separate"/>
      </w:r>
      <w:r w:rsidR="00E25884" w:rsidRPr="00E25884">
        <w:rPr>
          <w:noProof/>
          <w:vertAlign w:val="superscript"/>
        </w:rPr>
        <w:t>155,171</w:t>
      </w:r>
      <w:r>
        <w:fldChar w:fldCharType="end"/>
      </w:r>
      <w:r>
        <w:t>.</w:t>
      </w:r>
    </w:p>
    <w:p w14:paraId="5BB18DED" w14:textId="67E5F5C6" w:rsidR="00EE501D" w:rsidRDefault="00EE501D" w:rsidP="00525BE0">
      <w:pPr>
        <w:spacing w:line="360" w:lineRule="auto"/>
        <w:jc w:val="both"/>
      </w:pPr>
      <w:r>
        <w:t xml:space="preserve">As a final look into the role of faith, a key mechanism which links into faith as an outcome is ‘the perception of progress’. The perception of progress is interwoven with faith - but is not entirely the same concept (as one can have faith without much perception of progress). The perception of progress is essential for ensuring that momentum is maintained and that there is no stall into what is termed ‘collaborative inertia’, a situation in which there is insufficient faith to maximise work on the collaboration </w:t>
      </w:r>
      <w:r>
        <w:fldChar w:fldCharType="begin" w:fldLock="1"/>
      </w:r>
      <w:r w:rsidR="00EA4B53">
        <w:instrText>ADDIN CSL_CITATION {"citationItems":[{"id":"ITEM-1","itemData":{"DOI":"10.1080/13561820701585353","ISBN":"1356182070","ISSN":"13561820","abstract":"This paper describes an action research study which focused on an exploration of the aspirations for and initial achievements of Stratham Mental Health NHS and Social Care Trust. Local leaders perceived that Stratham had a good history of health and social care partnership working and as such, adopted an integrationist view of culture to help shape the context of the new structural form. In doing so, consistency remained a key message to staff throughout this organizational transition and the change did not appear to cause the distraction to core business which the literature suggests it would do so. However, this continuity may have come at a cost, at least initially. In the process of formalizing the previous partnership into a Care Trust, Stratham may not have produced all the beneficial effects of synergy which are usually (albeit eventually) associated with mergers in the private sector. Certainly, local actors could see opportunities that had been missed. By focusing on the structural manifestation of the relationship, the opportunities to broaden informal horizontal linkages may have been underexploited. The study of Stratham serves to confirm that the integrationist conception of culture is limited and that the differentiation of professional groupings and the ambiguity of individual experience will always make contested the meanings that are attributed to organizational change.","author":[{"dropping-particle":"","family":"Dickinson","given":"Helen","non-dropping-particle":"","parse-names":false,"suffix":""},{"dropping-particle":"","family":"Peck","given":"Edward","non-dropping-particle":"","parse-names":false,"suffix":""},{"dropping-particle":"","family":"Davidson","given":"Deborah","non-dropping-particle":"","parse-names":false,"suffix":""}],"container-title":"Journal of Interprofessional Care","id":"ITEM-1","issue":"5","issued":{"date-parts":[["2007"]]},"page":"503-513","title":"Opportunity seized or missed? A case study of leadership and organizational change in the creation of a Care Trust","type":"article-journal","volume":"21"},"uris":["http://www.mendeley.com/documents/?uuid=78fd82fa-19cd-45ef-aa87-73c82532c532"]}],"mendeley":{"formattedCitation":"&lt;sup&gt;158&lt;/sup&gt;","plainTextFormattedCitation":"158","previouslyFormattedCitation":"&lt;sup&gt;158&lt;/sup&gt;"},"properties":{"noteIndex":0},"schema":"https://github.com/citation-style-language/schema/raw/master/csl-citation.json"}</w:instrText>
      </w:r>
      <w:r>
        <w:fldChar w:fldCharType="separate"/>
      </w:r>
      <w:r w:rsidR="00E25884" w:rsidRPr="00E25884">
        <w:rPr>
          <w:noProof/>
          <w:vertAlign w:val="superscript"/>
        </w:rPr>
        <w:t>158</w:t>
      </w:r>
      <w:r>
        <w:fldChar w:fldCharType="end"/>
      </w:r>
      <w:r>
        <w:t>. Having an increased perception of progress increases faith, and a lesser perception of forward momentum reduces it. This is supported by quotes from healthcare leaders such as the following: “</w:t>
      </w:r>
      <w:r w:rsidRPr="00DE5588">
        <w:rPr>
          <w:i/>
          <w:iCs/>
        </w:rPr>
        <w:t>So it is harder and less dynamic at the start, until you get a drumbeat going. Then it becomes easier because the peer group start doing it for you</w:t>
      </w:r>
      <w:r>
        <w:t xml:space="preserve">” </w:t>
      </w:r>
      <w:r>
        <w:fldChar w:fldCharType="begin" w:fldLock="1"/>
      </w:r>
      <w:r w:rsidR="00EA4B53">
        <w:instrText>ADDIN CSL_CITATION {"citationItems":[{"id":"ITEM-1","itemData":{"ISBN":"978 1 909029 95 8","author":[{"dropping-particle":"","family":"Timmins","given":"Nicholas","non-dropping-particle":"","parse-names":false,"suffix":""}],"id":"ITEM-1","issue":"November","issued":{"date-parts":[["2019"]]},"page":"3-25","title":"Leading for integrated care: 'If you think competition is hard, you should try collaboration'","type":"article-journal"},"locator":"43","uris":["http://www.mendeley.com/documents/?uuid=5a8583bf-e072-46b5-b3cd-6d247894e29e"]}],"mendeley":{"formattedCitation":"&lt;sup&gt;197&lt;/sup&gt;","plainTextFormattedCitation":"197","previouslyFormattedCitation":"&lt;sup&gt;197&lt;/sup&gt;"},"properties":{"noteIndex":0},"schema":"https://github.com/citation-style-language/schema/raw/master/csl-citation.json"}</w:instrText>
      </w:r>
      <w:r>
        <w:fldChar w:fldCharType="separate"/>
      </w:r>
      <w:r w:rsidR="00E25884" w:rsidRPr="00E25884">
        <w:rPr>
          <w:noProof/>
          <w:vertAlign w:val="superscript"/>
        </w:rPr>
        <w:t>197</w:t>
      </w:r>
      <w:r>
        <w:fldChar w:fldCharType="end"/>
      </w:r>
      <w:r>
        <w:t xml:space="preserve">. Affecting this perception of progress are contextual factors such as appropriate degrees of ambition (overambition can lead to disappointment) </w:t>
      </w:r>
      <w:r>
        <w:fldChar w:fldCharType="begin" w:fldLock="1"/>
      </w:r>
      <w:r w:rsidR="00EA4B53">
        <w:instrText>ADDIN CSL_CITATION {"citationItems":[{"id":"ITEM-1","itemData":{"author":[{"dropping-particle":"","family":"Southwark and Lambeth Integrated Care","given":"","non-dropping-particle":"","parse-names":false,"suffix":""}],"id":"ITEM-1","issued":{"date-parts":[["2016"]]},"title":"Integrating Care in Southwark and Lambeth: What we did and how we did it","type":"report"},"uris":["http://www.mendeley.com/documents/?uuid=fbf3cca7-ffcb-4e8f-8ade-b8b08d58e8b0"]},{"id":"ITEM-2","itemData":{"DOI":"10.1108/JICA-02-2018-0020","ISSN":"14769018","abstract":"Purpose: A well-funded, four-year integrated care programme was implemented in south London. The programme attempted to integrate care across primary, acute, community, mental health and social care. The purpose of this paper is to reduce hospital admissions and nursing home placements. Programme evaluation aimed to identify what worked well and what did not; lessons learnt; the value of integrated care investment. Design/methodology/approach: Qualitative data were obtained from documentary analysis, stakeholder interviews, focus groups and observational data from programme meetings. Framework analysis was applied to stakeholder interview and focus group data in order to generate themes. Findings: The integrated care project had not delivered expected radical reductions in hospital or nursing home utilisation. In response, the scheme was reformulated to focus on feasible service integration. Other benefits emerged, particularly system transformation. Nine themes emerged: shared vision/case for change; interventions; leadership; relationships; organisational structures and governance; citizens and patients; evaluation and monitoring; macro level. Each theme was interpreted in terms of “successes”, “challenges” and “lessons learnt”. Research limitations/implications: Evaluation was hampered by lack of a clear evaluation strategy from programme inception to conclusion, and of the evidence required to corroborate claims of benefit. Practical implications: Key lessons learnt included: importance of strong clinical leadership, shared ownership and inbuilt evaluation. Originality/value: Primary care was a key player in the integrated care programme. Initial resistance delayed implementation and related to concerns about vertical integration and scepticism about unrealistic goals. A focus on clinical care and shared ownership contributed to eventual system transformation.","author":[{"dropping-particle":"","family":"Round","given":"Thomas","non-dropping-particle":"","parse-names":false,"suffix":""},{"dropping-particle":"","family":"Ashworth","given":"Mark","non-dropping-particle":"","parse-names":false,"suffix":""},{"dropping-particle":"","family":"Crilly","given":"Tessa","non-dropping-particle":"","parse-names":false,"suffix":""},{"dropping-particle":"","family":"Ferlie","given":"Ewan","non-dropping-particle":"","parse-names":false,"suffix":""},{"dropping-particle":"","family":"Wolfe","given":"Charles","non-dropping-particle":"","parse-names":false,"suffix":""}],"container-title":"Journal of Integrated Care","id":"ITEM-2","issue":"4","issued":{"date-parts":[["2018"]]},"page":"296-308","title":"An integrated care programme in London: qualitative evaluation","type":"article-journal","volume":"26"},"uris":["http://www.mendeley.com/documents/?uuid=e263ee79-2190-410e-9e91-e6e67fc0ccb3"]}],"mendeley":{"formattedCitation":"&lt;sup&gt;190,193&lt;/sup&gt;","plainTextFormattedCitation":"190,193","previouslyFormattedCitation":"&lt;sup&gt;190,193&lt;/sup&gt;"},"properties":{"noteIndex":0},"schema":"https://github.com/citation-style-language/schema/raw/master/csl-citation.json"}</w:instrText>
      </w:r>
      <w:r>
        <w:fldChar w:fldCharType="separate"/>
      </w:r>
      <w:r w:rsidR="00E25884" w:rsidRPr="00E25884">
        <w:rPr>
          <w:noProof/>
          <w:vertAlign w:val="superscript"/>
        </w:rPr>
        <w:t>190,193</w:t>
      </w:r>
      <w:r>
        <w:fldChar w:fldCharType="end"/>
      </w:r>
      <w:r>
        <w:t xml:space="preserve">, implementation of ‘quick wins’, having effective planning, which ensures staff are working on the most appropriate projects at the right time </w:t>
      </w:r>
      <w:r>
        <w:fldChar w:fldCharType="begin" w:fldLock="1"/>
      </w:r>
      <w:r w:rsidR="00EA4B53">
        <w:instrText>ADDIN CSL_CITATION {"citationItems":[{"id":"ITEM-1","itemData":{"author":[{"dropping-particle":"","family":"Crump","given":"Helen","non-dropping-particle":"","parse-names":false,"suffix":""},{"dropping-particle":"","family":"Edwards","given":"Nigel","non-dropping-particle":"","parse-names":false,"suffix":""}],"id":"ITEM-1","issued":{"date-parts":[["2014"]]},"title":"Provider Chains: Lessons from other sectors","type":"article"},"uris":["http://www.mendeley.com/documents/?uuid=dde75056-46db-4615-8b68-ca64e6207d4e"]}],"mendeley":{"formattedCitation":"&lt;sup&gt;156&lt;/sup&gt;","plainTextFormattedCitation":"156","previouslyFormattedCitation":"&lt;sup&gt;156&lt;/sup&gt;"},"properties":{"noteIndex":0},"schema":"https://github.com/citation-style-language/schema/raw/master/csl-citation.json"}</w:instrText>
      </w:r>
      <w:r>
        <w:fldChar w:fldCharType="separate"/>
      </w:r>
      <w:r w:rsidR="00E25884" w:rsidRPr="00E25884">
        <w:rPr>
          <w:noProof/>
          <w:vertAlign w:val="superscript"/>
        </w:rPr>
        <w:t>156</w:t>
      </w:r>
      <w:r>
        <w:fldChar w:fldCharType="end"/>
      </w:r>
      <w:r>
        <w:t xml:space="preserve">, and, importantly, having effective evaluation and dissemination processes which ensure staff are aware of the progress being made </w:t>
      </w:r>
      <w:r>
        <w:fldChar w:fldCharType="begin" w:fldLock="1"/>
      </w:r>
      <w:r w:rsidR="00EA4B53">
        <w:instrText>ADDIN CSL_CITATION {"citationItems":[{"id":"ITEM-1","itemData":{"abstract":"This independent report was commissioned by NHS England as part of a package of support provided to primary and acute care system (PACS) vanguard sites by The King's Fund. The views in the report are those of the authors and contributors, and all conclusions are the authors' own. The King's Fund is an independent charity working to improve health and care in England. We help to shape policy and practice through research and analysis; develop individuals, teams and organisations; promote understanding of the health and social care system; and bring people together to learn, share knowledge and debate. Our vision is that the best possible health and care is available to all.","author":[{"dropping-particle":"","family":"Naylor","given":"Chris","non-dropping-particle":"","parse-names":false,"suffix":""},{"dropping-particle":"","family":"Charles","given":"Anna","non-dropping-particle":"","parse-names":false,"suffix":""}],"id":"ITEM-1","issue":"April","issued":{"date-parts":[["2018"]]},"title":"Developing new models of care in the PACS vanguards: A new national approach to large-scale change?","type":"article-journal"},"uris":["http://www.mendeley.com/documents/?uuid=bc39843a-50e4-4025-bced-6a8b5ae08be9"]},{"id":"ITEM-2","itemData":{"author":[{"dropping-particle":"","family":"Southwark and Lambeth Integrated Care","given":"","non-dropping-particle":"","parse-names":false,"suffix":""}],"id":"ITEM-2","issued":{"date-parts":[["2016"]]},"title":"Integrating Care in Southwark and Lambeth: What we did and how we did it","type":"report"},"uris":["http://www.mendeley.com/documents/?uuid=fbf3cca7-ffcb-4e8f-8ade-b8b08d58e8b0"]}],"mendeley":{"formattedCitation":"&lt;sup&gt;25,193&lt;/sup&gt;","plainTextFormattedCitation":"25,193","previouslyFormattedCitation":"&lt;sup&gt;25,193&lt;/sup&gt;"},"properties":{"noteIndex":0},"schema":"https://github.com/citation-style-language/schema/raw/master/csl-citation.json"}</w:instrText>
      </w:r>
      <w:r>
        <w:fldChar w:fldCharType="separate"/>
      </w:r>
      <w:r w:rsidR="00E25884" w:rsidRPr="00E25884">
        <w:rPr>
          <w:noProof/>
          <w:vertAlign w:val="superscript"/>
        </w:rPr>
        <w:t>25,193</w:t>
      </w:r>
      <w:r>
        <w:fldChar w:fldCharType="end"/>
      </w:r>
      <w:r>
        <w:t xml:space="preserve">. </w:t>
      </w:r>
    </w:p>
    <w:p w14:paraId="459EA71F" w14:textId="709542A5" w:rsidR="00EE501D" w:rsidRDefault="00EE501D" w:rsidP="00525BE0">
      <w:pPr>
        <w:spacing w:line="360" w:lineRule="auto"/>
        <w:jc w:val="both"/>
      </w:pPr>
      <w:r>
        <w:t xml:space="preserve">These various review findings suggest a web of contextual elements operating through many mechanisms, to produce many outcomes, forming causal chains (figure </w:t>
      </w:r>
      <w:r w:rsidR="009175EA">
        <w:t>15</w:t>
      </w:r>
      <w:r>
        <w:t xml:space="preserve">). Some of these can be altered to be more beneficial to implementers (e.g., keeping ambitions realistic), and some cannot (e.g., geographical proximity). While these elements discussed are those which underlie the functioning of the partnership, the review also identifies mechanisms which underlie material improvements to organisational performance. </w:t>
      </w:r>
    </w:p>
    <w:p w14:paraId="584B9A91" w14:textId="77777777" w:rsidR="009175EA" w:rsidRDefault="00EE501D" w:rsidP="00525BE0">
      <w:pPr>
        <w:keepNext/>
        <w:spacing w:line="360" w:lineRule="auto"/>
        <w:jc w:val="both"/>
      </w:pPr>
      <w:r>
        <w:rPr>
          <w:noProof/>
          <w:lang w:eastAsia="en-GB"/>
        </w:rPr>
        <w:drawing>
          <wp:inline distT="0" distB="0" distL="0" distR="0" wp14:anchorId="7D6CDE1B" wp14:editId="54919A42">
            <wp:extent cx="5731510" cy="3075305"/>
            <wp:effectExtent l="0" t="0" r="0" b="0"/>
            <wp:docPr id="13" name="Picture 13" descr="A picture containing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line 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1510" cy="3075305"/>
                    </a:xfrm>
                    <a:prstGeom prst="rect">
                      <a:avLst/>
                    </a:prstGeom>
                  </pic:spPr>
                </pic:pic>
              </a:graphicData>
            </a:graphic>
          </wp:inline>
        </w:drawing>
      </w:r>
    </w:p>
    <w:p w14:paraId="727E2AEC" w14:textId="1217F2A3" w:rsidR="00EE501D" w:rsidRDefault="009175EA" w:rsidP="00525BE0">
      <w:pPr>
        <w:pStyle w:val="Caption"/>
        <w:jc w:val="both"/>
      </w:pPr>
      <w:bookmarkStart w:id="104" w:name="_Toc106181619"/>
      <w:r>
        <w:t xml:space="preserve">Figure </w:t>
      </w:r>
      <w:r w:rsidR="008802A5">
        <w:fldChar w:fldCharType="begin"/>
      </w:r>
      <w:r w:rsidR="008802A5">
        <w:instrText xml:space="preserve"> SEQ Figure \* ARABIC </w:instrText>
      </w:r>
      <w:r w:rsidR="008802A5">
        <w:fldChar w:fldCharType="separate"/>
      </w:r>
      <w:r>
        <w:rPr>
          <w:noProof/>
        </w:rPr>
        <w:t>14</w:t>
      </w:r>
      <w:r w:rsidR="008802A5">
        <w:rPr>
          <w:noProof/>
        </w:rPr>
        <w:fldChar w:fldCharType="end"/>
      </w:r>
      <w:r>
        <w:t xml:space="preserve">. Example of how contextual elements and mechanisms may operate over time to drive a voluntary-type partnership into collaborative synergy. The lines represent how levels of trust and faith may change independently over time in response to the various numbered events. Adapted from </w:t>
      </w:r>
      <w:r>
        <w:fldChar w:fldCharType="begin" w:fldLock="1"/>
      </w:r>
      <w:r w:rsidR="006A5B59">
        <w:instrText>ADDIN CSL_CITATION {"citationItems":[{"id":"ITEM-1","itemData":{"DOI":"10.1186/s12913-021-06630-x","author":[{"dropping-particle":"","family":"Aunger","given":"Justin Avery","non-dropping-particle":"","parse-names":false,"suffix":""},{"dropping-particle":"","family":"Millar","given":"Ross","non-dropping-particle":"","parse-names":false,"suffix":""},{"dropping-particle":"","family":"Greenhalgh","given":"Joanne","non-dropping-particle":"","parse-names":false,"suffix":""}],"container-title":"BMC Health Services Research","id":"ITEM-1","issue":"602","issued":{"date-parts":[["2021"]]},"title":"When trust, confidence, and faith collide: refining a realist theory of how and why inter-organisational collaborations in healthcare work","type":"article-journal","volume":"21"},"uris":["http://www.mendeley.com/documents/?uuid=09b12ed0-f45f-442a-9890-205c3566f0e8"]}],"mendeley":{"formattedCitation":"&lt;sup&gt;135&lt;/sup&gt;","manualFormatting":"J. A. Aunger, Millar, &amp; Greenhalgh (2021)","plainTextFormattedCitation":"135","previouslyFormattedCitation":"&lt;sup&gt;135&lt;/sup&gt;"},"properties":{"noteIndex":0},"schema":"https://github.com/citation-style-language/schema/raw/master/csl-citation.json"}</w:instrText>
      </w:r>
      <w:r>
        <w:fldChar w:fldCharType="separate"/>
      </w:r>
      <w:r w:rsidRPr="00B63E23">
        <w:rPr>
          <w:i w:val="0"/>
          <w:noProof/>
        </w:rPr>
        <w:t>J. A. Aunger, Millar, &amp; Greenhalgh</w:t>
      </w:r>
      <w:r>
        <w:rPr>
          <w:i w:val="0"/>
          <w:noProof/>
        </w:rPr>
        <w:t xml:space="preserve"> (</w:t>
      </w:r>
      <w:r w:rsidRPr="00B63E23">
        <w:rPr>
          <w:i w:val="0"/>
          <w:noProof/>
        </w:rPr>
        <w:t>2021)</w:t>
      </w:r>
      <w:r>
        <w:fldChar w:fldCharType="end"/>
      </w:r>
      <w:r>
        <w:t>.</w:t>
      </w:r>
      <w:bookmarkEnd w:id="104"/>
    </w:p>
    <w:p w14:paraId="08655A2A" w14:textId="77777777" w:rsidR="00EE501D" w:rsidRDefault="00EE501D" w:rsidP="00525BE0">
      <w:pPr>
        <w:pStyle w:val="Heading3"/>
        <w:jc w:val="both"/>
      </w:pPr>
      <w:bookmarkStart w:id="105" w:name="_Toc85066448"/>
      <w:r>
        <w:t>Refining CMOCs driving partnership performance</w:t>
      </w:r>
      <w:bookmarkEnd w:id="105"/>
    </w:p>
    <w:p w14:paraId="3340B049" w14:textId="59015150" w:rsidR="00EE501D" w:rsidRDefault="00EE501D" w:rsidP="00525BE0">
      <w:pPr>
        <w:spacing w:line="360" w:lineRule="auto"/>
        <w:jc w:val="both"/>
      </w:pPr>
      <w:r>
        <w:t xml:space="preserve">As trust and faith are maximised, work on managing conflicts, building collaborative structures, and establishing relationships decreases. As a result, time and effort are freed up to create the conditions for collaborative ‘synergy’, which in our refined theory, refers to a willingness to engage in collaborative, rather than competitive, behaviour (figure 4). Once risk tolerance and faith are maximised, partners can strike out to work on risky innovations together, share best practices, pool resources, bid for contracts together, increase </w:t>
      </w:r>
      <w:r w:rsidR="00AC396D">
        <w:t>influence in the local health economy</w:t>
      </w:r>
      <w:r>
        <w:t>, reduce duplication of effort, and better focus on inequalities in the health system. These may be the mechanisms through which ‘ultimate outcomes’ of collaboration (i.e., performance improvements) are realised - occurring because of an accumulation of skill, knowledge, and resources being brought to bear against problems encountered by the partnership. However, these benefits seldom come to fruition due to the sheer amount of work and goodwill that is required to rise above the quagmire of the daily functioning of the partnership, explaining why many collaborations are not successful. Studies capture contexts where “</w:t>
      </w:r>
      <w:r w:rsidRPr="00BC0D85">
        <w:rPr>
          <w:i/>
          <w:iCs/>
        </w:rPr>
        <w:t>too much was being expected too soon</w:t>
      </w:r>
      <w:r>
        <w:rPr>
          <w:i/>
          <w:iCs/>
        </w:rPr>
        <w:t xml:space="preserve">… as they </w:t>
      </w:r>
      <w:r w:rsidRPr="00BC0D85">
        <w:rPr>
          <w:i/>
          <w:iCs/>
        </w:rPr>
        <w:t>were still working out how to function operationally before they could accomplish goals such as decreasing workload and improving care</w:t>
      </w:r>
      <w:r>
        <w:t xml:space="preserve">” </w:t>
      </w:r>
      <w:r w:rsidRPr="00BC148C">
        <w:fldChar w:fldCharType="begin" w:fldLock="1"/>
      </w:r>
      <w:r w:rsidR="00EA4B53">
        <w:instrText>ADDIN CSL_CITATION {"citationItems":[{"id":"ITEM-1","itemData":{"author":[{"dropping-particle":"","family":"Smith","given":"Judith","non-dropping-particle":"","parse-names":false,"suffix":""},{"dropping-particle":"","family":"Parkinson","given":"Sarah","non-dropping-particle":"","parse-names":false,"suffix":""},{"dropping-particle":"","family":"Harshfield","given":"Amelia","non-dropping-particle":"","parse-names":false,"suffix":""},{"dropping-particle":"","family":"Sidhu","given":"Manbinder","non-dropping-particle":"","parse-names":false,"suffix":""}],"id":"ITEM-1","issue":"November","issued":{"date-parts":[["2020"]]},"title":"HS &amp; DR Rapid Evaluation Centre Topic Report Early evidence of the development of primary care networks in England: a rapid evaluation study","type":"report"},"uris":["http://www.mendeley.com/documents/?uuid=d8ac51e3-1c56-426a-b71e-68e97e21b386"]}],"mendeley":{"formattedCitation":"&lt;sup&gt;37&lt;/sup&gt;","plainTextFormattedCitation":"37","previouslyFormattedCitation":"&lt;sup&gt;37&lt;/sup&gt;"},"properties":{"noteIndex":0},"schema":"https://github.com/citation-style-language/schema/raw/master/csl-citation.json"}</w:instrText>
      </w:r>
      <w:r w:rsidRPr="00BC148C">
        <w:fldChar w:fldCharType="separate"/>
      </w:r>
      <w:r w:rsidR="00E25884" w:rsidRPr="00E25884">
        <w:rPr>
          <w:noProof/>
          <w:vertAlign w:val="superscript"/>
        </w:rPr>
        <w:t>37</w:t>
      </w:r>
      <w:r w:rsidRPr="00BC148C">
        <w:fldChar w:fldCharType="end"/>
      </w:r>
      <w:r w:rsidRPr="00BC148C">
        <w:t>.</w:t>
      </w:r>
      <w:r>
        <w:t xml:space="preserve"> </w:t>
      </w:r>
    </w:p>
    <w:p w14:paraId="53B7AEBE" w14:textId="7B07BC30" w:rsidR="00EE501D" w:rsidRDefault="00EE501D" w:rsidP="00525BE0">
      <w:pPr>
        <w:spacing w:line="360" w:lineRule="auto"/>
        <w:jc w:val="both"/>
      </w:pPr>
      <w:r>
        <w:t xml:space="preserve">Achievement of this synergistic state is extremely difficult as many collaborative endeavours are ‘set up for failure’ due to initial contextual conditions being configured in such an unfavourable manner that it becomes insurmountably difficult to build the relationships required </w:t>
      </w:r>
      <w:r>
        <w:fldChar w:fldCharType="begin" w:fldLock="1"/>
      </w:r>
      <w:r w:rsidR="00EA4B53">
        <w:instrText>ADDIN CSL_CITATION {"citationItems":[{"id":"ITEM-1","itemData":{"DOI":"10.1016/j.healthpol.2018.10.017","ISSN":"18726054","PMID":"30509873","abstract":"Policymakers in England are increasingly encouraging the formation of ‘large-scale’ general practice provider collaborations with the expectation that this will help deliver better quality services and generate economies of scale. However, solid evidence that these expectations will be met is limited. This paper reviews evidence from other inter-organisational healthcare collaborations with similarities in their development or anticipated impact to identify lessons. Medline. SSCI, Embase and HMIC database searches identified a range of initiatives which could provide transferable evidence. Iterative searching was undertaken to identify further relevant evidence. Thematic analysis was used to identify areas to consider in the development of large-scale general practice providers. Framework analysis was used to identify challenges which may affect the ability of such providers to achieve their anticipated impact. A narrative approach was used to synthesise the evidence. Trade-offs exist in ‘scaling-up’ between mandated and voluntary collaboration; networks versus single organisations; small versus large collaborations; and different types of governance structures in terms of sustainability and performance. While positive impact seems plausible, evidence suggests that it is not a given that clinical outcomes or patient experience will improve, nor that cost savings will be achieved as a result of increasing organisational size. Since the impact and potential unintended consequences are not yet clear, it would be advisable for policymakers to move with caution, and be informed by ongoing evaluation.","author":[{"dropping-particle":"","family":"Pettigrew","given":"Luisa M.","non-dropping-particle":"","parse-names":false,"suffix":""},{"dropping-particle":"","family":"Kumpunen","given":"Stephanie","non-dropping-particle":"","parse-names":false,"suffix":""},{"dropping-particle":"","family":"Rosen","given":"Rebecca","non-dropping-particle":"","parse-names":false,"suffix":""},{"dropping-particle":"","family":"Posaner","given":"Rachel","non-dropping-particle":"","parse-names":false,"suffix":""},{"dropping-particle":"","family":"Mays","given":"Nicholas","non-dropping-particle":"","parse-names":false,"suffix":""}],"container-title":"Health Policy","id":"ITEM-1","issue":"1","issued":{"date-parts":[["2019"]]},"page":"51-61","publisher":"Elsevier Ireland Ltd","title":"Lessons for ‘large-scale’ general practice provider organisations in England from other inter-organisational healthcare collaborations","type":"article-journal","volume":"123"},"uris":["http://www.mendeley.com/documents/?uuid=102ffe31-db17-40c7-b590-71a8a1b250a8"]}],"mendeley":{"formattedCitation":"&lt;sup&gt;214&lt;/sup&gt;","plainTextFormattedCitation":"214","previouslyFormattedCitation":"&lt;sup&gt;214&lt;/sup&gt;"},"properties":{"noteIndex":0},"schema":"https://github.com/citation-style-language/schema/raw/master/csl-citation.json"}</w:instrText>
      </w:r>
      <w:r>
        <w:fldChar w:fldCharType="separate"/>
      </w:r>
      <w:r w:rsidR="00E25884" w:rsidRPr="00E25884">
        <w:rPr>
          <w:noProof/>
          <w:vertAlign w:val="superscript"/>
        </w:rPr>
        <w:t>214</w:t>
      </w:r>
      <w:r>
        <w:fldChar w:fldCharType="end"/>
      </w:r>
      <w:r>
        <w:t xml:space="preserve">. These difficult contextual conditions can include a regulatory environment that still revolves around competition rather than collaboration </w:t>
      </w:r>
      <w:r>
        <w:fldChar w:fldCharType="begin" w:fldLock="1"/>
      </w:r>
      <w:r w:rsidR="00EA4B53">
        <w:instrText>ADDIN CSL_CITATION {"citationItems":[{"id":"ITEM-1","itemData":{"ISBN":"9781909029","abstract":"A core part of the vision laid out in the NHS five year forward view (Forward View) involves acute hospitals becoming more closely integrated with other forms of care. If the health and social care system is to respond to the changing needs of the population, and also address the financial challenges it faces, acute hospitals will need to play a fundamentally different role within local health economies. This will involve: • moving from an organisational focus to a system-wide perspective • working more closely with local partners, including primary care, social care and community services • developing integrated service models that span organisational boundaries • providing services through horizontal networks with other acute hospitals. This report explores the role that acute hospitals can play in integrated care, drawing on learning from five case study sites in England where acute hospital providers have engaged actively with the integration agenda.","author":[{"dropping-particle":"","family":"Naylor","given":"Chris","non-dropping-particle":"","parse-names":false,"suffix":""},{"dropping-particle":"","family":"Alderwick","given":"Hugh","non-dropping-particle":"","parse-names":false,"suffix":""},{"dropping-particle":"","family":"Honeyman","given":"Matthew","non-dropping-particle":"","parse-names":false,"suffix":""}],"container-title":"King's Fund (revista electrónica)","id":"ITEM-1","issue":"March","issued":{"date-parts":[["2015"]]},"page":"1-90","title":"Acute hospitals and integrated care. From hospitals to health systems.","type":"article-journal"},"uris":["http://www.mendeley.com/documents/?uuid=934e1f78-de81-450c-9f54-205563a3bb17"]}],"mendeley":{"formattedCitation":"&lt;sup&gt;183&lt;/sup&gt;","plainTextFormattedCitation":"183","previouslyFormattedCitation":"&lt;sup&gt;183&lt;/sup&gt;"},"properties":{"noteIndex":0},"schema":"https://github.com/citation-style-language/schema/raw/master/csl-citation.json"}</w:instrText>
      </w:r>
      <w:r>
        <w:fldChar w:fldCharType="separate"/>
      </w:r>
      <w:r w:rsidR="00E25884" w:rsidRPr="00E25884">
        <w:rPr>
          <w:noProof/>
          <w:vertAlign w:val="superscript"/>
        </w:rPr>
        <w:t>183</w:t>
      </w:r>
      <w:r>
        <w:fldChar w:fldCharType="end"/>
      </w:r>
      <w:r>
        <w:t xml:space="preserve">, mandated partnerships and integrated care initiatives that do not allow for building of relationships, brought into place in conditions of pre-existing histories of competition and ‘bad blood’ </w:t>
      </w:r>
      <w:r>
        <w:fldChar w:fldCharType="begin" w:fldLock="1"/>
      </w:r>
      <w:r w:rsidR="00EA4B53">
        <w:instrText>ADDIN CSL_CITATION {"citationItems":[{"id":"ITEM-1","itemData":{"ISSN":"09678638","author":[{"dropping-particle":"","family":"NHS Providers","given":"","non-dropping-particle":"","parse-names":false,"suffix":""},{"dropping-particle":"","family":"NHS Clinical Commissioners","given":"","non-dropping-particle":"","parse-names":false,"suffix":""}],"container-title":"NHS Providers","id":"ITEM-1","issued":{"date-parts":[["2018"]]},"title":"Driving forward system working: a snapshot of early progress in collaborative commissioning","type":"report"},"uris":["http://www.mendeley.com/documents/?uuid=b34cd3cf-2571-4d34-a9b8-e8eebde5cb2a"]}],"mendeley":{"formattedCitation":"&lt;sup&gt;187&lt;/sup&gt;","plainTextFormattedCitation":"187","previouslyFormattedCitation":"&lt;sup&gt;187&lt;/sup&gt;"},"properties":{"noteIndex":0},"schema":"https://github.com/citation-style-language/schema/raw/master/csl-citation.json"}</w:instrText>
      </w:r>
      <w:r>
        <w:fldChar w:fldCharType="separate"/>
      </w:r>
      <w:r w:rsidR="00E25884" w:rsidRPr="00E25884">
        <w:rPr>
          <w:noProof/>
          <w:vertAlign w:val="superscript"/>
        </w:rPr>
        <w:t>187</w:t>
      </w:r>
      <w:r>
        <w:fldChar w:fldCharType="end"/>
      </w:r>
      <w:r>
        <w:t xml:space="preserve">, and a lack of financial support or consideration provided for collaborative endeavours to be implemented properly </w:t>
      </w:r>
      <w:r>
        <w:fldChar w:fldCharType="begin" w:fldLock="1"/>
      </w:r>
      <w:r w:rsidR="00EA4B53">
        <w:instrText>ADDIN CSL_CITATION {"citationItems":[{"id":"ITEM-1","itemData":{"ISBN":"964-7445-88-1","author":[{"dropping-particle":"","family":"Kershaw","given":"Matthew","non-dropping-particle":"","parse-names":false,"suffix":""},{"dropping-particle":"","family":"McKenna","given":"Helen","non-dropping-particle":"","parse-names":false,"suffix":""},{"dropping-particle":"","family":"Charles","given":"Anna","non-dropping-particle":"","parse-names":false,"suffix":""},{"dropping-particle":"","family":"Ewbank","given":"Leo","non-dropping-particle":"","parse-names":false,"suffix":""},{"dropping-particle":"","family":"Ham","given":"Chris","non-dropping-particle":"","parse-names":false,"suffix":""}],"id":"ITEM-1","issued":{"date-parts":[["2018"]]},"number-of-pages":"66","title":"Sustainability and transformation partnerships in London","type":"report"},"uris":["http://www.mendeley.com/documents/?uuid=ede5a165-6ade-4a57-b6a9-b5672552cc46"]}],"mendeley":{"formattedCitation":"&lt;sup&gt;176&lt;/sup&gt;","plainTextFormattedCitation":"176","previouslyFormattedCitation":"&lt;sup&gt;176&lt;/sup&gt;"},"properties":{"noteIndex":0},"schema":"https://github.com/citation-style-language/schema/raw/master/csl-citation.json"}</w:instrText>
      </w:r>
      <w:r>
        <w:fldChar w:fldCharType="separate"/>
      </w:r>
      <w:r w:rsidR="00E25884" w:rsidRPr="00E25884">
        <w:rPr>
          <w:noProof/>
          <w:vertAlign w:val="superscript"/>
        </w:rPr>
        <w:t>176</w:t>
      </w:r>
      <w:r>
        <w:fldChar w:fldCharType="end"/>
      </w:r>
      <w:r>
        <w:t xml:space="preserve">. As outlined by our theory, these common contextual factors serve to undermine initial trust in partners and initial faith in the process and increase task complexity to a degree that makes them very difficult to overcome. One quote from an included study of buddying arrangements in the UK reflected this clearly: </w:t>
      </w:r>
      <w:r>
        <w:rPr>
          <w:i/>
          <w:iCs/>
        </w:rPr>
        <w:t>“</w:t>
      </w:r>
      <w:r w:rsidRPr="00744FD6">
        <w:rPr>
          <w:i/>
          <w:iCs/>
        </w:rPr>
        <w:t>Interviewees repeatedly said how difficult it would have been if their buddying arrangement had been imposed, and indeed those arrangements seen to be imposed by regulatory bodies appear to be have been the least successful</w:t>
      </w:r>
      <w:r>
        <w:rPr>
          <w:i/>
          <w:iCs/>
        </w:rPr>
        <w:t xml:space="preserve">” </w:t>
      </w:r>
      <w:r>
        <w:rPr>
          <w:i/>
          <w:iCs/>
        </w:rPr>
        <w:fldChar w:fldCharType="begin" w:fldLock="1"/>
      </w:r>
      <w:r w:rsidR="00EA4B53">
        <w:rPr>
          <w:i/>
          <w:iCs/>
        </w:rPr>
        <w:instrText>ADDIN CSL_CITATION {"citationItems":[{"id":"ITEM-1","itemData":{"author":[{"dropping-particle":"","family":"Foundation Trust Network","given":"","non-dropping-particle":"","parse-names":false,"suffix":""}],"id":"ITEM-1","issue":"September","issued":{"date-parts":[["2014"]]},"number-of-pages":"1-15","publisher-place":"London","title":"Review of buddying arrangements, with a focus on trusts in special measures and their partnering organisations","type":"report"},"locator":"7","uris":["http://www.mendeley.com/documents/?uuid=edb6537b-8318-4e71-88a6-eecaa3b7ef44"]}],"mendeley":{"formattedCitation":"&lt;sup&gt;165&lt;/sup&gt;","plainTextFormattedCitation":"165","previouslyFormattedCitation":"&lt;sup&gt;165&lt;/sup&gt;"},"properties":{"noteIndex":0},"schema":"https://github.com/citation-style-language/schema/raw/master/csl-citation.json"}</w:instrText>
      </w:r>
      <w:r>
        <w:rPr>
          <w:i/>
          <w:iCs/>
        </w:rPr>
        <w:fldChar w:fldCharType="separate"/>
      </w:r>
      <w:r w:rsidR="00E25884" w:rsidRPr="00E25884">
        <w:rPr>
          <w:iCs/>
          <w:noProof/>
          <w:vertAlign w:val="superscript"/>
        </w:rPr>
        <w:t>165</w:t>
      </w:r>
      <w:r>
        <w:rPr>
          <w:i/>
          <w:iCs/>
        </w:rPr>
        <w:fldChar w:fldCharType="end"/>
      </w:r>
      <w:r>
        <w:rPr>
          <w:i/>
          <w:iCs/>
        </w:rPr>
        <w:t xml:space="preserve">. </w:t>
      </w:r>
    </w:p>
    <w:p w14:paraId="48B7A124" w14:textId="08C79B4F" w:rsidR="00EE501D" w:rsidRDefault="00EE501D" w:rsidP="00525BE0">
      <w:pPr>
        <w:spacing w:line="360" w:lineRule="auto"/>
        <w:jc w:val="both"/>
      </w:pPr>
      <w:r>
        <w:t xml:space="preserve">This information provides implications for cross-sector initiatives, such as ICS’ or ACOs taking place in the UK as it demonstrates that context can be configured very unfavourably in these mandated arrangements, making it difficult to build trust and faith. In addition to many of these being mandated, cross-sector working brings additional challenges by requiring working between workforces of differing professional backgrounds. These professional differences manifest in a greater degree of cultural divide – a barrier which was referenced by many of the included case studies </w:t>
      </w:r>
      <w:r>
        <w:fldChar w:fldCharType="begin" w:fldLock="1"/>
      </w:r>
      <w:r w:rsidR="00804189">
        <w:instrText>ADDIN CSL_CITATION {"citationItems":[{"id":"ITEM-1","itemData":{"author":[{"dropping-particle":"","family":"NHS Employers","given":"","non-dropping-particle":"","parse-names":false,"suffix":""}],"id":"ITEM-1","issued":{"date-parts":[["2017"]]},"page":"1-56","title":"Trustworthy Collaboration","type":"article-journal"},"uris":["http://www.mendeley.com/documents/?uuid=419502eb-b01f-41ca-aec3-bc02a63dec92"]},{"id":"ITEM-2","itemData":{"DOI":"10.1111/1468-0009.12356","ISSN":"14680009","abstract":"Policy Points Accountable care organizations (ACOs) form alliances with management partners to access financial, technical, and managerial support. Alliances between ACOs and management partners are subject to destabilizing tension around decision-making authority, distribution of shared savings, and conflicting goals and values. Management partners may serve either as trainers, ultimately breaking off from the ACO, or as central drivers of the ACO. Management partner participation in ACOs is currently unregulated, and management partners may receive a significant portion (in some cases, majority) of shared savings. Context: Accountable care organizations (ACOs) are a prominent payment and delivery model. Though ACOs are often described as groups of health care providers, nearly 4 in 10 ACOs partner with a management company for services such as financial investment, contracting, data analytics, and care management, according to recent research. However, we know little about how and why these partnerships form. This article aims to understand the reasons providers seek partners, the nature of these relationships, and factors critical to the success or failure of these alliances. Methods: We used qualitative data collected longitudinally from 2012 to 2017 at 2 ACOs to understand relationships between management partners and ACO providers. The data include 115 semistructured interviews and observational data from 7 site visits. Two coders applied 48 codes to the data. We reviewed coded data for emergent themes in the context of alliance life cycle theory. Findings: Qualitative data revealed that management partners brought specific skills and services and also gave providers confidence in pursuing an ACO. Over time, tension between providers and management partners arose around decision-making authority, distribution of shared savings, and conflicting goals and values. We observed 2 outcomes of partnerships: cemented partnerships and dissolution. Key factors distinguishing alliance outcome in these 2 cases include degree of trust between organizations in the alliance; approach to conflict resolution; distribution of power in the alliance; skills and confidence acquired by the ACO over the life of the alliance; continuity of management partner delivery on promised resources; and proportion of savings going to the management partner. Conclusions: The diverging paths for ACOs with management partners suggest 2 different roles that management partners may pla…","author":[{"dropping-particle":"","family":"Murray","given":"Genevra F.","non-dropping-particle":"","parse-names":false,"suffix":""},{"dropping-particle":"","family":"D'Aunno","given":"Thomas","non-dropping-particle":"","parse-names":false,"suffix":""},{"dropping-particle":"","family":"Lewis","given":"Valerie A.","non-dropping-particle":"","parse-names":false,"suffix":""}],"container-title":"Milbank Quarterly","id":"ITEM-2","issue":"4","issued":{"date-parts":[["2018"]]},"page":"755-781","title":"Trust, Money, and Power: Life Cycle Dynamics in Alliances Between Management Partners and Accountable Care Organizations","type":"article-journal","volume":"96"},"uris":["http://www.mendeley.com/documents/?uuid=87ed0673-8dc6-4539-95b4-fffb3d412316"]}],"mendeley":{"formattedCitation":"&lt;sup&gt;44,100&lt;/sup&gt;","plainTextFormattedCitation":"44,100","previouslyFormattedCitation":"&lt;sup&gt;44,100&lt;/sup&gt;"},"properties":{"noteIndex":0},"schema":"https://github.com/citation-style-language/schema/raw/master/csl-citation.json"}</w:instrText>
      </w:r>
      <w:r>
        <w:fldChar w:fldCharType="separate"/>
      </w:r>
      <w:r w:rsidR="00C4603E" w:rsidRPr="00C4603E">
        <w:rPr>
          <w:noProof/>
          <w:vertAlign w:val="superscript"/>
        </w:rPr>
        <w:t>44,100</w:t>
      </w:r>
      <w:r>
        <w:fldChar w:fldCharType="end"/>
      </w:r>
      <w:r>
        <w:t>. Likewise, in cross-sector arrangements, the number of partners and size of the involved organisations is likely to be greater, which further increases the difficulty of communicating effectively and clearly, and results in much higher task complexity. These are all concerns which require great tact to mitigate. Collaborative performance will be explored further in a later chapter by drawing on our empirical findings.</w:t>
      </w:r>
    </w:p>
    <w:p w14:paraId="47ADAE0E" w14:textId="77777777" w:rsidR="00EE501D" w:rsidRDefault="00EE501D" w:rsidP="00525BE0">
      <w:pPr>
        <w:pStyle w:val="Heading3"/>
        <w:jc w:val="both"/>
      </w:pPr>
      <w:bookmarkStart w:id="106" w:name="_Toc85066449"/>
      <w:r>
        <w:t>Refinements by collaboration type and collaborative functioning</w:t>
      </w:r>
      <w:bookmarkEnd w:id="106"/>
    </w:p>
    <w:p w14:paraId="6CFB2FF7" w14:textId="302C28DA" w:rsidR="00EE501D" w:rsidRDefault="00EE501D" w:rsidP="00525BE0">
      <w:pPr>
        <w:spacing w:line="360" w:lineRule="auto"/>
        <w:jc w:val="both"/>
      </w:pPr>
      <w:r>
        <w:t xml:space="preserve">Our initial rough realist theory suggested that partnerships can be characterised along a spectrum of integration from full integration (i.e., mergers) to more informal endeavours involving fewer people (i.e., buddying, clinical networks) </w:t>
      </w:r>
      <w:r>
        <w:fldChar w:fldCharType="begin" w:fldLock="1"/>
      </w:r>
      <w:r w:rsidR="00EA4B53">
        <w:instrText>ADDIN CSL_CITATION {"citationItems":[{"id":"ITEM-1","itemData":{"DOI":"10.1108/JICA-05-2020-0026","ISSN":"1476-9018","abstract":"Purpose The National Health Service (NHS) is facing unprecedented financial strain. These significant economic pressures have coincided with concerns regarding the quality and safety of the NHS provider sector. To make the necessary improvements to performance, policy interest has turned to encouraging greater collaboration and partnership working across providers. Design/methodology/approach Using a purposive search of academic and grey literature, this narrative review aimed (1) to establish a working typology of partnering arrangements for improvement across NHS providers and (2) inform the development of a plausible initial rough theory (IRF) of partnering to inform an ongoing realist synthesis. Findings Different types of partnership were characterised by degree of integration and/or organisational change. A review of existing theories of partnering also identified a suitable framework which incorporated key elements to partnerships, such as governance, workforce, leadership and culture. This informed the creation of an IRF of partnerships, which proposes that partnership “interventions” are proposed to primarily cause changes in governance, leadership, IT systems and care model design, which will then go on to affect culture, user engagement and workforce. Research limitations/implications Further realist evaluation, informed by this review, will aim to uncover configurations of mechanisms, contexts and outcomes in various partnering arrangements and limitations. As this is the starting point for building a programme theory, it draws on limited evidence. Originality/value This paper presents a novel theory of partnering and collaborating in healthcare with practical implications for policy makers and practitioners.","author":[{"dropping-particle":"","family":"Aunger","given":"Justin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Marie","non-dropping-particle":"","parse-names":false,"suffix":""},{"dropping-particle":"","family":"McLeod","given":"Hugh","non-dropping-particle":"","parse-names":false,"suffix":""}],"container-title":"Journal of Integrated Care","id":"ITEM-1","issued":{"date-parts":[["2020","9","22"]]},"title":"Building an initial realist theory of partnering across National Health Service providers","type":"article-journal"},"uris":["http://www.mendeley.com/documents/?uuid=ccca7775-b7c4-4cfb-8635-a42715eb28f4"]}],"mendeley":{"formattedCitation":"&lt;sup&gt;61&lt;/sup&gt;","plainTextFormattedCitation":"61","previouslyFormattedCitation":"&lt;sup&gt;61&lt;/sup&gt;"},"properties":{"noteIndex":0},"schema":"https://github.com/citation-style-language/schema/raw/master/csl-citation.json"}</w:instrText>
      </w:r>
      <w:r>
        <w:fldChar w:fldCharType="separate"/>
      </w:r>
      <w:r w:rsidR="00E25884" w:rsidRPr="00E25884">
        <w:rPr>
          <w:noProof/>
          <w:vertAlign w:val="superscript"/>
        </w:rPr>
        <w:t>61</w:t>
      </w:r>
      <w:r>
        <w:fldChar w:fldCharType="end"/>
      </w:r>
      <w:r>
        <w:t>. Such differences between collaborative types (e.g., buddying vs. alliances) are also reflected in our findings as changes to contextual elements (i.e., whether they are mandated or not). These can affect the task complexity, perceived legitimacy, faith, and initial trust. Our review identifies how it is possible to trace how these impact on implementation. For example, a voluntary buddying arrangement is likely to be relatively simple to implement, as it is unlikely to be perceived as threatening by staff, does not involve many organisations, and, while perhaps not supported by formal legal agreements, is likely to involve partner self-selection. This arrangement is likely to start with a high degree of initial trust between partners and initial faith in the process.</w:t>
      </w:r>
    </w:p>
    <w:p w14:paraId="7B6C119C" w14:textId="6215129F" w:rsidR="00EE501D" w:rsidRDefault="00EE501D" w:rsidP="00525BE0">
      <w:pPr>
        <w:spacing w:line="360" w:lineRule="auto"/>
        <w:jc w:val="both"/>
      </w:pPr>
      <w:r>
        <w:t>On the other hand, ICS</w:t>
      </w:r>
      <w:r w:rsidR="00E93C6A">
        <w:t>s</w:t>
      </w:r>
      <w:r>
        <w:t xml:space="preserve"> - which are now mandated to come into force in 2021 - involve a significant number of large organisations coming together in a cross-sector manner, including local councils, primary and social care, and acute care </w:t>
      </w:r>
      <w:r>
        <w:fldChar w:fldCharType="begin" w:fldLock="1"/>
      </w:r>
      <w:r w:rsidR="00EA4B53">
        <w:instrText>ADDIN CSL_CITATION {"citationItems":[{"id":"ITEM-1","itemData":{"author":[{"dropping-particle":"","family":"NHS England","given":"","non-dropping-particle":"","parse-names":false,"suffix":""}],"id":"ITEM-1","issued":{"date-parts":[["2019"]]},"number-of-pages":"1-134","title":"The NHS Long Term Plan","type":"report"},"uris":["http://www.mendeley.com/documents/?uuid=cd8c0fe5-1067-4d5a-8695-6fd891ad746d"]}],"mendeley":{"formattedCitation":"&lt;sup&gt;33&lt;/sup&gt;","plainTextFormattedCitation":"33","previouslyFormattedCitation":"&lt;sup&gt;33&lt;/sup&gt;"},"properties":{"noteIndex":0},"schema":"https://github.com/citation-style-language/schema/raw/master/csl-citation.json"}</w:instrText>
      </w:r>
      <w:r>
        <w:fldChar w:fldCharType="separate"/>
      </w:r>
      <w:r w:rsidR="00E25884" w:rsidRPr="00E25884">
        <w:rPr>
          <w:noProof/>
          <w:vertAlign w:val="superscript"/>
        </w:rPr>
        <w:t>33</w:t>
      </w:r>
      <w:r>
        <w:fldChar w:fldCharType="end"/>
      </w:r>
      <w:r>
        <w:t xml:space="preserve">. This drastically increases task complexity by being cross-sector and having many involved organisations. Additional challenges include that it is likely such a move may be perceived as a threat by staff, reducing faith by reducing its legitimacy in their eyes. It is also likely to increase difficulty of effective communication by having both great breadth and depth of organisations involved, making trust building more difficult, and there may be reduced initial trust from outset by being set in a local context of pre-existing competitive attitudes. In addition to that, being given a rapid timeline while having to overcome prior differences and conflicts poses an additional challenge which requires a strict patient-centred focus shared across the system to overcome. </w:t>
      </w:r>
    </w:p>
    <w:p w14:paraId="7BEC89AD" w14:textId="77777777" w:rsidR="00EE501D" w:rsidRDefault="00EE501D" w:rsidP="00525BE0">
      <w:pPr>
        <w:spacing w:line="360" w:lineRule="auto"/>
        <w:jc w:val="both"/>
      </w:pPr>
      <w:r>
        <w:t xml:space="preserve">Our programme theory suggests that formalisation through contracts may be one means of enabling collaborative behaviour in such a situation where initial trust is likely to be low or complexity very high. The following section explores further how </w:t>
      </w:r>
      <w:r w:rsidRPr="00F97ABF">
        <w:rPr>
          <w:i/>
          <w:iCs/>
        </w:rPr>
        <w:t>trust</w:t>
      </w:r>
      <w:r>
        <w:rPr>
          <w:i/>
          <w:iCs/>
        </w:rPr>
        <w:t xml:space="preserve"> </w:t>
      </w:r>
      <w:r>
        <w:t xml:space="preserve">and its relationship to risk threshold may be replaced by </w:t>
      </w:r>
      <w:r w:rsidRPr="00F97ABF">
        <w:rPr>
          <w:i/>
          <w:iCs/>
        </w:rPr>
        <w:t>confidence</w:t>
      </w:r>
      <w:r>
        <w:t xml:space="preserve"> as a primary driver for collaborative behaviour in mandated or integrative collaboration types.</w:t>
      </w:r>
    </w:p>
    <w:p w14:paraId="3C6AA35D" w14:textId="77777777" w:rsidR="00EE501D" w:rsidRDefault="00EE501D" w:rsidP="00525BE0">
      <w:pPr>
        <w:pStyle w:val="Heading4"/>
        <w:jc w:val="both"/>
      </w:pPr>
      <w:bookmarkStart w:id="107" w:name="_Hlk105009578"/>
      <w:r>
        <w:t>Trust versus confidence in integrative and mandated partnership types</w:t>
      </w:r>
    </w:p>
    <w:bookmarkEnd w:id="107"/>
    <w:p w14:paraId="620A07D1" w14:textId="0A915983" w:rsidR="00EE501D" w:rsidRDefault="00EE501D" w:rsidP="00525BE0">
      <w:pPr>
        <w:spacing w:line="360" w:lineRule="auto"/>
        <w:jc w:val="both"/>
      </w:pPr>
      <w:r>
        <w:t xml:space="preserve">In the gleaning phase of our realist synthesis, we identified a common CMOC which suggested that the formalisation of an arrangement through contracting facilitated trust relationships by having potential to act as a buffer where trust may otherwise be lacking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 xml:space="preserve">. Inversely, trust may also be undermined if too much collaborative behaviour is mandated through contract, as they assume the partner will act collaboratively as a result of contractual obligation. As such, we also found evidence that with either mandated or otherwise more integrative types of partnerships (e.g., mergers), trust may not be the primary determinant of collaborative behaviour. That role would instead shift to confidence </w:t>
      </w:r>
      <w:r>
        <w:fldChar w:fldCharType="begin" w:fldLock="1"/>
      </w:r>
      <w:r w:rsidR="006A5B59">
        <w:instrText>ADDIN CSL_CITATION {"citationItems":[{"id":"ITEM-1","itemData":{"DOI":"10.1186/s13643-021-01630-8","author":[{"dropping-particle":"","family":"Aunger","given":"Justin Avery","non-dropping-particle":"","parse-names":false,"suffix":""},{"dropping-particle":"","family":"Millar","given":"Ross","non-dropping-particle":"","parse-names":false,"suffix":""},{"dropping-particle":"","family":"Greenhalgh","given":"Joanne","non-dropping-particle":"","parse-names":false,"suffix":""},{"dropping-particle":"","family":"Mannion","given":"Russell","non-dropping-particle":"","parse-names":false,"suffix":""},{"dropping-particle":"","family":"Rafferty","given":"Anne Marie","non-dropping-particle":"","parse-names":false,"suffix":""},{"dropping-particle":"","family":"McLeod","given":"Hugh","non-dropping-particle":"","parse-names":false,"suffix":""}],"container-title":"Systematic Reviews","id":"ITEM-1","issue":"82","issued":{"date-parts":[["2021"]]},"title":"Why do some inter-organisational collaborations in healthcare work when others do not? A realist review","type":"article-journal","volume":"10"},"uris":["http://www.mendeley.com/documents/?uuid=4c2502ce-f262-41ce-80f9-fb7d74555f78"]}],"mendeley":{"formattedCitation":"&lt;sup&gt;138&lt;/sup&gt;","plainTextFormattedCitation":"138","previouslyFormattedCitation":"&lt;sup&gt;138&lt;/sup&gt;"},"properties":{"noteIndex":0},"schema":"https://github.com/citation-style-language/schema/raw/master/csl-citation.json"}</w:instrText>
      </w:r>
      <w:r>
        <w:fldChar w:fldCharType="separate"/>
      </w:r>
      <w:r w:rsidR="006A5B59" w:rsidRPr="006A5B59">
        <w:rPr>
          <w:noProof/>
          <w:vertAlign w:val="superscript"/>
        </w:rPr>
        <w:t>138</w:t>
      </w:r>
      <w:r>
        <w:fldChar w:fldCharType="end"/>
      </w:r>
      <w:r>
        <w:t>.</w:t>
      </w:r>
    </w:p>
    <w:p w14:paraId="35DABF62" w14:textId="78A51096" w:rsidR="00EE501D" w:rsidRPr="009B4BED" w:rsidRDefault="00EE501D" w:rsidP="00525BE0">
      <w:pPr>
        <w:spacing w:line="360" w:lineRule="auto"/>
        <w:jc w:val="both"/>
      </w:pPr>
      <w:r>
        <w:t xml:space="preserve">Our updated review sought to further understand the relationship between confidence, formalisation, risk tolerance, and trust. While difficult to identify relevant information, our included literature identifies an inherent mistrust taking place in organisations involved in mandated partnerships, with </w:t>
      </w:r>
      <w:r w:rsidRPr="00511925">
        <w:t>perceptions of</w:t>
      </w:r>
      <w:r w:rsidRPr="00511925">
        <w:rPr>
          <w:iCs/>
        </w:rPr>
        <w:t xml:space="preserve"> ‘taken over’, atmospheres of ‘them and us’, and domination of powerful partners resulting in a lack of trust and partnership strength </w:t>
      </w:r>
      <w:r w:rsidRPr="00511925">
        <w:rPr>
          <w:iCs/>
        </w:rPr>
        <w:fldChar w:fldCharType="begin" w:fldLock="1"/>
      </w:r>
      <w:r w:rsidR="00EA4B53">
        <w:rPr>
          <w:iCs/>
        </w:rPr>
        <w:instrText>ADDIN CSL_CITATION {"citationItems":[{"id":"ITEM-1","itemData":{"DOI":"10.1080/01442871003615968","ISSN":"01442872","abstract":"This article explores the implementation of health and social care policy designed to improve partnership working between the health and social care sectors in the UK. Devolution has allowed Scotland to develop its own policies in several key areas. Given the potential for policy divergence, health and social care policy in England and Scotland is compared and contrasted. Using four partnership case studies, similar issues were apparent in both countries. Policy was dominated by the National Health Service at the expense of local authority partners and each partnership found the implementation of policy challenging, often due to inadequate policy guidance and difficult working relationships between the health and social care sectors. A key finding was that devolution had allowed Scotland more freedom to experiment with policy and the policy process became more readily influenced and challenged by local practitioners. Implications for policy implementation in similar devolved and decentralised contexts are considered. © 2010 Taylor &amp; Francis.","author":[{"dropping-particle":"","family":"Forbes","given":"Tom","non-dropping-particle":"","parse-names":false,"suffix":""},{"dropping-particle":"","family":"Evans","given":"Debbie","non-dropping-particle":"","parse-names":false,"suffix":""},{"dropping-particle":"","family":"Scott","given":"Niccola","non-dropping-particle":"","parse-names":false,"suffix":""}],"container-title":"Policy Studies","id":"ITEM-1","issue":"6","issued":{"date-parts":[["2010"]]},"page":"591-611","publisher":"Taylor and Francis","publisher-place":"Philadelphia, USA","title":"Implementing health and social care policy - England and Scotland compared","type":"article-journal","volume":"31"},"locator":"598","uris":["http://www.mendeley.com/documents/?uuid=8952d69a-8f59-4b55-b28b-301ddf33bf83"]}],"mendeley":{"formattedCitation":"&lt;sup&gt;164&lt;/sup&gt;","plainTextFormattedCitation":"164","previouslyFormattedCitation":"&lt;sup&gt;164&lt;/sup&gt;"},"properties":{"noteIndex":0},"schema":"https://github.com/citation-style-language/schema/raw/master/csl-citation.json"}</w:instrText>
      </w:r>
      <w:r w:rsidRPr="00511925">
        <w:rPr>
          <w:iCs/>
        </w:rPr>
        <w:fldChar w:fldCharType="separate"/>
      </w:r>
      <w:r w:rsidR="00E25884" w:rsidRPr="00E25884">
        <w:rPr>
          <w:iCs/>
          <w:noProof/>
          <w:vertAlign w:val="superscript"/>
        </w:rPr>
        <w:t>164</w:t>
      </w:r>
      <w:r w:rsidRPr="00511925">
        <w:rPr>
          <w:iCs/>
        </w:rPr>
        <w:fldChar w:fldCharType="end"/>
      </w:r>
      <w:r>
        <w:rPr>
          <w:iCs/>
        </w:rPr>
        <w:t xml:space="preserve">. </w:t>
      </w:r>
      <w:r>
        <w:t xml:space="preserve">Next to this lack of trust in mandated collaborations, formalisation was seen by sources as a means for risk management. </w:t>
      </w:r>
      <w:r>
        <w:rPr>
          <w:iCs/>
        </w:rPr>
        <w:t>U</w:t>
      </w:r>
      <w:r w:rsidRPr="0075767F">
        <w:rPr>
          <w:iCs/>
        </w:rPr>
        <w:t>se of controls and</w:t>
      </w:r>
      <w:r w:rsidRPr="00144EBA">
        <w:rPr>
          <w:i/>
          <w:iCs/>
        </w:rPr>
        <w:t xml:space="preserve"> </w:t>
      </w:r>
      <w:r w:rsidRPr="0075767F">
        <w:rPr>
          <w:iCs/>
        </w:rPr>
        <w:t>contracts</w:t>
      </w:r>
      <w:r w:rsidRPr="00144EBA">
        <w:rPr>
          <w:i/>
          <w:iCs/>
        </w:rPr>
        <w:t xml:space="preserve"> </w:t>
      </w:r>
      <w:r>
        <w:rPr>
          <w:i/>
          <w:iCs/>
        </w:rPr>
        <w:t>“</w:t>
      </w:r>
      <w:r w:rsidRPr="00144EBA">
        <w:rPr>
          <w:i/>
          <w:iCs/>
        </w:rPr>
        <w:t>to minimise uncertainties of behaviour by partners</w:t>
      </w:r>
      <w:r>
        <w:rPr>
          <w:i/>
          <w:iCs/>
        </w:rPr>
        <w:t xml:space="preserve">” </w:t>
      </w:r>
      <w:r w:rsidRPr="00511925">
        <w:rPr>
          <w:iCs/>
        </w:rPr>
        <w:t xml:space="preserve">had value in instances where trust </w:t>
      </w:r>
      <w:r>
        <w:rPr>
          <w:iCs/>
        </w:rPr>
        <w:t xml:space="preserve">was </w:t>
      </w:r>
      <w:r w:rsidRPr="00511925">
        <w:rPr>
          <w:iCs/>
        </w:rPr>
        <w:t>low</w:t>
      </w:r>
      <w:r>
        <w:rPr>
          <w:i/>
          <w:iCs/>
        </w:rPr>
        <w:t xml:space="preserve"> </w:t>
      </w:r>
      <w:r>
        <w:rPr>
          <w:i/>
          <w:iCs/>
        </w:rPr>
        <w:fldChar w:fldCharType="begin" w:fldLock="1"/>
      </w:r>
      <w:r w:rsidR="00EA4B53">
        <w:rPr>
          <w:i/>
          <w:iCs/>
        </w:rPr>
        <w:instrText>ADDIN CSL_CITATION {"citationItems":[{"id":"ITEM-1","itemData":{"author":[{"dropping-particle":"","family":"NHS Employers","given":"","non-dropping-particle":"","parse-names":false,"suffix":""}],"id":"ITEM-1","issued":{"date-parts":[["2017"]]},"page":"1-56","title":"Trustworthy Collaboration","type":"article-journal"},"locator":"15","uris":["http://www.mendeley.com/documents/?uuid=419502eb-b01f-41ca-aec3-bc02a63dec92"]}],"mendeley":{"formattedCitation":"&lt;sup&gt;44&lt;/sup&gt;","plainTextFormattedCitation":"44","previouslyFormattedCitation":"&lt;sup&gt;44&lt;/sup&gt;"},"properties":{"noteIndex":0},"schema":"https://github.com/citation-style-language/schema/raw/master/csl-citation.json"}</w:instrText>
      </w:r>
      <w:r>
        <w:rPr>
          <w:i/>
          <w:iCs/>
        </w:rPr>
        <w:fldChar w:fldCharType="separate"/>
      </w:r>
      <w:r w:rsidR="00E25884" w:rsidRPr="00E25884">
        <w:rPr>
          <w:iCs/>
          <w:noProof/>
          <w:vertAlign w:val="superscript"/>
        </w:rPr>
        <w:t>44</w:t>
      </w:r>
      <w:r>
        <w:rPr>
          <w:i/>
          <w:iCs/>
        </w:rPr>
        <w:fldChar w:fldCharType="end"/>
      </w:r>
      <w:r>
        <w:rPr>
          <w:i/>
          <w:iCs/>
        </w:rPr>
        <w:t xml:space="preserve">. </w:t>
      </w:r>
      <w:r>
        <w:t>Another source put forward the notion that formalisation through contract is “</w:t>
      </w:r>
      <w:r w:rsidRPr="0056770E">
        <w:rPr>
          <w:i/>
          <w:iCs/>
        </w:rPr>
        <w:t>primarily about managing risk, trying to situate the risk with the organisation/s most able to mitigate it, and giving them the power to do so.”</w:t>
      </w:r>
      <w:r>
        <w:rPr>
          <w:i/>
          <w:iCs/>
        </w:rPr>
        <w:t xml:space="preserve"> </w:t>
      </w:r>
      <w:r>
        <w:rPr>
          <w:i/>
          <w:iCs/>
        </w:rPr>
        <w:fldChar w:fldCharType="begin" w:fldLock="1"/>
      </w:r>
      <w:r w:rsidR="00EA4B53">
        <w:rPr>
          <w:i/>
          <w:iCs/>
        </w:rPr>
        <w:instrText>ADDIN CSL_CITATION {"citationItems":[{"id":"ITEM-1","itemData":{"ISSN":"09678638","author":[{"dropping-particle":"","family":"NHS Providers","given":"","non-dropping-particle":"","parse-names":false,"suffix":""},{"dropping-particle":"","family":"NHS Clinical Commissioners","given":"","non-dropping-particle":"","parse-names":false,"suffix":""}],"container-title":"NHS Providers","id":"ITEM-1","issued":{"date-parts":[["2018"]]},"title":"Driving forward system working: a snapshot of early progress in collaborative commissioning","type":"report"},"locator":"19","uris":["http://www.mendeley.com/documents/?uuid=b34cd3cf-2571-4d34-a9b8-e8eebde5cb2a"]}],"mendeley":{"formattedCitation":"&lt;sup&gt;187&lt;/sup&gt;","plainTextFormattedCitation":"187","previouslyFormattedCitation":"&lt;sup&gt;187&lt;/sup&gt;"},"properties":{"noteIndex":0},"schema":"https://github.com/citation-style-language/schema/raw/master/csl-citation.json"}</w:instrText>
      </w:r>
      <w:r>
        <w:rPr>
          <w:i/>
          <w:iCs/>
        </w:rPr>
        <w:fldChar w:fldCharType="separate"/>
      </w:r>
      <w:r w:rsidR="00E25884" w:rsidRPr="00E25884">
        <w:rPr>
          <w:iCs/>
          <w:noProof/>
          <w:vertAlign w:val="superscript"/>
        </w:rPr>
        <w:t>187</w:t>
      </w:r>
      <w:r>
        <w:rPr>
          <w:i/>
          <w:iCs/>
        </w:rPr>
        <w:fldChar w:fldCharType="end"/>
      </w:r>
      <w:r>
        <w:rPr>
          <w:i/>
          <w:iCs/>
        </w:rPr>
        <w:t>.</w:t>
      </w:r>
      <w:r>
        <w:t xml:space="preserve"> As such, we have added the concept of confidence, built through formalisation, to our programme theory diagram, as a determinant of risk tolerance (Figure </w:t>
      </w:r>
      <w:r w:rsidR="00481C0B">
        <w:t>13</w:t>
      </w:r>
      <w:r>
        <w:t xml:space="preserve">). Greater confidence (context) will thereby increase risk tolerance (mechanism) for engaging in collaborative behaviour (outcome) (Figure </w:t>
      </w:r>
      <w:r w:rsidR="00C259F3">
        <w:t xml:space="preserve">13 </w:t>
      </w:r>
      <w:r>
        <w:t xml:space="preserve">and </w:t>
      </w:r>
      <w:r w:rsidR="00C259F3">
        <w:t>15</w:t>
      </w:r>
      <w:r>
        <w:t>).</w:t>
      </w:r>
    </w:p>
    <w:p w14:paraId="23ECE001" w14:textId="28B4B548" w:rsidR="00EE501D" w:rsidRDefault="00EE501D" w:rsidP="00525BE0">
      <w:pPr>
        <w:spacing w:line="360" w:lineRule="auto"/>
        <w:jc w:val="both"/>
      </w:pPr>
      <w:r>
        <w:t>However, while some sources were espousing formalisation as a means for improving trust, it was evident that other sources were warning that over-formalisation could undermine the trust-building process, as “</w:t>
      </w:r>
      <w:r>
        <w:rPr>
          <w:i/>
          <w:iCs/>
        </w:rPr>
        <w:t>[the]</w:t>
      </w:r>
      <w:r w:rsidRPr="00144EBA">
        <w:rPr>
          <w:i/>
          <w:iCs/>
        </w:rPr>
        <w:t xml:space="preserve"> contribution</w:t>
      </w:r>
      <w:r>
        <w:rPr>
          <w:i/>
          <w:iCs/>
        </w:rPr>
        <w:t xml:space="preserve"> [of contracts]</w:t>
      </w:r>
      <w:r w:rsidRPr="00144EBA">
        <w:rPr>
          <w:i/>
          <w:iCs/>
        </w:rPr>
        <w:t xml:space="preserve"> is less in subsequent phases once trust grows, not least because early contracts cannot anticipate every eventuality</w:t>
      </w:r>
      <w:r>
        <w:rPr>
          <w:i/>
          <w:iCs/>
        </w:rPr>
        <w:t xml:space="preserve">” </w:t>
      </w:r>
      <w:r>
        <w:rPr>
          <w:i/>
          <w:iCs/>
        </w:rPr>
        <w:fldChar w:fldCharType="begin" w:fldLock="1"/>
      </w:r>
      <w:r w:rsidR="00EA4B53">
        <w:rPr>
          <w:i/>
          <w:iCs/>
        </w:rPr>
        <w:instrText>ADDIN CSL_CITATION {"citationItems":[{"id":"ITEM-1","itemData":{"author":[{"dropping-particle":"","family":"NHS Employers","given":"","non-dropping-particle":"","parse-names":false,"suffix":""}],"id":"ITEM-1","issued":{"date-parts":[["2017"]]},"page":"1-56","title":"Trustworthy Collaboration","type":"article-journal"},"locator":"15","uris":["http://www.mendeley.com/documents/?uuid=419502eb-b01f-41ca-aec3-bc02a63dec92"]}],"mendeley":{"formattedCitation":"&lt;sup&gt;44&lt;/sup&gt;","plainTextFormattedCitation":"44","previouslyFormattedCitation":"&lt;sup&gt;44&lt;/sup&gt;"},"properties":{"noteIndex":0},"schema":"https://github.com/citation-style-language/schema/raw/master/csl-citation.json"}</w:instrText>
      </w:r>
      <w:r>
        <w:rPr>
          <w:i/>
          <w:iCs/>
        </w:rPr>
        <w:fldChar w:fldCharType="separate"/>
      </w:r>
      <w:r w:rsidR="00E25884" w:rsidRPr="00E25884">
        <w:rPr>
          <w:iCs/>
          <w:noProof/>
          <w:vertAlign w:val="superscript"/>
        </w:rPr>
        <w:t>44</w:t>
      </w:r>
      <w:r>
        <w:rPr>
          <w:i/>
          <w:iCs/>
        </w:rPr>
        <w:fldChar w:fldCharType="end"/>
      </w:r>
      <w:r>
        <w:rPr>
          <w:i/>
          <w:iCs/>
        </w:rPr>
        <w:t xml:space="preserve">. </w:t>
      </w:r>
      <w:r>
        <w:t>This sentiment is echoed by quotes such that “</w:t>
      </w:r>
      <w:r w:rsidRPr="00B95A24">
        <w:rPr>
          <w:i/>
          <w:iCs/>
        </w:rPr>
        <w:t>although a lot of the joint commissioning processes described to us were formalised and structural, people often recognised that joint working is essentially relational (based on informal conversations and interactions)</w:t>
      </w:r>
      <w:r>
        <w:t xml:space="preserve">” </w:t>
      </w:r>
      <w:r>
        <w:fldChar w:fldCharType="begin" w:fldLock="1"/>
      </w:r>
      <w:r w:rsidR="00EA4B53">
        <w:instrText>ADDIN CSL_CITATION {"citationItems":[{"id":"ITEM-1","itemData":{"ISSN":"1476-9018","abstract":"PURPOSE: This paper reports research undertaken into the practices, processes and outcomes of joint commissioning at five English localities. This paper reflects on the implications of this study for the practice of joint commissioning. DESIGN/METHODOLOGY/APPROACH: A case study approach to the research was adopted where the assumptions about what joint commissioning should deliver in five \"best practice\" sites. These hypothesised relationships about organisational processes, services and outcomes were then tested through the collection of primary and secondary data. Methods of data collection included an online tool based on Q methodology, documentary analysis, interviews and focus groups. FINDINGS: Very little of what we found seemed to relate directly to issues of joint commissioning. Respondents often spoke of joint commissioning conflating it with issues of commissioning or joint working more generally. We found a variety of different definitions and meanings of joint commissioning in practice suggesting that this is not a coherent model but varies across localities. Little evidence of improved outcomes was found, due to practical and technical difficulties. RESEARCH LIMITATIONS/IMPLICATIONS: Joint commissioning is not a coherent model and is applied in different ways across different contexts. As such we may need to ask very different questions of joint commissioning to those typically asked. PRACTICAL IMPLICATIONS: It is important that local sites are clear about what they are trying to deliver through joint commissioning or else risk that it becomes an end in itself. Some of the current reforms taking place in health and social care risk pulling apart existing relationships that have taken significant time and resource to develop. ORIGINALITY/VALUE: This is one of the first large-scale studies of joint commissioning conducted in England. [Abstract]","author":[{"dropping-particle":"","family":"Dickinson","given":"Helen","non-dropping-particle":"","parse-names":false,"suffix":""},{"dropping-particle":"","family":"Glasby","given":"Jon","non-dropping-particle":"","parse-names":false,"suffix":""}],"container-title":"Journal of Integrated Care","id":"ITEM-1","issue":"4","issued":{"date-parts":[["2013"]]},"page":"221-232","publisher":"2013","title":"How effective is joint commissioning? A study of five English localities.","type":"article-journal","volume":"21"},"locator":"227","uris":["http://www.mendeley.com/documents/?uuid=6ec42eb0-70b6-40da-a4f5-9e7639723a05"]}],"mendeley":{"formattedCitation":"&lt;sup&gt;22&lt;/sup&gt;","plainTextFormattedCitation":"22","previouslyFormattedCitation":"&lt;sup&gt;22&lt;/sup&gt;"},"properties":{"noteIndex":0},"schema":"https://github.com/citation-style-language/schema/raw/master/csl-citation.json"}</w:instrText>
      </w:r>
      <w:r>
        <w:fldChar w:fldCharType="separate"/>
      </w:r>
      <w:r w:rsidR="00E25884" w:rsidRPr="00E25884">
        <w:rPr>
          <w:noProof/>
          <w:vertAlign w:val="superscript"/>
        </w:rPr>
        <w:t>22</w:t>
      </w:r>
      <w:r>
        <w:fldChar w:fldCharType="end"/>
      </w:r>
      <w:r>
        <w:t xml:space="preserve">. These findings indicate that voluntary collaborations should be careful not to overly rely on structural means of obligating collaborative behaviour where they should be focused on building relationships. Memoranda of understanding (MoUs), while generally non-binding, increase trust between collaborators and thereby reduce perception of risk taken on when engaging in collaborative behaviour </w:t>
      </w:r>
      <w:r>
        <w:fldChar w:fldCharType="begin" w:fldLock="1"/>
      </w:r>
      <w:r w:rsidR="00EA4B53">
        <w:instrText>ADDIN CSL_CITATION {"citationItems":[{"id":"ITEM-1","itemData":{"DOI":"10.1186/1743-8462-2-22","ISSN":"17438462","abstract":"Background: The last decade has witnessed a significant move towards new modes of governing that are based on coordination and collaboration. In particular, local level partnerships have been widely introduced around the world. There are few comprehensive approaches for researching the effects of these partnerships. The aim of this paper is to outline a network approach that combines structure and agency based explanations to research partnerships in health. Network research based on two Primary Care Partnerships (PCPs) in Victoria is used to demonstrate the utility of this approach. The paper examines multiple types of ties between people (structure), and the use and value of relationships to partners (agency), using interviews with the people involved in two PCPs - one in metropolitan Melbourne and one in a rural area. Results: Network maps of ties based on work, strategic information and policy advice, show that there are many strong connections in both PCPs. Not surprisingly, PCP staff are central and highly connected. Of more interest are the ties that are dependent on these dedicated partnership staff, as they reveal which actors become weakly linked or disconnected without them. Network measures indicate that work ties are the most dispersed and strategic information ties are the most concentrated around fewer people. Divisions of general practice are weakly linked, while local government officials and Department of Human Services (DHS) regional staff appear to play important bridging roles. Finally, the relationships between partners have changed and improved, and most of those interviewed value their new or improved links with partners. Conclusion: Improving service coordination and health promotion planning requires engaging people and building strong relationships. Mapping ties is a useful means for assessing the strengths and weaknesses of partnerships, and network analysis indicates concentration and dispersion, the importance of particular individuals, and the points at which they will fragment. A narrative approach adds an assessment of whether the partnerships are being used and valued. The approach outlined here, which examines structure and agency as separate but related explanations, has much to offer in examining partnerships. © 2005 Lewis; licensee BioMed Central Ltd.","author":[{"dropping-particle":"","family":"Lewis","given":"Jenny M.","non-dropping-particle":"","parse-names":false,"suffix":""}],"container-title":"Australia and New Zealand Health Policy","id":"ITEM-1","issue":"1","issued":{"date-parts":[["2005"]]},"page":"1-11","title":"A network approach for researching partnerships in health","type":"article-journal","volume":"2"},"locator":"10","uris":["http://www.mendeley.com/documents/?uuid=edc98b1d-b6e5-4d0e-9cbf-4d38aca4e7ae"]}],"mendeley":{"formattedCitation":"&lt;sup&gt;178&lt;/sup&gt;","plainTextFormattedCitation":"178","previouslyFormattedCitation":"&lt;sup&gt;178&lt;/sup&gt;"},"properties":{"noteIndex":0},"schema":"https://github.com/citation-style-language/schema/raw/master/csl-citation.json"}</w:instrText>
      </w:r>
      <w:r>
        <w:fldChar w:fldCharType="separate"/>
      </w:r>
      <w:r w:rsidR="00E25884" w:rsidRPr="00E25884">
        <w:rPr>
          <w:noProof/>
          <w:vertAlign w:val="superscript"/>
        </w:rPr>
        <w:t>178</w:t>
      </w:r>
      <w:r>
        <w:fldChar w:fldCharType="end"/>
      </w:r>
      <w:r>
        <w:t xml:space="preserve">. We hypothesise that these non-binding contracts such as MoUs may be most appropriate as a tool to increase risk tolerance for less integrative or voluntary arrangements, where there is a risk of misattribution to obligation rather than genuine collaboration with the use of binding contracts </w:t>
      </w:r>
      <w:r>
        <w:fldChar w:fldCharType="begin" w:fldLock="1"/>
      </w:r>
      <w:r w:rsidR="00EA4B53">
        <w:instrText>ADDIN CSL_CITATION {"citationItems":[{"id":"ITEM-1","itemData":{"DOI":"10.1111/j.1365-2934.2007.00771.x","ISSN":"09660429","abstract":"Aim Key factors of successful interorganizational partnerships are applied to the context of nursing and midwifery education. Background Reports in nursing education emphasize the need for more collaborative partnerships between the education and healthcare sectors of nursing and midwifery education. Evaluation There is little research examining the implementation of interorganizational relationships particularly in nursing.Key issues Key success factors are grouped into seven areas of trust and valuing the partner, leadership and managing change, a partnership framework, communication and interaction, equity and involvement in decision making, power and the role of partnership coordinator.Conclusion There is a need for contextual research in relation to implementing partnership in nursing and midwifery. Implications Partnership arrangements are essential for quality nursing and midwifery education. This article adds knowledge by way of application of these factors to organizations that provide nursing and midwifery education. Nurse managers have an important role in determining the quality of learning experience within the health service. It is essential, therefore that both nurse managers and nurse educationalist know the key factors which promote successful interoganizational relationships to ensure these factors are manifest in practice. © 2008 Blackwell Publishing Ltd.","author":[{"dropping-particle":"","family":"Casey","given":"Mary","non-dropping-particle":"","parse-names":false,"suffix":""}],"container-title":"Journal of Nursing Management","id":"ITEM-1","issue":"1","issued":{"date-parts":[["2008"]]},"page":"72-83","title":"Partnership - Success factors of interorganizational relationships","type":"article-journal","volume":"16"},"uris":["http://www.mendeley.com/documents/?uuid=153eb097-365e-4bd0-956f-00473a46ed98"]}],"mendeley":{"formattedCitation":"&lt;sup&gt;60&lt;/sup&gt;","plainTextFormattedCitation":"60","previouslyFormattedCitation":"&lt;sup&gt;60&lt;/sup&gt;"},"properties":{"noteIndex":0},"schema":"https://github.com/citation-style-language/schema/raw/master/csl-citation.json"}</w:instrText>
      </w:r>
      <w:r>
        <w:fldChar w:fldCharType="separate"/>
      </w:r>
      <w:r w:rsidR="00E25884" w:rsidRPr="00E25884">
        <w:rPr>
          <w:noProof/>
          <w:vertAlign w:val="superscript"/>
        </w:rPr>
        <w:t>60</w:t>
      </w:r>
      <w:r>
        <w:fldChar w:fldCharType="end"/>
      </w:r>
      <w:r>
        <w:t>. As Casey (2008, p. 77) puts forward “</w:t>
      </w:r>
      <w:r w:rsidRPr="00B3377C">
        <w:rPr>
          <w:i/>
          <w:iCs/>
        </w:rPr>
        <w:t>there is a need for a balance between power sharing and control, between processes and results, between continuity and change and between interpersonal trust and formalized procedures.</w:t>
      </w:r>
      <w:r>
        <w:rPr>
          <w:i/>
          <w:iCs/>
        </w:rPr>
        <w:t>”</w:t>
      </w:r>
    </w:p>
    <w:p w14:paraId="515A5231" w14:textId="77777777" w:rsidR="00EE501D" w:rsidRDefault="00EE501D" w:rsidP="00525BE0">
      <w:pPr>
        <w:pStyle w:val="Heading3"/>
        <w:jc w:val="both"/>
      </w:pPr>
      <w:bookmarkStart w:id="108" w:name="_Toc85066450"/>
      <w:r>
        <w:t>A novel means of depicting CMOC chains: ‘causal webs’</w:t>
      </w:r>
      <w:bookmarkEnd w:id="108"/>
    </w:p>
    <w:p w14:paraId="110FF4C0" w14:textId="409E9A53" w:rsidR="00EE501D" w:rsidRPr="00B946DF" w:rsidRDefault="00EE501D" w:rsidP="00525BE0">
      <w:pPr>
        <w:spacing w:line="360" w:lineRule="auto"/>
        <w:jc w:val="both"/>
        <w:sectPr w:rsidR="00EE501D" w:rsidRPr="00B946DF">
          <w:pgSz w:w="11906" w:h="16838"/>
          <w:pgMar w:top="1440" w:right="1440" w:bottom="1440" w:left="1440" w:header="708" w:footer="708" w:gutter="0"/>
          <w:cols w:space="708"/>
          <w:docGrid w:linePitch="360"/>
        </w:sectPr>
      </w:pPr>
      <w:r>
        <w:t xml:space="preserve">Our review findings suggest that CMOCs formed chains of generative causality as a result of the Outcome of one CMOC becoming the Context for another. For example, a larger organisational size (context) leads to greater task complexity (mechanism), which affects people’s faith in the process (outcome) </w:t>
      </w:r>
      <w:r>
        <w:fldChar w:fldCharType="begin" w:fldLock="1"/>
      </w:r>
      <w:r w:rsidR="00EA4B53">
        <w:instrText>ADDIN CSL_CITATION {"citationItems":[{"id":"ITEM-1","itemData":{"DOI":"10.1108/JICA-12-2016-0047","ISSN":"14769018","abstract":"Purpose - Integrating health and social care is a priority in England, although there is little evidence that previous initiatives have reduced hospital admissions or costs. In total, 25 Integrated Care Pioneers have been established to drive change \"at scale and pace\". The early phases of the evaluation (April 2014-June 2016) aimed to identify their objectives, plans and activities, and to assess the extent to which they have overcome barriers to integration. In the longer term, the authors will assess whether integrated care leads to improved outcomes and quality of care and at what cost. The paper aims to discuss these issues. Design/methodology/approach - Mixed methods involving documentary analysis, qualitative interviews and an online key informant survey. Findings - Over time, there was a narrowing of the integration agenda in most Pioneers. The predominant approach was to establish community-based multi-disciplinary teams focussed on (older) people with multiple long-term conditions with extensive needs. Moving from design to delivery proved difficult, as many barriers are outside the control of local actors. There was limited evidence of service change. Research limitations/implications - Because the findings relate to the early stage of the 5+ years of the Pioneer programme (2014-2019), it is not yet possible to detect changes in services or in user experiences and outcomes. Practical implications - The persistence of many barriers to integration highlights the need for greater national support to remove them. Originality/value - The evaluation demonstrates that implementing integrated health and social care is not a short-term process and cannot be achieved without national support in tackling persistent barriers.","author":[{"dropping-particle":"","family":"Erens","given":"Bob","non-dropping-particle":"","parse-names":false,"suffix":""},{"dropping-particle":"","family":"Wistow","given":"Gerald","non-dropping-particle":"","parse-names":false,"suffix":""},{"dropping-particle":"","family":"Mounier-Jack","given":"Sandra","non-dropping-particle":"","parse-names":false,"suffix":""},{"dropping-particle":"","family":"Douglas","given":"Nick","non-dropping-particle":"","parse-names":false,"suffix":""},{"dropping-particle":"","family":"Manacorda","given":"Tommaso","non-dropping-particle":"","parse-names":false,"suffix":""},{"dropping-particle":"","family":"Durand","given":"Mary Alison","non-dropping-particle":"","parse-names":false,"suffix":""},{"dropping-particle":"","family":"Mays","given":"Nicholas","non-dropping-particle":"","parse-names":false,"suffix":""}],"container-title":"Journal of Integrated Care","id":"ITEM-1","issue":"3","issued":{"date-parts":[["2017"]]},"page":"137-149","publisher":"Emerald","title":"Early findings from the evaluation of the Integrated Care and Support Pioneers in England","type":"article-journal","volume":"25"},"uris":["http://www.mendeley.com/documents/?uuid=5cebea46-5b5f-4d98-9d2b-6f7899410f8e"]}],"mendeley":{"formattedCitation":"&lt;sup&gt;160&lt;/sup&gt;","plainTextFormattedCitation":"160","previouslyFormattedCitation":"&lt;sup&gt;160&lt;/sup&gt;"},"properties":{"noteIndex":0},"schema":"https://github.com/citation-style-language/schema/raw/master/csl-citation.json"}</w:instrText>
      </w:r>
      <w:r>
        <w:fldChar w:fldCharType="separate"/>
      </w:r>
      <w:r w:rsidR="00E25884" w:rsidRPr="00E25884">
        <w:rPr>
          <w:noProof/>
          <w:vertAlign w:val="superscript"/>
        </w:rPr>
        <w:t>160</w:t>
      </w:r>
      <w:r>
        <w:fldChar w:fldCharType="end"/>
      </w:r>
      <w:r>
        <w:t xml:space="preserve">. However, further down the chain, faith is a context in which collaborative behaviour (mechanism) occurs, leading to improved synergy (outcome). As such, the ‘chains of causality’ emerged naturally from the linkages between CMOCs. As there is no common diagrammatical standard for how to depict CMOC chains in realist syntheses, we found that it was appropriate to depict our findings in the ‘causal web’ shown in figure </w:t>
      </w:r>
      <w:r w:rsidR="009175EA">
        <w:t>1</w:t>
      </w:r>
      <w:r w:rsidR="00481C0B">
        <w:t>5</w:t>
      </w:r>
      <w:r>
        <w:t xml:space="preserve">. Elements that only serve as contexts are represented in green boxes, and mechanisms/outcomes as blue ellipses. As such, in the figure, it should be simple to follow the aforementioned example of CMOC chain in the figure from organisational size (context 1) through to collaborative behaviour (outcome 2). This mode of representation draws similarities with the concept of a ‘context map’ put forward by </w:t>
      </w:r>
      <w:r>
        <w:fldChar w:fldCharType="begin" w:fldLock="1"/>
      </w:r>
      <w:r w:rsidR="00EA4B53">
        <w:instrText>ADDIN CSL_CITATION {"citationItems":[{"id":"ITEM-1","itemData":{"DOI":"10.1016/j.evalprogplan.2015.04.003","ISSN":"01497189","PMID":"26036610","abstract":"Developing a feasible evaluation plan is challenging when multiple activities, often sponsored by multiple agencies, work together toward a common goal. Often, resources are limited and not every agency's interest can be represented in the final evaluation plan. The article illustrates how the Antecedent Target Measurement (ATM) approach to logic modeling was adapted to meet this challenge. The key adaptation is the context map generated in the first step of the ATM approach. The context map makes visually explicit many of the underlying conditions contributing to a problem as possible. The article also shares how a prioritization matrix can assist the evaluator in filtering through the context map to prioritize the outcomes to be included in the final evaluation plan as well as creating realistic outcomes. This transparent prioritization process can be especially helpful in managing evaluation expectations of multiple agencies with competing interests. Additional strategic planning benefits of the context map include pinpointing redundancies caused by overlapping collaborative efforts, identifying gaps in coverage, and assisting the coordination of multiple stakeholders.","author":[{"dropping-particle":"","family":"Renger","given":"Ralph","non-dropping-particle":"","parse-names":false,"suffix":""},{"dropping-particle":"","family":"Foltysova","given":"Jirina","non-dropping-particle":"","parse-names":false,"suffix":""},{"dropping-particle":"","family":"Becker","given":"Karin L.","non-dropping-particle":"","parse-names":false,"suffix":""},{"dropping-particle":"","family":"Souvannasacd","given":"Eric","non-dropping-particle":"","parse-names":false,"suffix":""}],"container-title":"Evaluation and Program Planning","id":"ITEM-1","issued":{"date-parts":[["2015"]]},"page":"118-125","publisher":"Elsevier Ltd","title":"The power of the context map: Designing realistic outcome evaluation strategies and other unanticipated benefits","type":"article-journal","volume":"52"},"uris":["http://www.mendeley.com/documents/?uuid=bacf73e3-afac-4079-88d3-debf61152727"]}],"mendeley":{"formattedCitation":"&lt;sup&gt;215&lt;/sup&gt;","manualFormatting":"Renger et al. (2015)","plainTextFormattedCitation":"215","previouslyFormattedCitation":"&lt;sup&gt;215&lt;/sup&gt;"},"properties":{"noteIndex":0},"schema":"https://github.com/citation-style-language/schema/raw/master/csl-citation.json"}</w:instrText>
      </w:r>
      <w:r>
        <w:fldChar w:fldCharType="separate"/>
      </w:r>
      <w:r w:rsidRPr="009E2D15">
        <w:rPr>
          <w:noProof/>
        </w:rPr>
        <w:t xml:space="preserve">Renger </w:t>
      </w:r>
      <w:r w:rsidRPr="009E2D15">
        <w:rPr>
          <w:i/>
          <w:noProof/>
        </w:rPr>
        <w:t>et al.</w:t>
      </w:r>
      <w:r>
        <w:rPr>
          <w:noProof/>
        </w:rPr>
        <w:t xml:space="preserve"> (</w:t>
      </w:r>
      <w:r w:rsidRPr="009E2D15">
        <w:rPr>
          <w:noProof/>
        </w:rPr>
        <w:t>2015)</w:t>
      </w:r>
      <w:r>
        <w:fldChar w:fldCharType="end"/>
      </w:r>
      <w:r>
        <w:t xml:space="preserve"> for use with realistic evaluations, however, our approach expands it by including both mechanism and outcome in the web with their own means of representation. Yet, it is important to note that the diagram does not depict how specific contexts alter the mechanisms, only which mechanisms are attached to which contextual factors, and which outcomes to which mechanisms </w:t>
      </w:r>
      <w:r>
        <w:fldChar w:fldCharType="begin" w:fldLock="1"/>
      </w:r>
      <w:r w:rsidR="00EA4B53">
        <w:instrText>ADDIN CSL_CITATION {"citationItems":[{"id":"ITEM-1","itemData":{"DOI":"10.1016/j.evalprogplan.2015.04.003","ISSN":"01497189","PMID":"26036610","abstract":"Developing a feasible evaluation plan is challenging when multiple activities, often sponsored by multiple agencies, work together toward a common goal. Often, resources are limited and not every agency's interest can be represented in the final evaluation plan. The article illustrates how the Antecedent Target Measurement (ATM) approach to logic modeling was adapted to meet this challenge. The key adaptation is the context map generated in the first step of the ATM approach. The context map makes visually explicit many of the underlying conditions contributing to a problem as possible. The article also shares how a prioritization matrix can assist the evaluator in filtering through the context map to prioritize the outcomes to be included in the final evaluation plan as well as creating realistic outcomes. This transparent prioritization process can be especially helpful in managing evaluation expectations of multiple agencies with competing interests. Additional strategic planning benefits of the context map include pinpointing redundancies caused by overlapping collaborative efforts, identifying gaps in coverage, and assisting the coordination of multiple stakeholders.","author":[{"dropping-particle":"","family":"Renger","given":"Ralph","non-dropping-particle":"","parse-names":false,"suffix":""},{"dropping-particle":"","family":"Foltysova","given":"Jirina","non-dropping-particle":"","parse-names":false,"suffix":""},{"dropping-particle":"","family":"Becker","given":"Karin L.","non-dropping-particle":"","parse-names":false,"suffix":""},{"dropping-particle":"","family":"Souvannasacd","given":"Eric","non-dropping-particle":"","parse-names":false,"suffix":""}],"container-title":"Evaluation and Program Planning","id":"ITEM-1","issued":{"date-parts":[["2015"]]},"page":"118-125","publisher":"Elsevier Ltd","title":"The power of the context map: Designing realistic outcome evaluation strategies and other unanticipated benefits","type":"article-journal","volume":"52"},"uris":["http://www.mendeley.com/documents/?uuid=bacf73e3-afac-4079-88d3-debf61152727"]}],"mendeley":{"formattedCitation":"&lt;sup&gt;215&lt;/sup&gt;","plainTextFormattedCitation":"215","previouslyFormattedCitation":"&lt;sup&gt;215&lt;/sup&gt;"},"properties":{"noteIndex":0},"schema":"https://github.com/citation-style-language/schema/raw/master/csl-citation.json"}</w:instrText>
      </w:r>
      <w:r>
        <w:fldChar w:fldCharType="separate"/>
      </w:r>
      <w:r w:rsidR="00E25884" w:rsidRPr="00E25884">
        <w:rPr>
          <w:noProof/>
          <w:vertAlign w:val="superscript"/>
        </w:rPr>
        <w:t>215</w:t>
      </w:r>
      <w:r>
        <w:fldChar w:fldCharType="end"/>
      </w:r>
      <w:r>
        <w:t xml:space="preserve">. For specific dynamics, Figure </w:t>
      </w:r>
      <w:r w:rsidR="009175EA">
        <w:t>13</w:t>
      </w:r>
      <w:r>
        <w:t xml:space="preserve">, updated from our version in the theory gleaning phase based on the present refinements, depicts the key mechanisms and dynamics underlying the </w:t>
      </w:r>
      <w:r>
        <w:rPr>
          <w:i/>
          <w:iCs/>
        </w:rPr>
        <w:t xml:space="preserve">how of </w:t>
      </w:r>
      <w:r>
        <w:t>the workings of the CMOCs we identified.</w:t>
      </w:r>
    </w:p>
    <w:p w14:paraId="2C2D2026" w14:textId="77777777" w:rsidR="00EE501D" w:rsidRDefault="00EE501D" w:rsidP="00525BE0">
      <w:pPr>
        <w:pStyle w:val="Caption"/>
        <w:spacing w:line="360" w:lineRule="auto"/>
        <w:jc w:val="both"/>
      </w:pPr>
      <w:r>
        <w:rPr>
          <w:noProof/>
          <w:lang w:eastAsia="en-GB"/>
        </w:rPr>
        <w:drawing>
          <wp:inline distT="0" distB="0" distL="0" distR="0" wp14:anchorId="70D7B7E8" wp14:editId="1EB728A2">
            <wp:extent cx="8863330" cy="4985385"/>
            <wp:effectExtent l="0" t="0" r="1270" b="571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8863330" cy="4985385"/>
                    </a:xfrm>
                    <a:prstGeom prst="rect">
                      <a:avLst/>
                    </a:prstGeom>
                  </pic:spPr>
                </pic:pic>
              </a:graphicData>
            </a:graphic>
          </wp:inline>
        </w:drawing>
      </w:r>
    </w:p>
    <w:p w14:paraId="5A3726B2" w14:textId="6019FA1A" w:rsidR="00EE501D" w:rsidRPr="00F42296" w:rsidRDefault="00EE501D" w:rsidP="00525BE0">
      <w:pPr>
        <w:pStyle w:val="Caption"/>
        <w:spacing w:line="360" w:lineRule="auto"/>
        <w:jc w:val="both"/>
        <w:sectPr w:rsidR="00EE501D" w:rsidRPr="00F42296" w:rsidSect="00A77C56">
          <w:pgSz w:w="16838" w:h="11906" w:orient="landscape"/>
          <w:pgMar w:top="1440" w:right="1440" w:bottom="1440" w:left="1440" w:header="708" w:footer="708" w:gutter="0"/>
          <w:cols w:space="708"/>
          <w:docGrid w:linePitch="360"/>
        </w:sectPr>
      </w:pPr>
      <w:bookmarkStart w:id="109" w:name="_Toc106181620"/>
      <w:r>
        <w:t xml:space="preserve">Figure </w:t>
      </w:r>
      <w:r w:rsidR="008802A5">
        <w:fldChar w:fldCharType="begin"/>
      </w:r>
      <w:r w:rsidR="008802A5">
        <w:instrText xml:space="preserve"> SEQ Figure \* ARABIC </w:instrText>
      </w:r>
      <w:r w:rsidR="008802A5">
        <w:fldChar w:fldCharType="separate"/>
      </w:r>
      <w:r w:rsidR="009175EA">
        <w:rPr>
          <w:noProof/>
        </w:rPr>
        <w:t>15</w:t>
      </w:r>
      <w:r w:rsidR="008802A5">
        <w:rPr>
          <w:noProof/>
        </w:rPr>
        <w:fldChar w:fldCharType="end"/>
      </w:r>
      <w:r>
        <w:t xml:space="preserve">. Depiction of </w:t>
      </w:r>
      <w:r w:rsidR="005A2F52">
        <w:t>‘causal web’</w:t>
      </w:r>
      <w:r>
        <w:t xml:space="preserve"> formed by CMOC chains of how and why healthcare collaborations work. Green and blue elements relate to Collaborative Functioning. Adapted from </w:t>
      </w:r>
      <w:r>
        <w:fldChar w:fldCharType="begin" w:fldLock="1"/>
      </w:r>
      <w:r w:rsidR="006A5B59">
        <w:instrText>ADDIN CSL_CITATION {"citationItems":[{"id":"ITEM-1","itemData":{"DOI":"10.1186/s12913-021-06630-x","author":[{"dropping-particle":"","family":"Aunger","given":"Justin Avery","non-dropping-particle":"","parse-names":false,"suffix":""},{"dropping-particle":"","family":"Millar","given":"Ross","non-dropping-particle":"","parse-names":false,"suffix":""},{"dropping-particle":"","family":"Greenhalgh","given":"Joanne","non-dropping-particle":"","parse-names":false,"suffix":""}],"container-title":"BMC Health Services Research","id":"ITEM-1","issue":"602","issued":{"date-parts":[["2021"]]},"title":"When trust, confidence, and faith collide: refining a realist theory of how and why inter-organisational collaborations in healthcare work","type":"article-journal","volume":"21"},"uris":["http://www.mendeley.com/documents/?uuid=09b12ed0-f45f-442a-9890-205c3566f0e8"]}],"mendeley":{"formattedCitation":"&lt;sup&gt;135&lt;/sup&gt;","manualFormatting":"J. A. Aunger, Millar, &amp; Greenhalgh (2021)","plainTextFormattedCitation":"135","previouslyFormattedCitation":"&lt;sup&gt;135&lt;/sup&gt;"},"properties":{"noteIndex":0},"schema":"https://github.com/citation-style-language/schema/raw/master/csl-citation.json"}</w:instrText>
      </w:r>
      <w:r>
        <w:fldChar w:fldCharType="separate"/>
      </w:r>
      <w:r w:rsidRPr="007C4DC2">
        <w:rPr>
          <w:i w:val="0"/>
          <w:noProof/>
        </w:rPr>
        <w:t>J. A. Aunger, Millar, &amp; Greenhalgh</w:t>
      </w:r>
      <w:r>
        <w:rPr>
          <w:i w:val="0"/>
          <w:noProof/>
        </w:rPr>
        <w:t xml:space="preserve"> (</w:t>
      </w:r>
      <w:r w:rsidRPr="007C4DC2">
        <w:rPr>
          <w:i w:val="0"/>
          <w:noProof/>
        </w:rPr>
        <w:t>2021)</w:t>
      </w:r>
      <w:r>
        <w:fldChar w:fldCharType="end"/>
      </w:r>
      <w:r>
        <w:t>.</w:t>
      </w:r>
      <w:bookmarkEnd w:id="109"/>
    </w:p>
    <w:p w14:paraId="10D47327" w14:textId="77777777" w:rsidR="00EE501D" w:rsidRDefault="00EE501D" w:rsidP="00525BE0">
      <w:pPr>
        <w:pStyle w:val="Heading2"/>
        <w:jc w:val="both"/>
      </w:pPr>
      <w:bookmarkStart w:id="110" w:name="_Toc85066451"/>
      <w:r>
        <w:t>Conclusion</w:t>
      </w:r>
      <w:bookmarkEnd w:id="110"/>
    </w:p>
    <w:p w14:paraId="415255A4" w14:textId="402E0B38" w:rsidR="00EE501D" w:rsidRDefault="00EE501D" w:rsidP="00525BE0">
      <w:pPr>
        <w:spacing w:line="360" w:lineRule="auto"/>
        <w:jc w:val="both"/>
      </w:pPr>
      <w:r>
        <w:t xml:space="preserve">While many existing theories have delved into </w:t>
      </w:r>
      <w:r>
        <w:rPr>
          <w:i/>
          <w:iCs/>
        </w:rPr>
        <w:t xml:space="preserve">what </w:t>
      </w:r>
      <w:r>
        <w:t xml:space="preserve">underlies the process of inter-organisational collaborations in healthcare, this chapter builds upon our knowledge of not only </w:t>
      </w:r>
      <w:r>
        <w:rPr>
          <w:i/>
          <w:iCs/>
        </w:rPr>
        <w:t xml:space="preserve">what, </w:t>
      </w:r>
      <w:r>
        <w:t xml:space="preserve">but also </w:t>
      </w:r>
      <w:r>
        <w:rPr>
          <w:i/>
          <w:iCs/>
        </w:rPr>
        <w:t>how</w:t>
      </w:r>
      <w:r>
        <w:t xml:space="preserve"> and </w:t>
      </w:r>
      <w:r>
        <w:rPr>
          <w:i/>
          <w:iCs/>
        </w:rPr>
        <w:t xml:space="preserve">why </w:t>
      </w:r>
      <w:r>
        <w:t>these elements work. This was achieved by gleaning and refining CMOCs based on 86 papers, to produc</w:t>
      </w:r>
      <w:r w:rsidR="00406346">
        <w:t>e a refined realist theory. The</w:t>
      </w:r>
      <w:r>
        <w:t xml:space="preserve"> theory has </w:t>
      </w:r>
      <w:r w:rsidR="00406346">
        <w:t>surfaced</w:t>
      </w:r>
      <w:r>
        <w:t xml:space="preserve"> the interrelated roles of trust and risk tolerance, faith, task complexity, interpersonal communication, cultural integration, perception of progress, and how these drive collaborative behaviour. Likewise, it demonstrates that in mandated or highly integrative collaborations, the locus may be shifted from trust towards contractual obligation and a sense of confidence that the partner will act collaboratively. It also builds upon similar existing findings in the literature from other authors by linking contexts, mechanisms, and outcomes together into a long causal chain. This allows an understanding of how initial environmental and inter</w:t>
      </w:r>
      <w:r w:rsidR="00C413A2">
        <w:t>-</w:t>
      </w:r>
      <w:r>
        <w:t xml:space="preserve">organisational conditions set levels of trust, faith, and task complexity, and how these mechanisms can be managed later in the process of collaborating. These chains of CMOCs were situated within a ‘web of causality’ which allowed us to depict how distant contextual items and their mechanisms work to affect more </w:t>
      </w:r>
      <w:r w:rsidR="00956535">
        <w:t>long-term</w:t>
      </w:r>
      <w:r>
        <w:t xml:space="preserve"> outcomes, including collaborative behaviour. This version of our programme theory will be tested further in the following Chapter based on findings from the empirical side of the project. </w:t>
      </w:r>
    </w:p>
    <w:p w14:paraId="0EAC5072" w14:textId="77777777" w:rsidR="00EE501D" w:rsidRPr="0038249E" w:rsidRDefault="00EE501D" w:rsidP="00525BE0">
      <w:pPr>
        <w:widowControl w:val="0"/>
        <w:autoSpaceDE w:val="0"/>
        <w:autoSpaceDN w:val="0"/>
        <w:adjustRightInd w:val="0"/>
        <w:spacing w:line="360" w:lineRule="auto"/>
        <w:jc w:val="both"/>
      </w:pPr>
    </w:p>
    <w:p w14:paraId="5450FA3F" w14:textId="77777777" w:rsidR="00EE501D" w:rsidRDefault="00EE501D" w:rsidP="00525BE0">
      <w:pPr>
        <w:spacing w:line="360" w:lineRule="auto"/>
        <w:jc w:val="both"/>
        <w:rPr>
          <w:rFonts w:cstheme="minorHAnsi"/>
        </w:rPr>
        <w:sectPr w:rsidR="00EE501D">
          <w:pgSz w:w="11906" w:h="16838"/>
          <w:pgMar w:top="1440" w:right="1440" w:bottom="1440" w:left="1440" w:header="708" w:footer="708" w:gutter="0"/>
          <w:cols w:space="708"/>
          <w:docGrid w:linePitch="360"/>
        </w:sectPr>
      </w:pPr>
    </w:p>
    <w:p w14:paraId="26107DCE" w14:textId="77777777" w:rsidR="002057B6" w:rsidRDefault="002057B6" w:rsidP="00525BE0">
      <w:pPr>
        <w:spacing w:line="480" w:lineRule="auto"/>
        <w:jc w:val="both"/>
      </w:pPr>
    </w:p>
    <w:p w14:paraId="1BFBC497" w14:textId="77777777" w:rsidR="007873A7" w:rsidRPr="000D24D4" w:rsidRDefault="007873A7" w:rsidP="00525BE0">
      <w:pPr>
        <w:pStyle w:val="Heading1"/>
        <w:spacing w:line="360" w:lineRule="auto"/>
        <w:jc w:val="both"/>
      </w:pPr>
      <w:bookmarkStart w:id="111" w:name="_Toc85066452"/>
      <w:r w:rsidRPr="000D24D4">
        <w:t>Chapter 5: How do stakeholders understand the ‘functioning’ of inter organisational collaboration?</w:t>
      </w:r>
      <w:bookmarkEnd w:id="111"/>
    </w:p>
    <w:p w14:paraId="24B19BF7" w14:textId="77777777" w:rsidR="007873A7" w:rsidRDefault="007873A7" w:rsidP="00525BE0">
      <w:pPr>
        <w:spacing w:line="360" w:lineRule="auto"/>
        <w:jc w:val="both"/>
      </w:pPr>
    </w:p>
    <w:p w14:paraId="705D1854" w14:textId="41713BD6" w:rsidR="004F22C1" w:rsidRDefault="007873A7" w:rsidP="004F22C1">
      <w:pPr>
        <w:spacing w:line="360" w:lineRule="auto"/>
        <w:jc w:val="both"/>
      </w:pPr>
      <w:r>
        <w:t xml:space="preserve">The purpose of this chapter is to present the findings from interviews undertaken with a range of policy, practitioner, and patient representative perspectives regarding how they understand and experience the mechanisms of collaborative functioning. The chapter organises these findings around the mechanisms </w:t>
      </w:r>
      <w:r w:rsidR="00252F77">
        <w:t xml:space="preserve">central the Realist review that </w:t>
      </w:r>
      <w:r>
        <w:t xml:space="preserve">of trust, </w:t>
      </w:r>
      <w:r w:rsidR="00252F77">
        <w:t xml:space="preserve">faith, </w:t>
      </w:r>
      <w:r>
        <w:t>risk tolerance, and confidence. Other supporting mechanisms are also captured along with the contexts influencing these interactions.</w:t>
      </w:r>
      <w:r w:rsidR="004F22C1" w:rsidRPr="004F22C1">
        <w:t xml:space="preserve"> </w:t>
      </w:r>
    </w:p>
    <w:p w14:paraId="6D4012CF" w14:textId="4935B7F1" w:rsidR="00AE03E5" w:rsidRDefault="00AE03E5" w:rsidP="00525BE0">
      <w:pPr>
        <w:spacing w:line="360" w:lineRule="auto"/>
        <w:jc w:val="both"/>
      </w:pPr>
    </w:p>
    <w:p w14:paraId="0B84CA05" w14:textId="77777777" w:rsidR="007873A7" w:rsidRPr="00DA28A7" w:rsidRDefault="007873A7" w:rsidP="00525BE0">
      <w:pPr>
        <w:pStyle w:val="Heading2"/>
        <w:spacing w:after="240" w:line="360" w:lineRule="auto"/>
        <w:jc w:val="both"/>
      </w:pPr>
      <w:bookmarkStart w:id="112" w:name="_Toc85066453"/>
      <w:r w:rsidRPr="00B36AA7">
        <w:t xml:space="preserve">Building and sustaining </w:t>
      </w:r>
      <w:r>
        <w:t>trust</w:t>
      </w:r>
      <w:r w:rsidRPr="00B36AA7">
        <w:t xml:space="preserve"> in collaboration</w:t>
      </w:r>
      <w:bookmarkEnd w:id="112"/>
    </w:p>
    <w:p w14:paraId="3EED701F" w14:textId="563B3C56" w:rsidR="007873A7" w:rsidRDefault="00276F02" w:rsidP="00525BE0">
      <w:pPr>
        <w:spacing w:line="360" w:lineRule="auto"/>
        <w:jc w:val="both"/>
      </w:pPr>
      <w:r>
        <w:t xml:space="preserve">Interviews </w:t>
      </w:r>
      <w:r w:rsidR="00777C9F">
        <w:t>provided a range of insights into</w:t>
      </w:r>
      <w:r w:rsidR="007873A7">
        <w:t xml:space="preserve"> how building t</w:t>
      </w:r>
      <w:r w:rsidR="007873A7" w:rsidRPr="00DA28A7">
        <w:t xml:space="preserve">rust was deemed essential to maintaining and building collaborative efforts. To nurture trusting relationships, leaders described </w:t>
      </w:r>
      <w:r w:rsidR="007873A7">
        <w:t xml:space="preserve">the need for </w:t>
      </w:r>
      <w:r w:rsidR="007873A7" w:rsidRPr="00DA28A7">
        <w:t xml:space="preserve">experience, </w:t>
      </w:r>
      <w:r>
        <w:t xml:space="preserve">with </w:t>
      </w:r>
      <w:r w:rsidR="007873A7" w:rsidRPr="00DA28A7">
        <w:t>a</w:t>
      </w:r>
      <w:r w:rsidR="007873A7">
        <w:t xml:space="preserve"> demonstrable</w:t>
      </w:r>
      <w:r w:rsidR="007873A7" w:rsidRPr="00DA28A7">
        <w:t xml:space="preserve"> track record of involvement in collaboration, and delivery in improvement. Authenticity was </w:t>
      </w:r>
      <w:r w:rsidR="007873A7">
        <w:t xml:space="preserve">also </w:t>
      </w:r>
      <w:r w:rsidR="007873A7" w:rsidRPr="00DA28A7">
        <w:t>connected to leaders</w:t>
      </w:r>
      <w:r w:rsidR="007873A7">
        <w:t>’</w:t>
      </w:r>
      <w:r w:rsidR="007873A7" w:rsidRPr="00DA28A7">
        <w:t xml:space="preserve"> understanding </w:t>
      </w:r>
      <w:r w:rsidR="00C87095">
        <w:t>and visibility within local systems</w:t>
      </w:r>
      <w:r w:rsidR="007873A7" w:rsidRPr="00DA28A7">
        <w:t xml:space="preserve">. </w:t>
      </w:r>
    </w:p>
    <w:p w14:paraId="4B1B445F" w14:textId="131EA24F" w:rsidR="007873A7" w:rsidRDefault="001B5591" w:rsidP="00525BE0">
      <w:pPr>
        <w:spacing w:line="360" w:lineRule="auto"/>
        <w:ind w:left="720"/>
        <w:jc w:val="both"/>
        <w:rPr>
          <w:color w:val="000000" w:themeColor="text1"/>
        </w:rPr>
      </w:pPr>
      <w:r>
        <w:rPr>
          <w:i/>
        </w:rPr>
        <w:t xml:space="preserve"> </w:t>
      </w:r>
      <w:r w:rsidR="007873A7">
        <w:rPr>
          <w:i/>
        </w:rPr>
        <w:t>“</w:t>
      </w:r>
      <w:r w:rsidR="007873A7" w:rsidRPr="00B9389F">
        <w:rPr>
          <w:i/>
        </w:rPr>
        <w:t>I think clinical leaders don’t move around as much as career managers, so I think that also means it is personal and because I know, you know, I know all of the GPs</w:t>
      </w:r>
      <w:r w:rsidR="007873A7">
        <w:rPr>
          <w:i/>
        </w:rPr>
        <w:t>…</w:t>
      </w:r>
      <w:r w:rsidR="007873A7" w:rsidRPr="00B9389F">
        <w:rPr>
          <w:i/>
        </w:rPr>
        <w:t xml:space="preserve"> I’ve come across an awful lot of people and when you can just pick up the phone to people it’s a different conversation than if you’ve got to carefully craft a three page email isn’t it?</w:t>
      </w:r>
      <w:r w:rsidR="007873A7">
        <w:rPr>
          <w:i/>
        </w:rPr>
        <w:t>”</w:t>
      </w:r>
      <w:r w:rsidR="007873A7" w:rsidRPr="00B9389F">
        <w:rPr>
          <w:i/>
        </w:rPr>
        <w:t xml:space="preserve"> </w:t>
      </w:r>
      <w:r w:rsidR="007873A7" w:rsidRPr="008A6558">
        <w:rPr>
          <w:color w:val="000000" w:themeColor="text1"/>
        </w:rPr>
        <w:t>(14; Leader; ICS 2)</w:t>
      </w:r>
      <w:r w:rsidR="007873A7">
        <w:rPr>
          <w:color w:val="000000" w:themeColor="text1"/>
        </w:rPr>
        <w:t>.</w:t>
      </w:r>
    </w:p>
    <w:p w14:paraId="19456F1E" w14:textId="47F18E6E" w:rsidR="00C87095" w:rsidRPr="000D7103" w:rsidRDefault="00C87095" w:rsidP="00525BE0">
      <w:pPr>
        <w:spacing w:line="360" w:lineRule="auto"/>
        <w:ind w:left="720"/>
        <w:jc w:val="both"/>
        <w:rPr>
          <w:i/>
        </w:rPr>
      </w:pPr>
      <w:r>
        <w:rPr>
          <w:i/>
        </w:rPr>
        <w:t>“</w:t>
      </w:r>
      <w:r w:rsidRPr="00C87095">
        <w:rPr>
          <w:i/>
        </w:rPr>
        <w:t xml:space="preserve">If you have been around for as long as I have, you can draw on that work because the work I was doing in world-class commissioning 15 years ago was about how do you reduce health and equality as a managed care variation and use your resources to deliver the best outcomes that you can?  </w:t>
      </w:r>
      <w:r>
        <w:rPr>
          <w:i/>
        </w:rPr>
        <w:t>…</w:t>
      </w:r>
      <w:r w:rsidRPr="00C87095">
        <w:rPr>
          <w:i/>
        </w:rPr>
        <w:t>And, then I could point to the vanguards following the publication of the NHS plan, which was about the same sort of stuff.  So, by harnessing all of that work, what I did straightaway was deposit this as a continuation of existing work, and what we really were about was by working together, how do we add value to that landscape?  And, really setting out some firm principles which are the founding stones o</w:t>
      </w:r>
      <w:r>
        <w:rPr>
          <w:i/>
        </w:rPr>
        <w:t xml:space="preserve">f what we do every day, really.” </w:t>
      </w:r>
      <w:r w:rsidRPr="00C87095">
        <w:rPr>
          <w:i/>
        </w:rPr>
        <w:t xml:space="preserve"> </w:t>
      </w:r>
      <w:r>
        <w:rPr>
          <w:i/>
        </w:rPr>
        <w:t>(13)</w:t>
      </w:r>
    </w:p>
    <w:p w14:paraId="5ACA5E11" w14:textId="1BB9E428" w:rsidR="001B5591" w:rsidRDefault="007873A7" w:rsidP="00525BE0">
      <w:pPr>
        <w:spacing w:line="360" w:lineRule="auto"/>
        <w:jc w:val="both"/>
      </w:pPr>
      <w:r w:rsidRPr="00DA28A7">
        <w:t xml:space="preserve">Recognition that collaborative leadership differed from ‘traditional NHS leadership learned behaviour’ </w:t>
      </w:r>
      <w:r>
        <w:t>w</w:t>
      </w:r>
      <w:r w:rsidRPr="00DA28A7">
        <w:t xml:space="preserve">as </w:t>
      </w:r>
      <w:r>
        <w:t xml:space="preserve">depicted as </w:t>
      </w:r>
      <w:r w:rsidRPr="00DA28A7">
        <w:t>an approach that transcend</w:t>
      </w:r>
      <w:r>
        <w:t>ed</w:t>
      </w:r>
      <w:r w:rsidRPr="00DA28A7">
        <w:t xml:space="preserve"> boundaries with a focus on people and </w:t>
      </w:r>
      <w:r w:rsidR="00C87095">
        <w:t>place</w:t>
      </w:r>
      <w:r w:rsidRPr="00DA28A7">
        <w:t>. Interviewees described the approaches used to build trust with empathetic leadership characterised by enabling people to be supported to enter into a collaborative mindset</w:t>
      </w:r>
      <w:r>
        <w:t xml:space="preserve">. </w:t>
      </w:r>
      <w:r w:rsidRPr="00DA28A7">
        <w:t xml:space="preserve">Alliance 2 </w:t>
      </w:r>
      <w:r w:rsidR="00C87095">
        <w:t xml:space="preserve">for example </w:t>
      </w:r>
      <w:r w:rsidRPr="00DA28A7">
        <w:t>reflected on the challenges associated with the configuration of vascular services from three sites to two. A lengthy process of engaging with clinicians ‘to give it up’ without being forced to</w:t>
      </w:r>
      <w:r w:rsidR="006B4A74">
        <w:t xml:space="preserve"> was depicted</w:t>
      </w:r>
      <w:r w:rsidRPr="00DA28A7">
        <w:t xml:space="preserve">. </w:t>
      </w:r>
      <w:r w:rsidR="001B5591">
        <w:t>Other examples also featured within interview accounts:</w:t>
      </w:r>
    </w:p>
    <w:p w14:paraId="55FF87AA" w14:textId="0F052BD0" w:rsidR="00C87095" w:rsidRDefault="00C87095" w:rsidP="00C87095">
      <w:pPr>
        <w:spacing w:line="360" w:lineRule="auto"/>
        <w:ind w:left="720"/>
        <w:jc w:val="both"/>
      </w:pPr>
      <w:r>
        <w:rPr>
          <w:i/>
        </w:rPr>
        <w:t xml:space="preserve"> “</w:t>
      </w:r>
      <w:r w:rsidRPr="000D7103">
        <w:rPr>
          <w:i/>
        </w:rPr>
        <w:t>I think it’s to do with the strength of relationships, but also the skill of the facilitation and the use of the data and the evidence, and the involvement of all of the clinicians, who ultimately see the value for patients in adopting that approach. And that’s what came out. So I think if you take those sorts of approaches, you usually do get to the right outcome. The ones where you don’t do that, and I’ve experienced this before, is the ones where you’ve got just a very strong kind of political agenda running with one or two high profile leaders that just want your railroad stuff through, and it’s bad news when you’re in those situations</w:t>
      </w:r>
      <w:r>
        <w:rPr>
          <w:i/>
        </w:rPr>
        <w:t>”</w:t>
      </w:r>
      <w:r w:rsidRPr="000D7103">
        <w:rPr>
          <w:i/>
        </w:rPr>
        <w:t xml:space="preserve"> </w:t>
      </w:r>
      <w:r w:rsidRPr="009C55AF">
        <w:rPr>
          <w:color w:val="000000" w:themeColor="text1"/>
        </w:rPr>
        <w:t>(17; CEO; Alliance 2).</w:t>
      </w:r>
    </w:p>
    <w:p w14:paraId="3AFB2B49" w14:textId="30114813" w:rsidR="00C87095" w:rsidRDefault="00C87095" w:rsidP="00C87095">
      <w:pPr>
        <w:spacing w:line="360" w:lineRule="auto"/>
        <w:jc w:val="both"/>
      </w:pPr>
      <w:r>
        <w:t xml:space="preserve">The importance of leadership in setting the tone and culture translated into demonstrating authenticity, visibility, </w:t>
      </w:r>
      <w:r w:rsidR="00A92487">
        <w:t>empathy,</w:t>
      </w:r>
      <w:r>
        <w:t xml:space="preserve"> and openness. </w:t>
      </w:r>
    </w:p>
    <w:p w14:paraId="2954ECE8" w14:textId="50B8561B" w:rsidR="00C87095" w:rsidRPr="00C87095" w:rsidRDefault="00C87095" w:rsidP="00C87095">
      <w:pPr>
        <w:spacing w:line="360" w:lineRule="auto"/>
        <w:ind w:left="720"/>
        <w:jc w:val="both"/>
        <w:rPr>
          <w:i/>
        </w:rPr>
      </w:pPr>
      <w:r w:rsidRPr="00C87095">
        <w:rPr>
          <w:i/>
        </w:rPr>
        <w:t>“…I did become much more visible, spending time, with the rest of the executive team, visiting wards and departments, working alongside people, not just visiting and say hello, but actually acting in the role, whether that was as a porter or a nursing assistant or working in pathology, or whatever it might have been, and understanding, in a very small way, you know, what it was like to look through their lens” (12; Former CEO; Alliance 1).</w:t>
      </w:r>
    </w:p>
    <w:p w14:paraId="4DA3DDF2" w14:textId="018B4423" w:rsidR="007873A7" w:rsidRDefault="007873A7" w:rsidP="00525BE0">
      <w:pPr>
        <w:spacing w:line="360" w:lineRule="auto"/>
        <w:jc w:val="both"/>
      </w:pPr>
      <w:r>
        <w:t>Pro</w:t>
      </w:r>
      <w:r w:rsidR="00C87095">
        <w:t>ject</w:t>
      </w:r>
      <w:r>
        <w:t xml:space="preserve"> </w:t>
      </w:r>
      <w:r w:rsidR="00C87095">
        <w:t xml:space="preserve">management and </w:t>
      </w:r>
      <w:r w:rsidR="006B4A74">
        <w:t xml:space="preserve">boundary spanning </w:t>
      </w:r>
      <w:r w:rsidR="00C87095">
        <w:t>governance</w:t>
      </w:r>
      <w:r>
        <w:t xml:space="preserve"> </w:t>
      </w:r>
      <w:r w:rsidR="006B4A74">
        <w:t xml:space="preserve">arrangements </w:t>
      </w:r>
      <w:r>
        <w:t xml:space="preserve">provided an important role in ensuring collaborations made </w:t>
      </w:r>
      <w:r w:rsidRPr="00C87095">
        <w:t>progress</w:t>
      </w:r>
      <w:r w:rsidR="00C87095">
        <w:t xml:space="preserve"> </w:t>
      </w:r>
      <w:r w:rsidRPr="00C87095">
        <w:t>and</w:t>
      </w:r>
      <w:r>
        <w:t xml:space="preserve"> </w:t>
      </w:r>
      <w:r w:rsidR="00C87095">
        <w:t>promoted</w:t>
      </w:r>
      <w:r>
        <w:t xml:space="preserve"> consensus through understanding different organisational viewpoints. This facilitated trusting relationships.</w:t>
      </w:r>
    </w:p>
    <w:p w14:paraId="22867118" w14:textId="77777777" w:rsidR="007873A7" w:rsidRDefault="007873A7" w:rsidP="00525BE0">
      <w:pPr>
        <w:spacing w:line="360" w:lineRule="auto"/>
        <w:ind w:left="720"/>
        <w:jc w:val="both"/>
      </w:pPr>
      <w:r>
        <w:rPr>
          <w:i/>
        </w:rPr>
        <w:t xml:space="preserve">“… </w:t>
      </w:r>
      <w:r w:rsidRPr="000D7103">
        <w:rPr>
          <w:i/>
        </w:rPr>
        <w:t>a lot of what I do is understanding what each of the different organisations are thinking and what the people in it are thinking or what their concerns and worries are, and trying to sort of unpick those and find that consensus, find that area where everybody can agree and sort of</w:t>
      </w:r>
      <w:r>
        <w:rPr>
          <w:i/>
        </w:rPr>
        <w:t>…  A lot of it is a bit of shutt</w:t>
      </w:r>
      <w:r w:rsidRPr="000D7103">
        <w:rPr>
          <w:i/>
        </w:rPr>
        <w:t>le diplomacy in a way; you sort of go between people persuading these people to move this way and them to move a bit that way so you get them all into a place where they’re close enough together that they can work together</w:t>
      </w:r>
      <w:r>
        <w:rPr>
          <w:i/>
        </w:rPr>
        <w:t xml:space="preserve">” </w:t>
      </w:r>
      <w:r w:rsidRPr="009C55AF">
        <w:rPr>
          <w:iCs/>
          <w:color w:val="000000" w:themeColor="text1"/>
        </w:rPr>
        <w:t>(19; Director; Alliance 2).</w:t>
      </w:r>
    </w:p>
    <w:p w14:paraId="0A46074A" w14:textId="77777777" w:rsidR="001B5591" w:rsidRDefault="001B5591" w:rsidP="00525BE0">
      <w:pPr>
        <w:spacing w:line="360" w:lineRule="auto"/>
        <w:jc w:val="both"/>
      </w:pPr>
    </w:p>
    <w:p w14:paraId="074A415B" w14:textId="77777777" w:rsidR="007873A7" w:rsidRPr="00DA28A7" w:rsidRDefault="007873A7" w:rsidP="00525BE0">
      <w:pPr>
        <w:pStyle w:val="Heading3"/>
        <w:spacing w:after="240"/>
        <w:jc w:val="both"/>
      </w:pPr>
      <w:bookmarkStart w:id="113" w:name="_Toc85066454"/>
      <w:r w:rsidRPr="00DA28A7">
        <w:t>Interpersonal communication</w:t>
      </w:r>
      <w:bookmarkEnd w:id="113"/>
    </w:p>
    <w:p w14:paraId="46B9F22F" w14:textId="6DFA8495" w:rsidR="007873A7" w:rsidRDefault="007873A7" w:rsidP="00525BE0">
      <w:pPr>
        <w:spacing w:line="360" w:lineRule="auto"/>
        <w:jc w:val="both"/>
      </w:pPr>
      <w:r w:rsidRPr="00DA28A7">
        <w:t xml:space="preserve">The ability to listen attentively and engage people in identifying areas for improvement was connected to building trust. In setting up Alliance 2, </w:t>
      </w:r>
      <w:r w:rsidR="00696F8E">
        <w:t>interviewees</w:t>
      </w:r>
      <w:r w:rsidRPr="00DA28A7">
        <w:t xml:space="preserve"> </w:t>
      </w:r>
      <w:r w:rsidR="00696F8E">
        <w:t>described responding to</w:t>
      </w:r>
      <w:r w:rsidRPr="00DA28A7">
        <w:t xml:space="preserve"> cynicism to the proposed collaboration </w:t>
      </w:r>
      <w:r w:rsidR="00696F8E">
        <w:t>through getting a better</w:t>
      </w:r>
      <w:r w:rsidRPr="00DA28A7">
        <w:t xml:space="preserve"> understand</w:t>
      </w:r>
      <w:r w:rsidR="00696F8E">
        <w:t>ing and appreciation of different</w:t>
      </w:r>
      <w:r w:rsidRPr="00DA28A7">
        <w:t xml:space="preserve"> perspective</w:t>
      </w:r>
      <w:r w:rsidR="00696F8E">
        <w:t>s</w:t>
      </w:r>
      <w:r w:rsidRPr="00DA28A7">
        <w:t xml:space="preserve">. The power of informal interactions to build relationships was </w:t>
      </w:r>
      <w:r w:rsidR="00696F8E">
        <w:t>deemed</w:t>
      </w:r>
      <w:r w:rsidRPr="00DA28A7">
        <w:t xml:space="preserve"> a key mechanism </w:t>
      </w:r>
      <w:r w:rsidR="00B25B33">
        <w:t>for improving trust relationships</w:t>
      </w:r>
      <w:r w:rsidRPr="00DA28A7">
        <w:t xml:space="preserve">. </w:t>
      </w:r>
    </w:p>
    <w:p w14:paraId="668CE2C4" w14:textId="77777777" w:rsidR="007873A7" w:rsidRPr="000D7103" w:rsidRDefault="007873A7" w:rsidP="00525BE0">
      <w:pPr>
        <w:spacing w:line="360" w:lineRule="auto"/>
        <w:ind w:left="720"/>
        <w:jc w:val="both"/>
        <w:rPr>
          <w:i/>
        </w:rPr>
      </w:pPr>
      <w:r>
        <w:rPr>
          <w:i/>
        </w:rPr>
        <w:t xml:space="preserve">“… </w:t>
      </w:r>
      <w:r w:rsidRPr="000D7103">
        <w:rPr>
          <w:i/>
        </w:rPr>
        <w:t>[it] came from not waking up one morning and saying, “We’ve got to have an association and all get together”; it came from just going out for dinner and getting to know each other better, because there’s a group of colleagues that actually, I wanted to get to know, and they were really important to us</w:t>
      </w:r>
      <w:r>
        <w:rPr>
          <w:i/>
        </w:rPr>
        <w:t xml:space="preserve">” </w:t>
      </w:r>
      <w:r w:rsidRPr="009C55AF">
        <w:rPr>
          <w:color w:val="000000" w:themeColor="text1"/>
        </w:rPr>
        <w:t>(17; CEO; Alliance 2).</w:t>
      </w:r>
    </w:p>
    <w:p w14:paraId="45E47669" w14:textId="19FE569E" w:rsidR="007873A7" w:rsidRDefault="007873A7" w:rsidP="00525BE0">
      <w:pPr>
        <w:spacing w:line="360" w:lineRule="auto"/>
        <w:jc w:val="both"/>
      </w:pPr>
      <w:r w:rsidRPr="00DA28A7">
        <w:t>Creating conditions where people felt</w:t>
      </w:r>
      <w:r>
        <w:t xml:space="preserve"> </w:t>
      </w:r>
      <w:r w:rsidRPr="00DA28A7">
        <w:t xml:space="preserve">open to talk about </w:t>
      </w:r>
      <w:r w:rsidR="00B25B33">
        <w:t>their experiences</w:t>
      </w:r>
      <w:r>
        <w:t xml:space="preserve"> was important for creating an environment to facilitate trust-building</w:t>
      </w:r>
      <w:r w:rsidRPr="00DA28A7">
        <w:t>.</w:t>
      </w:r>
    </w:p>
    <w:p w14:paraId="689F61A0" w14:textId="77777777" w:rsidR="007873A7" w:rsidRDefault="007873A7" w:rsidP="00525BE0">
      <w:pPr>
        <w:spacing w:line="360" w:lineRule="auto"/>
        <w:ind w:left="720"/>
        <w:jc w:val="both"/>
      </w:pPr>
      <w:r>
        <w:rPr>
          <w:i/>
        </w:rPr>
        <w:t>“</w:t>
      </w:r>
      <w:r w:rsidRPr="000D7103">
        <w:rPr>
          <w:i/>
        </w:rPr>
        <w:t>Alongside that are the issues about openness and transparency, where I think you can’t just say something; people have to see it and feel it, and they have to know that you’re interested in the good, the bad, the indifferent, and that you will report it, that you’re creating a culture whereby you want people to talk about the things that they struggle with as well as the things that they do exceptionally well</w:t>
      </w:r>
      <w:r>
        <w:rPr>
          <w:i/>
        </w:rPr>
        <w:t>”</w:t>
      </w:r>
      <w:r w:rsidRPr="000D7103">
        <w:rPr>
          <w:i/>
        </w:rPr>
        <w:t xml:space="preserve"> </w:t>
      </w:r>
      <w:r w:rsidRPr="009C55AF">
        <w:rPr>
          <w:iCs/>
        </w:rPr>
        <w:t>(</w:t>
      </w:r>
      <w:r w:rsidRPr="008A6558">
        <w:rPr>
          <w:color w:val="000000" w:themeColor="text1"/>
        </w:rPr>
        <w:t xml:space="preserve">12; </w:t>
      </w:r>
      <w:r>
        <w:rPr>
          <w:color w:val="000000" w:themeColor="text1"/>
        </w:rPr>
        <w:t xml:space="preserve">Former </w:t>
      </w:r>
      <w:r w:rsidRPr="008A6558">
        <w:rPr>
          <w:color w:val="000000" w:themeColor="text1"/>
        </w:rPr>
        <w:t>CEO; Alliance 1)</w:t>
      </w:r>
      <w:r>
        <w:rPr>
          <w:color w:val="000000" w:themeColor="text1"/>
        </w:rPr>
        <w:t>.</w:t>
      </w:r>
    </w:p>
    <w:p w14:paraId="45711BE7" w14:textId="6A0B604F" w:rsidR="007873A7" w:rsidRDefault="00B25B33" w:rsidP="00525BE0">
      <w:pPr>
        <w:spacing w:line="360" w:lineRule="auto"/>
        <w:jc w:val="both"/>
      </w:pPr>
      <w:r>
        <w:t>The challenge of communicating</w:t>
      </w:r>
      <w:r w:rsidR="007873A7" w:rsidRPr="00DA28A7">
        <w:t xml:space="preserve"> across larger scale groups required greater attention being paid to governance. </w:t>
      </w:r>
      <w:r>
        <w:t>F</w:t>
      </w:r>
      <w:r w:rsidR="007873A7" w:rsidRPr="00DA28A7">
        <w:t xml:space="preserve">ocused programmes of work were </w:t>
      </w:r>
      <w:r>
        <w:t xml:space="preserve">required within such contexts in order </w:t>
      </w:r>
      <w:r w:rsidR="007873A7" w:rsidRPr="00DA28A7">
        <w:t xml:space="preserve">to bring </w:t>
      </w:r>
      <w:r>
        <w:t>people together</w:t>
      </w:r>
      <w:r w:rsidR="007873A7" w:rsidRPr="00DA28A7">
        <w:t xml:space="preserve"> </w:t>
      </w:r>
      <w:r w:rsidR="007873A7">
        <w:t xml:space="preserve">to </w:t>
      </w:r>
      <w:r w:rsidR="007873A7" w:rsidRPr="00DA28A7">
        <w:t>share common issues and develop common approaches</w:t>
      </w:r>
      <w:r w:rsidR="007873A7">
        <w:t>.</w:t>
      </w:r>
    </w:p>
    <w:p w14:paraId="1F485286" w14:textId="77777777" w:rsidR="007873A7" w:rsidRDefault="007873A7" w:rsidP="00525BE0">
      <w:pPr>
        <w:spacing w:line="360" w:lineRule="auto"/>
        <w:ind w:left="720"/>
        <w:jc w:val="both"/>
      </w:pPr>
      <w:r>
        <w:rPr>
          <w:i/>
        </w:rPr>
        <w:t xml:space="preserve">“… </w:t>
      </w:r>
      <w:r w:rsidRPr="000D7103">
        <w:rPr>
          <w:i/>
        </w:rPr>
        <w:t>we’re running about 9 or 10 programmes of work across different parts of hospital and hospital services. We bring together all the different functional Directors groups, so the Finance Directors meet, the Medical Directors, the Nurses, the Estates people; so, they all meet to sort of… they sort of share common issues and try and come up with common approaches to things</w:t>
      </w:r>
      <w:r>
        <w:rPr>
          <w:i/>
        </w:rPr>
        <w:t>”</w:t>
      </w:r>
      <w:r w:rsidRPr="000D7103">
        <w:rPr>
          <w:i/>
        </w:rPr>
        <w:t xml:space="preserve"> </w:t>
      </w:r>
      <w:r w:rsidRPr="009C55AF">
        <w:rPr>
          <w:color w:val="000000" w:themeColor="text1"/>
        </w:rPr>
        <w:t>(19; Director; Alliance 2).</w:t>
      </w:r>
    </w:p>
    <w:p w14:paraId="34929DD8" w14:textId="65D00380" w:rsidR="007873A7" w:rsidRDefault="007873A7" w:rsidP="00525BE0">
      <w:pPr>
        <w:pStyle w:val="Heading3"/>
        <w:spacing w:after="240"/>
        <w:jc w:val="both"/>
      </w:pPr>
    </w:p>
    <w:p w14:paraId="7443B9C5" w14:textId="6812FEC7" w:rsidR="006B4A74" w:rsidRPr="006B4A74" w:rsidRDefault="006B4A74" w:rsidP="006B4A74"/>
    <w:p w14:paraId="77BE4606" w14:textId="77777777" w:rsidR="007873A7" w:rsidRPr="00DA28A7" w:rsidRDefault="007873A7" w:rsidP="000D5877">
      <w:pPr>
        <w:pStyle w:val="Heading3"/>
        <w:rPr>
          <w:i/>
        </w:rPr>
      </w:pPr>
      <w:bookmarkStart w:id="114" w:name="_Toc85066455"/>
      <w:r w:rsidRPr="00DA28A7">
        <w:t>Cultural integration</w:t>
      </w:r>
      <w:bookmarkEnd w:id="114"/>
    </w:p>
    <w:p w14:paraId="37C858B2" w14:textId="77777777" w:rsidR="000D5877" w:rsidRDefault="000D5877" w:rsidP="00525BE0">
      <w:pPr>
        <w:spacing w:line="360" w:lineRule="auto"/>
        <w:jc w:val="both"/>
      </w:pPr>
    </w:p>
    <w:p w14:paraId="38B23617" w14:textId="1013A804" w:rsidR="007873A7" w:rsidRDefault="007873A7" w:rsidP="00525BE0">
      <w:pPr>
        <w:spacing w:line="360" w:lineRule="auto"/>
        <w:jc w:val="both"/>
      </w:pPr>
      <w:r>
        <w:t xml:space="preserve">A range of interview responses stressed the importance of cultural integration in building </w:t>
      </w:r>
      <w:r w:rsidR="00F53E47">
        <w:t>trust and faith in collaboration</w:t>
      </w:r>
      <w:r>
        <w:t xml:space="preserve">. </w:t>
      </w:r>
      <w:r w:rsidRPr="00DA28A7">
        <w:t>Developing cultures of improvement was seen as essential, particularly in the translation of learning from higher-performing organisations to more challengi</w:t>
      </w:r>
      <w:r>
        <w:t>ng</w:t>
      </w:r>
      <w:r w:rsidRPr="00DA28A7">
        <w:t xml:space="preserve"> contexts. Underlying </w:t>
      </w:r>
      <w:r w:rsidR="006B4A74">
        <w:t>a</w:t>
      </w:r>
      <w:r w:rsidRPr="00DA28A7">
        <w:t xml:space="preserve"> culture of improvement was recognition of ‘toxic’ cultures exemplified by bullying and imposing management. Organisations finding themselves in positions of “learned helplessness”</w:t>
      </w:r>
      <w:r w:rsidR="000D5877">
        <w:t xml:space="preserve"> un</w:t>
      </w:r>
      <w:r w:rsidRPr="00DA28A7">
        <w:t xml:space="preserve">able to reflect on progress and generate improvements </w:t>
      </w:r>
      <w:r w:rsidR="005423E7">
        <w:t xml:space="preserve">also </w:t>
      </w:r>
      <w:r w:rsidR="006B4A74">
        <w:t xml:space="preserve">featured, along with </w:t>
      </w:r>
      <w:r w:rsidR="000D5877">
        <w:t>silo thinking of organisations fixing their</w:t>
      </w:r>
      <w:r w:rsidRPr="00DA28A7">
        <w:t xml:space="preserve"> </w:t>
      </w:r>
      <w:r w:rsidR="000D5877">
        <w:t>‘</w:t>
      </w:r>
      <w:r w:rsidRPr="00DA28A7">
        <w:t xml:space="preserve">own problems’ </w:t>
      </w:r>
      <w:r w:rsidR="000D5877">
        <w:t>rather than</w:t>
      </w:r>
      <w:r w:rsidRPr="00DA28A7">
        <w:t xml:space="preserve"> proactively </w:t>
      </w:r>
      <w:r>
        <w:t>seeking</w:t>
      </w:r>
      <w:r w:rsidRPr="00DA28A7">
        <w:t xml:space="preserve"> help</w:t>
      </w:r>
      <w:r>
        <w:t xml:space="preserve"> from partners.</w:t>
      </w:r>
    </w:p>
    <w:p w14:paraId="27D1D6CA" w14:textId="03C7D2FC" w:rsidR="007873A7" w:rsidRPr="000D7103" w:rsidRDefault="007873A7" w:rsidP="00525BE0">
      <w:pPr>
        <w:spacing w:line="360" w:lineRule="auto"/>
        <w:ind w:left="720"/>
        <w:jc w:val="both"/>
        <w:rPr>
          <w:i/>
        </w:rPr>
      </w:pPr>
      <w:r>
        <w:rPr>
          <w:i/>
        </w:rPr>
        <w:t>“</w:t>
      </w:r>
      <w:r w:rsidRPr="000D7103">
        <w:rPr>
          <w:i/>
        </w:rPr>
        <w:t>I do think that there is a kind of m</w:t>
      </w:r>
      <w:r w:rsidR="000D5877">
        <w:rPr>
          <w:i/>
        </w:rPr>
        <w:t xml:space="preserve">indset issue about institutions… [that] </w:t>
      </w:r>
      <w:r w:rsidRPr="000D7103">
        <w:rPr>
          <w:i/>
        </w:rPr>
        <w:t>becomes a barrier to collaboration because actually people like to think they can fi</w:t>
      </w:r>
      <w:r w:rsidR="000D5877">
        <w:rPr>
          <w:i/>
        </w:rPr>
        <w:t>x their own problems, can’t they?</w:t>
      </w:r>
      <w:r w:rsidRPr="000D7103">
        <w:rPr>
          <w:i/>
        </w:rPr>
        <w:t xml:space="preserve"> </w:t>
      </w:r>
      <w:r w:rsidR="000D5877" w:rsidRPr="000D7103">
        <w:rPr>
          <w:i/>
        </w:rPr>
        <w:t>Or</w:t>
      </w:r>
      <w:r w:rsidRPr="000D7103">
        <w:rPr>
          <w:i/>
        </w:rPr>
        <w:t xml:space="preserve"> seeking help for whatever reason is not done proactively</w:t>
      </w:r>
      <w:r>
        <w:rPr>
          <w:i/>
        </w:rPr>
        <w:t xml:space="preserve">” </w:t>
      </w:r>
      <w:r w:rsidRPr="008A6558">
        <w:rPr>
          <w:color w:val="000000" w:themeColor="text1"/>
        </w:rPr>
        <w:t xml:space="preserve">(20; Director; </w:t>
      </w:r>
      <w:r>
        <w:rPr>
          <w:color w:val="000000" w:themeColor="text1"/>
        </w:rPr>
        <w:t>Alliance 1</w:t>
      </w:r>
      <w:r w:rsidRPr="008A6558">
        <w:rPr>
          <w:color w:val="000000" w:themeColor="text1"/>
        </w:rPr>
        <w:t>)</w:t>
      </w:r>
      <w:r>
        <w:rPr>
          <w:color w:val="000000" w:themeColor="text1"/>
        </w:rPr>
        <w:t>.</w:t>
      </w:r>
    </w:p>
    <w:p w14:paraId="3829D355" w14:textId="4336331F" w:rsidR="007873A7" w:rsidRDefault="007873A7" w:rsidP="00525BE0">
      <w:pPr>
        <w:spacing w:line="360" w:lineRule="auto"/>
        <w:jc w:val="both"/>
      </w:pPr>
      <w:r w:rsidRPr="00DA28A7">
        <w:t xml:space="preserve">Cultures of ‘telling and doing to’ needed to be replaced with empowering, listening and enabling </w:t>
      </w:r>
      <w:r>
        <w:t>cultures</w:t>
      </w:r>
      <w:r w:rsidRPr="00DA28A7">
        <w:t xml:space="preserve">. To do so, an honest and </w:t>
      </w:r>
      <w:r>
        <w:t>reflexive</w:t>
      </w:r>
      <w:r w:rsidRPr="00DA28A7">
        <w:t xml:space="preserve"> approach to problem solving and progression was called for, where successful cultures of improvement were those able to reflect and understand achievements but also be open about difficulties.</w:t>
      </w:r>
      <w:r w:rsidRPr="004D57CC">
        <w:t xml:space="preserve"> </w:t>
      </w:r>
    </w:p>
    <w:p w14:paraId="379D3673" w14:textId="77777777" w:rsidR="007873A7" w:rsidRPr="00DA28A7" w:rsidRDefault="007873A7" w:rsidP="00525BE0">
      <w:pPr>
        <w:spacing w:line="360" w:lineRule="auto"/>
        <w:ind w:left="720"/>
        <w:jc w:val="both"/>
      </w:pPr>
      <w:r>
        <w:rPr>
          <w:i/>
        </w:rPr>
        <w:t>“</w:t>
      </w:r>
      <w:r w:rsidRPr="008650B3">
        <w:rPr>
          <w:i/>
        </w:rPr>
        <w:t>So I think that, you know, that there is the risk that you can come at it in a sort of nicey, nicey way, and pretending everything's okay, when actually you don't either don't believe or don't trust or don't agree with what someone else is saying. And I think having a safe environment where you've got relationships to a stage where you can challenge and be upfront about that, you know, and speak truth about it. But then move on, and, you know, and carry on doing the work together</w:t>
      </w:r>
      <w:r>
        <w:rPr>
          <w:i/>
        </w:rPr>
        <w:t>”</w:t>
      </w:r>
      <w:r w:rsidRPr="008650B3">
        <w:rPr>
          <w:i/>
        </w:rPr>
        <w:t xml:space="preserve"> </w:t>
      </w:r>
      <w:r>
        <w:t>(</w:t>
      </w:r>
      <w:r w:rsidRPr="008A6558">
        <w:rPr>
          <w:color w:val="000000" w:themeColor="text1"/>
        </w:rPr>
        <w:t xml:space="preserve">26; Head of Workforce; Alliance </w:t>
      </w:r>
      <w:r>
        <w:rPr>
          <w:color w:val="000000" w:themeColor="text1"/>
        </w:rPr>
        <w:t>1).</w:t>
      </w:r>
    </w:p>
    <w:p w14:paraId="253EBA10" w14:textId="77777777" w:rsidR="007873A7" w:rsidRPr="00DA28A7" w:rsidRDefault="007873A7" w:rsidP="00525BE0">
      <w:pPr>
        <w:spacing w:line="360" w:lineRule="auto"/>
        <w:jc w:val="both"/>
      </w:pPr>
      <w:r w:rsidRPr="00DA28A7">
        <w:t>Challenges were met when trying to work across different professional backgrounds and ways of working. Cultural divides were encountered with those working in hospitals, across systems, and those in primary care</w:t>
      </w:r>
      <w:r w:rsidRPr="00DA28A7">
        <w:rPr>
          <w:iCs/>
        </w:rPr>
        <w:t>.</w:t>
      </w:r>
      <w:r w:rsidRPr="00DA28A7">
        <w:t xml:space="preserve"> Difficulties encountered with the associated power dynamics of organisations leading innovative models </w:t>
      </w:r>
      <w:r>
        <w:t>being associated with the ‘the big players’ at the expense of innovations being done in smaller scale providers.</w:t>
      </w:r>
    </w:p>
    <w:p w14:paraId="7274BAF2" w14:textId="77777777" w:rsidR="007873A7" w:rsidRDefault="007873A7" w:rsidP="00525BE0">
      <w:pPr>
        <w:spacing w:line="360" w:lineRule="auto"/>
        <w:ind w:left="720"/>
        <w:jc w:val="both"/>
      </w:pPr>
      <w:r>
        <w:rPr>
          <w:i/>
        </w:rPr>
        <w:t>“</w:t>
      </w:r>
      <w:r w:rsidRPr="00A62A32">
        <w:rPr>
          <w:i/>
        </w:rPr>
        <w:t xml:space="preserve">It’s kind of, </w:t>
      </w:r>
      <w:r>
        <w:rPr>
          <w:i/>
        </w:rPr>
        <w:t>‘</w:t>
      </w:r>
      <w:r w:rsidRPr="00A62A32">
        <w:rPr>
          <w:i/>
        </w:rPr>
        <w:t>Size matters</w:t>
      </w:r>
      <w:r>
        <w:rPr>
          <w:i/>
        </w:rPr>
        <w:t>’</w:t>
      </w:r>
      <w:r w:rsidRPr="00A62A32">
        <w:rPr>
          <w:i/>
        </w:rPr>
        <w:t xml:space="preserve">, isn’t it?  We get to this thing of actually, </w:t>
      </w:r>
      <w:r>
        <w:rPr>
          <w:i/>
        </w:rPr>
        <w:t>‘</w:t>
      </w:r>
      <w:r w:rsidRPr="00A62A32">
        <w:rPr>
          <w:i/>
        </w:rPr>
        <w:t>How big is my organisation?</w:t>
      </w:r>
      <w:r>
        <w:rPr>
          <w:i/>
        </w:rPr>
        <w:t>’</w:t>
      </w:r>
      <w:r w:rsidRPr="00A62A32">
        <w:rPr>
          <w:i/>
        </w:rPr>
        <w:t xml:space="preserve">  So, it becomes inquisitory doesn’t it?  Sometimes it perhaps gets in the way of collaboration so, </w:t>
      </w:r>
      <w:r>
        <w:rPr>
          <w:i/>
        </w:rPr>
        <w:t>‘</w:t>
      </w:r>
      <w:r w:rsidRPr="00A62A32">
        <w:rPr>
          <w:i/>
        </w:rPr>
        <w:t>How do we view success?</w:t>
      </w:r>
      <w:r>
        <w:rPr>
          <w:i/>
        </w:rPr>
        <w:t>’</w:t>
      </w:r>
      <w:r w:rsidRPr="00A62A32">
        <w:rPr>
          <w:i/>
        </w:rPr>
        <w:t xml:space="preserve">… we set up these kinds of quasi-groups that are a bit self-serving in some ways that are about themselves and their own importance. And, yeah, if you go to some smaller organisations and think, </w:t>
      </w:r>
      <w:r>
        <w:rPr>
          <w:i/>
        </w:rPr>
        <w:t>‘</w:t>
      </w:r>
      <w:r w:rsidRPr="00A62A32">
        <w:rPr>
          <w:i/>
        </w:rPr>
        <w:t>Actually I’m doing some really brilliant stuff in my population</w:t>
      </w:r>
      <w:r>
        <w:rPr>
          <w:i/>
        </w:rPr>
        <w:t>’</w:t>
      </w:r>
      <w:r w:rsidRPr="00A62A32">
        <w:rPr>
          <w:i/>
        </w:rPr>
        <w:t xml:space="preserve">…it’s kind of punching above its weight, really punching above its weight, and I think that’s amazing. So, it has nothing to do with size. It won’t ever sit in the </w:t>
      </w:r>
      <w:r>
        <w:rPr>
          <w:i/>
        </w:rPr>
        <w:t>[Local]</w:t>
      </w:r>
      <w:r w:rsidRPr="00A62A32">
        <w:rPr>
          <w:i/>
        </w:rPr>
        <w:t xml:space="preserve"> group. It certainly will never feature as a big integrated care system </w:t>
      </w:r>
      <w:r w:rsidRPr="009C55AF">
        <w:rPr>
          <w:iCs/>
        </w:rPr>
        <w:t>(</w:t>
      </w:r>
      <w:r w:rsidRPr="008A6558">
        <w:rPr>
          <w:color w:val="000000" w:themeColor="text1"/>
        </w:rPr>
        <w:t xml:space="preserve">20; Director; </w:t>
      </w:r>
      <w:r>
        <w:rPr>
          <w:color w:val="000000" w:themeColor="text1"/>
        </w:rPr>
        <w:t>Alliance 1</w:t>
      </w:r>
      <w:r w:rsidRPr="008A6558">
        <w:rPr>
          <w:color w:val="000000" w:themeColor="text1"/>
        </w:rPr>
        <w:t>)</w:t>
      </w:r>
      <w:r>
        <w:rPr>
          <w:color w:val="000000" w:themeColor="text1"/>
        </w:rPr>
        <w:t>.</w:t>
      </w:r>
    </w:p>
    <w:p w14:paraId="0334CC88" w14:textId="77777777" w:rsidR="007873A7" w:rsidRPr="00DA28A7" w:rsidRDefault="007873A7" w:rsidP="00525BE0">
      <w:pPr>
        <w:spacing w:line="360" w:lineRule="auto"/>
        <w:jc w:val="both"/>
      </w:pPr>
      <w:r w:rsidRPr="00DA28A7">
        <w:t xml:space="preserve">Challenges of </w:t>
      </w:r>
      <w:r>
        <w:t xml:space="preserve">generating a cultural of collaboration </w:t>
      </w:r>
      <w:r w:rsidRPr="00DA28A7">
        <w:t>was raised in relation to ICSs</w:t>
      </w:r>
      <w:r>
        <w:t xml:space="preserve">. </w:t>
      </w:r>
      <w:r w:rsidRPr="00DA28A7">
        <w:t xml:space="preserve">To support such efforts, having an awareness of local issues and ‘the geography of place’ was </w:t>
      </w:r>
      <w:r>
        <w:t>needed with regards to</w:t>
      </w:r>
      <w:r w:rsidRPr="00DA28A7">
        <w:t xml:space="preserve"> interacting with </w:t>
      </w:r>
      <w:r>
        <w:t xml:space="preserve">local area issues. </w:t>
      </w:r>
      <w:r w:rsidRPr="00DA28A7">
        <w:t xml:space="preserve">Regulators </w:t>
      </w:r>
      <w:r>
        <w:t xml:space="preserve">also </w:t>
      </w:r>
      <w:r w:rsidRPr="00DA28A7">
        <w:t>had a potential role in supporting</w:t>
      </w:r>
      <w:r>
        <w:t xml:space="preserve"> cultural integration with t</w:t>
      </w:r>
      <w:r w:rsidRPr="00DA28A7">
        <w:t>he ability of CQC to work across boundaries and feedback to organisation</w:t>
      </w:r>
      <w:r>
        <w:t>s</w:t>
      </w:r>
      <w:r w:rsidRPr="00DA28A7">
        <w:t xml:space="preserve"> and the public about what worked well and what needed to be different</w:t>
      </w:r>
      <w:r>
        <w:t xml:space="preserve"> was mentioned in this regard</w:t>
      </w:r>
      <w:r w:rsidRPr="00DA28A7">
        <w:t xml:space="preserve">. </w:t>
      </w:r>
    </w:p>
    <w:p w14:paraId="4C1C8574" w14:textId="7147E292" w:rsidR="000D5877" w:rsidRPr="00BB09C6" w:rsidRDefault="007873A7" w:rsidP="00BB09C6">
      <w:pPr>
        <w:spacing w:line="360" w:lineRule="auto"/>
        <w:ind w:left="720"/>
        <w:jc w:val="both"/>
        <w:rPr>
          <w:color w:val="000000" w:themeColor="text1"/>
        </w:rPr>
      </w:pPr>
      <w:r>
        <w:rPr>
          <w:i/>
        </w:rPr>
        <w:t xml:space="preserve">“… </w:t>
      </w:r>
      <w:r w:rsidRPr="00A62A32">
        <w:rPr>
          <w:i/>
        </w:rPr>
        <w:t xml:space="preserve">how decisions get made as the ICS becomes a statutory body.  All of that will have to change how we work. And it might need all providers to rethink what it is they're doing and how they're doing it, to make sure that ultimately, we're doing the right thing for patients across </w:t>
      </w:r>
      <w:r>
        <w:rPr>
          <w:i/>
        </w:rPr>
        <w:t>[Locale]”</w:t>
      </w:r>
      <w:r w:rsidRPr="00A62A32">
        <w:rPr>
          <w:i/>
        </w:rPr>
        <w:t xml:space="preserve"> </w:t>
      </w:r>
      <w:r>
        <w:t>(</w:t>
      </w:r>
      <w:r w:rsidRPr="008A6558">
        <w:rPr>
          <w:color w:val="000000" w:themeColor="text1"/>
        </w:rPr>
        <w:t xml:space="preserve">26; Head of Workforce; Alliance </w:t>
      </w:r>
      <w:r w:rsidR="00BB09C6">
        <w:rPr>
          <w:color w:val="000000" w:themeColor="text1"/>
        </w:rPr>
        <w:t>1).</w:t>
      </w:r>
    </w:p>
    <w:p w14:paraId="0F94BE4D" w14:textId="77777777" w:rsidR="007873A7" w:rsidRDefault="007873A7" w:rsidP="00BB09C6">
      <w:pPr>
        <w:pStyle w:val="Heading3"/>
      </w:pPr>
      <w:bookmarkStart w:id="115" w:name="_Toc85066456"/>
      <w:r>
        <w:t>The limits of trust and r</w:t>
      </w:r>
      <w:r w:rsidRPr="00DA28A7">
        <w:t>isk tolerance</w:t>
      </w:r>
      <w:bookmarkEnd w:id="115"/>
    </w:p>
    <w:p w14:paraId="58554120" w14:textId="671B39EC" w:rsidR="007873A7" w:rsidRDefault="007873A7" w:rsidP="00525BE0">
      <w:pPr>
        <w:spacing w:line="360" w:lineRule="auto"/>
        <w:jc w:val="both"/>
      </w:pPr>
      <w:r w:rsidRPr="00DA28A7">
        <w:t xml:space="preserve">Building trust was synonymous with the risk tolerance required to support collaborative behaviour. </w:t>
      </w:r>
    </w:p>
    <w:p w14:paraId="59B04875" w14:textId="416763D4" w:rsidR="007873A7" w:rsidRPr="004B630A" w:rsidRDefault="007873A7" w:rsidP="00525BE0">
      <w:pPr>
        <w:spacing w:line="360" w:lineRule="auto"/>
        <w:ind w:left="720"/>
        <w:jc w:val="both"/>
        <w:rPr>
          <w:i/>
        </w:rPr>
      </w:pPr>
      <w:r>
        <w:rPr>
          <w:i/>
        </w:rPr>
        <w:t>“</w:t>
      </w:r>
      <w:r w:rsidRPr="004B630A">
        <w:rPr>
          <w:i/>
        </w:rPr>
        <w:t>let’s take the risk, let’s work on it tog</w:t>
      </w:r>
      <w:r w:rsidR="000D5877">
        <w:rPr>
          <w:i/>
        </w:rPr>
        <w:t>ether, and let’s share the risk</w:t>
      </w:r>
      <w:r w:rsidRPr="004B630A">
        <w:rPr>
          <w:i/>
        </w:rPr>
        <w:t xml:space="preserve"> </w:t>
      </w:r>
      <w:r w:rsidR="000D5877">
        <w:rPr>
          <w:i/>
        </w:rPr>
        <w:t xml:space="preserve">… </w:t>
      </w:r>
      <w:r w:rsidRPr="004B630A">
        <w:rPr>
          <w:i/>
        </w:rPr>
        <w:t xml:space="preserve"> It’s about sharing it, and not letting it come down to the money, because if you put money into everything, it either goes really political, or you just don’t get anywhere</w:t>
      </w:r>
      <w:r>
        <w:rPr>
          <w:i/>
        </w:rPr>
        <w:t>”</w:t>
      </w:r>
      <w:r w:rsidRPr="004B630A">
        <w:rPr>
          <w:i/>
        </w:rPr>
        <w:t xml:space="preserve"> </w:t>
      </w:r>
      <w:r w:rsidRPr="009C55AF">
        <w:rPr>
          <w:color w:val="000000" w:themeColor="text1"/>
        </w:rPr>
        <w:t>(24; Director of care quality; Range).</w:t>
      </w:r>
    </w:p>
    <w:p w14:paraId="5AD8968E" w14:textId="589AD69D" w:rsidR="007873A7" w:rsidRDefault="007873A7" w:rsidP="00525BE0">
      <w:pPr>
        <w:spacing w:after="0" w:line="360" w:lineRule="auto"/>
        <w:ind w:right="141"/>
        <w:jc w:val="both"/>
      </w:pPr>
      <w:r>
        <w:t>An NHS context h</w:t>
      </w:r>
      <w:r w:rsidRPr="00DA28A7">
        <w:t>istorically</w:t>
      </w:r>
      <w:r>
        <w:t xml:space="preserve"> poor at exchanging information was raised</w:t>
      </w:r>
      <w:r w:rsidR="000D5877">
        <w:t xml:space="preserve"> as a barrier to such dynamics</w:t>
      </w:r>
      <w:r>
        <w:t>, with a lack of openness about failure and limited risk taking</w:t>
      </w:r>
      <w:r w:rsidR="000D5877">
        <w:t xml:space="preserve"> being raised</w:t>
      </w:r>
      <w:r>
        <w:t>. Reluctance to share people and expertise across boundaries</w:t>
      </w:r>
      <w:r w:rsidRPr="00DA28A7">
        <w:rPr>
          <w:rFonts w:eastAsia="Times New Roman" w:cstheme="minorHAnsi"/>
        </w:rPr>
        <w:t xml:space="preserve"> </w:t>
      </w:r>
      <w:r>
        <w:rPr>
          <w:rFonts w:eastAsia="Times New Roman" w:cstheme="minorHAnsi"/>
        </w:rPr>
        <w:t>was also connected to a w</w:t>
      </w:r>
      <w:r w:rsidRPr="00DA28A7">
        <w:rPr>
          <w:rFonts w:eastAsia="Times New Roman" w:cstheme="minorHAnsi"/>
        </w:rPr>
        <w:t>orkforc</w:t>
      </w:r>
      <w:r>
        <w:rPr>
          <w:rFonts w:eastAsia="Times New Roman" w:cstheme="minorHAnsi"/>
        </w:rPr>
        <w:t>e institutionally focussed</w:t>
      </w:r>
      <w:r w:rsidRPr="00DA28A7">
        <w:rPr>
          <w:rFonts w:eastAsia="Times New Roman" w:cstheme="minorHAnsi"/>
        </w:rPr>
        <w:t xml:space="preserve"> </w:t>
      </w:r>
      <w:r>
        <w:rPr>
          <w:rFonts w:eastAsia="Times New Roman" w:cstheme="minorHAnsi"/>
        </w:rPr>
        <w:t>in ‘</w:t>
      </w:r>
      <w:r w:rsidRPr="00DA28A7">
        <w:rPr>
          <w:rFonts w:eastAsia="Times New Roman" w:cstheme="minorHAnsi"/>
        </w:rPr>
        <w:t>wear</w:t>
      </w:r>
      <w:r>
        <w:rPr>
          <w:rFonts w:eastAsia="Times New Roman" w:cstheme="minorHAnsi"/>
        </w:rPr>
        <w:t>ing the organisation’s badge’.</w:t>
      </w:r>
      <w:r w:rsidRPr="00FA1F6F">
        <w:t xml:space="preserve"> </w:t>
      </w:r>
      <w:r w:rsidR="000D5877">
        <w:t>Such risk intolerance meant that the NHS often turned to</w:t>
      </w:r>
      <w:r w:rsidR="000D5877" w:rsidRPr="00DA28A7">
        <w:t xml:space="preserve"> management consultants </w:t>
      </w:r>
      <w:r w:rsidR="000D5877">
        <w:t>to fill the information gaps.</w:t>
      </w:r>
    </w:p>
    <w:p w14:paraId="47281F40" w14:textId="77777777" w:rsidR="000D5877" w:rsidRDefault="000D5877" w:rsidP="00525BE0">
      <w:pPr>
        <w:spacing w:after="0" w:line="360" w:lineRule="auto"/>
        <w:ind w:right="141"/>
        <w:jc w:val="both"/>
      </w:pPr>
    </w:p>
    <w:p w14:paraId="4214AE90" w14:textId="47881CBA" w:rsidR="007873A7" w:rsidRDefault="007873A7" w:rsidP="00525BE0">
      <w:pPr>
        <w:spacing w:after="0" w:line="360" w:lineRule="auto"/>
        <w:ind w:left="720" w:right="141"/>
        <w:jc w:val="both"/>
        <w:rPr>
          <w:rFonts w:eastAsia="Times New Roman" w:cstheme="minorHAnsi"/>
          <w:iCs/>
        </w:rPr>
      </w:pPr>
      <w:r>
        <w:rPr>
          <w:rFonts w:eastAsia="Times New Roman" w:cstheme="minorHAnsi"/>
          <w:i/>
        </w:rPr>
        <w:t>“</w:t>
      </w:r>
      <w:r w:rsidRPr="00CA794D">
        <w:rPr>
          <w:rFonts w:eastAsia="Times New Roman" w:cstheme="minorHAnsi"/>
          <w:i/>
        </w:rPr>
        <w:t>We bring in management consultants who try and deliver something, they’re not really bought into it, they don’t have any prior experience in the NHS normally, it’s a weird thing to do. If they do have other experience in the NHS they then use that jack up the prices, which is absolutely preposterous, and we never have that round conversation</w:t>
      </w:r>
      <w:r w:rsidRPr="009C55AF">
        <w:rPr>
          <w:rFonts w:eastAsia="Times New Roman" w:cstheme="minorHAnsi"/>
          <w:iCs/>
        </w:rPr>
        <w:t>”</w:t>
      </w:r>
      <w:r>
        <w:rPr>
          <w:rFonts w:eastAsia="Times New Roman" w:cstheme="minorHAnsi"/>
          <w:iCs/>
        </w:rPr>
        <w:t xml:space="preserve"> </w:t>
      </w:r>
      <w:r w:rsidRPr="009C55AF">
        <w:rPr>
          <w:rFonts w:eastAsia="Times New Roman" w:cstheme="minorHAnsi"/>
          <w:iCs/>
        </w:rPr>
        <w:t>(29; Leader; Hospital Group 4).</w:t>
      </w:r>
    </w:p>
    <w:p w14:paraId="06AF4796" w14:textId="77777777" w:rsidR="000D5877" w:rsidRDefault="000D5877" w:rsidP="000D5877">
      <w:pPr>
        <w:spacing w:after="0" w:line="360" w:lineRule="auto"/>
        <w:ind w:right="141"/>
        <w:jc w:val="both"/>
        <w:rPr>
          <w:rFonts w:eastAsia="Times New Roman" w:cstheme="minorHAnsi"/>
        </w:rPr>
      </w:pPr>
    </w:p>
    <w:p w14:paraId="4BC2F0B9" w14:textId="079849C0" w:rsidR="000D5877" w:rsidRPr="000D5877" w:rsidRDefault="000D5877" w:rsidP="000D5877">
      <w:pPr>
        <w:spacing w:after="0" w:line="360" w:lineRule="auto"/>
        <w:ind w:right="141"/>
        <w:jc w:val="both"/>
        <w:rPr>
          <w:rFonts w:eastAsia="Times New Roman" w:cstheme="minorHAnsi"/>
        </w:rPr>
      </w:pPr>
      <w:r w:rsidRPr="000D5877">
        <w:rPr>
          <w:rFonts w:eastAsia="Times New Roman" w:cstheme="minorHAnsi"/>
        </w:rPr>
        <w:t xml:space="preserve">Risk tolerance was </w:t>
      </w:r>
      <w:r w:rsidR="006B4A74">
        <w:rPr>
          <w:rFonts w:eastAsia="Times New Roman" w:cstheme="minorHAnsi"/>
        </w:rPr>
        <w:t>also</w:t>
      </w:r>
      <w:r w:rsidRPr="000D5877">
        <w:rPr>
          <w:rFonts w:eastAsia="Times New Roman" w:cstheme="minorHAnsi"/>
        </w:rPr>
        <w:t xml:space="preserve"> connected to the </w:t>
      </w:r>
      <w:r w:rsidR="006B4A74">
        <w:rPr>
          <w:rFonts w:eastAsia="Times New Roman" w:cstheme="minorHAnsi"/>
        </w:rPr>
        <w:t>importance</w:t>
      </w:r>
      <w:r w:rsidRPr="000D5877">
        <w:rPr>
          <w:rFonts w:eastAsia="Times New Roman" w:cstheme="minorHAnsi"/>
        </w:rPr>
        <w:t xml:space="preserve"> of organisational sover</w:t>
      </w:r>
      <w:r w:rsidR="006B4A74">
        <w:rPr>
          <w:rFonts w:eastAsia="Times New Roman" w:cstheme="minorHAnsi"/>
        </w:rPr>
        <w:t>eignty and striking a balance that</w:t>
      </w:r>
      <w:r w:rsidRPr="000D5877">
        <w:rPr>
          <w:rFonts w:eastAsia="Times New Roman" w:cstheme="minorHAnsi"/>
        </w:rPr>
        <w:t xml:space="preserve"> ensure</w:t>
      </w:r>
      <w:r w:rsidR="006B4A74">
        <w:rPr>
          <w:rFonts w:eastAsia="Times New Roman" w:cstheme="minorHAnsi"/>
        </w:rPr>
        <w:t>d workforce had some</w:t>
      </w:r>
      <w:r w:rsidRPr="000D5877">
        <w:rPr>
          <w:rFonts w:eastAsia="Times New Roman" w:cstheme="minorHAnsi"/>
        </w:rPr>
        <w:t xml:space="preserve"> security and autonomy preserved.</w:t>
      </w:r>
    </w:p>
    <w:p w14:paraId="38A32463" w14:textId="77777777" w:rsidR="000D5877" w:rsidRDefault="000D5877" w:rsidP="000D5877">
      <w:pPr>
        <w:spacing w:after="0" w:line="360" w:lineRule="auto"/>
        <w:ind w:right="141"/>
        <w:jc w:val="both"/>
        <w:rPr>
          <w:rFonts w:eastAsia="Times New Roman" w:cstheme="minorHAnsi"/>
          <w:i/>
        </w:rPr>
      </w:pPr>
    </w:p>
    <w:p w14:paraId="2E799026" w14:textId="77777777" w:rsidR="007873A7" w:rsidRPr="00C513F0" w:rsidRDefault="007873A7" w:rsidP="00525BE0">
      <w:pPr>
        <w:spacing w:after="240" w:line="360" w:lineRule="auto"/>
        <w:ind w:left="720" w:right="142"/>
        <w:jc w:val="both"/>
        <w:rPr>
          <w:rFonts w:eastAsia="Times New Roman" w:cstheme="minorHAnsi"/>
        </w:rPr>
      </w:pPr>
      <w:r>
        <w:rPr>
          <w:rFonts w:eastAsia="Times New Roman" w:cstheme="minorHAnsi"/>
          <w:i/>
        </w:rPr>
        <w:t xml:space="preserve">“… </w:t>
      </w:r>
      <w:r w:rsidRPr="00F024D0">
        <w:rPr>
          <w:rFonts w:eastAsia="Times New Roman" w:cstheme="minorHAnsi"/>
          <w:i/>
        </w:rPr>
        <w:t xml:space="preserve">the way things are run within </w:t>
      </w:r>
      <w:r>
        <w:rPr>
          <w:rFonts w:eastAsia="Times New Roman" w:cstheme="minorHAnsi"/>
          <w:i/>
        </w:rPr>
        <w:t>[the group]</w:t>
      </w:r>
      <w:r w:rsidRPr="00F024D0">
        <w:rPr>
          <w:rFonts w:eastAsia="Times New Roman" w:cstheme="minorHAnsi"/>
          <w:i/>
        </w:rPr>
        <w:t>, we attempt to give autonomy to each of the care organisations that constitute our group. Yeah, that has a standard oversight framework if matters are not being delivered to the appropriate standard or where there may be some concern abo</w:t>
      </w:r>
      <w:r>
        <w:rPr>
          <w:rFonts w:eastAsia="Times New Roman" w:cstheme="minorHAnsi"/>
          <w:i/>
        </w:rPr>
        <w:t xml:space="preserve">ut performance or trajectories… </w:t>
      </w:r>
      <w:r w:rsidRPr="00F024D0">
        <w:rPr>
          <w:rFonts w:eastAsia="Times New Roman" w:cstheme="minorHAnsi"/>
          <w:i/>
        </w:rPr>
        <w:t>Yet generally the preference being each of the places to an autonomy yet working to the principles of big group</w:t>
      </w:r>
      <w:r>
        <w:rPr>
          <w:rFonts w:eastAsia="Times New Roman" w:cstheme="minorHAnsi"/>
          <w:i/>
        </w:rPr>
        <w:t xml:space="preserve">” </w:t>
      </w:r>
      <w:r w:rsidRPr="008A6558">
        <w:rPr>
          <w:color w:val="000000" w:themeColor="text1"/>
        </w:rPr>
        <w:t xml:space="preserve">(23; Medical Director; Alliance </w:t>
      </w:r>
      <w:r>
        <w:rPr>
          <w:color w:val="000000" w:themeColor="text1"/>
        </w:rPr>
        <w:t>1</w:t>
      </w:r>
      <w:r w:rsidRPr="008A6558">
        <w:rPr>
          <w:color w:val="000000" w:themeColor="text1"/>
        </w:rPr>
        <w:t>)</w:t>
      </w:r>
      <w:r>
        <w:rPr>
          <w:color w:val="000000" w:themeColor="text1"/>
        </w:rPr>
        <w:t>.</w:t>
      </w:r>
    </w:p>
    <w:p w14:paraId="089BC060" w14:textId="62E825A1" w:rsidR="007873A7" w:rsidRDefault="007873A7" w:rsidP="00525BE0">
      <w:pPr>
        <w:spacing w:line="360" w:lineRule="auto"/>
        <w:jc w:val="both"/>
      </w:pPr>
      <w:r w:rsidRPr="00DA28A7">
        <w:t>Well doc</w:t>
      </w:r>
      <w:r>
        <w:t>umented challenges of integrating</w:t>
      </w:r>
      <w:r w:rsidRPr="00DA28A7">
        <w:t xml:space="preserve"> professional groups with different risk appetites </w:t>
      </w:r>
      <w:r>
        <w:t>featured within the interviews</w:t>
      </w:r>
      <w:r w:rsidRPr="00DA28A7">
        <w:t xml:space="preserve">. The context of </w:t>
      </w:r>
      <w:r w:rsidR="00857277">
        <w:t>C</w:t>
      </w:r>
      <w:r w:rsidR="006B4A74">
        <w:t>ovid</w:t>
      </w:r>
      <w:r w:rsidR="00857277">
        <w:t xml:space="preserve">-19 </w:t>
      </w:r>
      <w:r>
        <w:t>was cited as</w:t>
      </w:r>
      <w:r w:rsidRPr="00DA28A7">
        <w:t xml:space="preserve"> ‘instrumental’ in galvanising clinical engagement in collaboration but there was work to be done to engage clinicians outside of </w:t>
      </w:r>
      <w:r>
        <w:t xml:space="preserve">‘the </w:t>
      </w:r>
      <w:r w:rsidR="00857277">
        <w:t>C</w:t>
      </w:r>
      <w:r w:rsidR="006B4A74">
        <w:t>ovid</w:t>
      </w:r>
      <w:r w:rsidR="00857277">
        <w:t xml:space="preserve">-19 </w:t>
      </w:r>
      <w:r>
        <w:t>agenda’</w:t>
      </w:r>
      <w:r w:rsidRPr="00DA28A7">
        <w:t xml:space="preserve">. </w:t>
      </w:r>
      <w:r>
        <w:t>The context of</w:t>
      </w:r>
      <w:r w:rsidRPr="00DA28A7">
        <w:t xml:space="preserve"> </w:t>
      </w:r>
      <w:r w:rsidR="00857277">
        <w:t>C</w:t>
      </w:r>
      <w:r w:rsidR="006B4A74">
        <w:t>ovid</w:t>
      </w:r>
      <w:r w:rsidR="00857277">
        <w:t xml:space="preserve">-19 </w:t>
      </w:r>
      <w:r w:rsidR="000D5877">
        <w:t>was also attributed with</w:t>
      </w:r>
      <w:r>
        <w:t xml:space="preserve"> </w:t>
      </w:r>
      <w:r w:rsidR="000D5877">
        <w:t>creating</w:t>
      </w:r>
      <w:r w:rsidRPr="00DA28A7">
        <w:t xml:space="preserve"> conditions of diminished trust where there was less ability to have </w:t>
      </w:r>
      <w:r>
        <w:t>face to face</w:t>
      </w:r>
      <w:r w:rsidRPr="00DA28A7">
        <w:t xml:space="preserve"> connection</w:t>
      </w:r>
      <w:r>
        <w:t xml:space="preserve">s and build genuine relationships. </w:t>
      </w:r>
      <w:r w:rsidRPr="00DA28A7">
        <w:t>Working virtually across boundaries</w:t>
      </w:r>
      <w:r>
        <w:t xml:space="preserve"> was</w:t>
      </w:r>
      <w:r w:rsidRPr="00DA28A7">
        <w:t xml:space="preserve"> </w:t>
      </w:r>
      <w:r w:rsidRPr="00070B9D">
        <w:t>fragmenting communication</w:t>
      </w:r>
      <w:r>
        <w:t xml:space="preserve">, although others did raise the </w:t>
      </w:r>
      <w:r w:rsidR="000D5877">
        <w:t>equalising qualities.</w:t>
      </w:r>
    </w:p>
    <w:p w14:paraId="5A2FC9B0" w14:textId="144B61E8" w:rsidR="007873A7" w:rsidRDefault="007873A7" w:rsidP="00525BE0">
      <w:pPr>
        <w:spacing w:line="360" w:lineRule="auto"/>
        <w:ind w:left="720"/>
        <w:jc w:val="both"/>
      </w:pPr>
      <w:r>
        <w:rPr>
          <w:i/>
        </w:rPr>
        <w:t>“…</w:t>
      </w:r>
      <w:r w:rsidRPr="00070B9D">
        <w:rPr>
          <w:i/>
        </w:rPr>
        <w:t xml:space="preserve">since the </w:t>
      </w:r>
      <w:r w:rsidR="00B02293">
        <w:rPr>
          <w:i/>
        </w:rPr>
        <w:t>C</w:t>
      </w:r>
      <w:r w:rsidR="006B4A74">
        <w:rPr>
          <w:i/>
        </w:rPr>
        <w:t>ovid</w:t>
      </w:r>
      <w:r w:rsidR="00857277">
        <w:rPr>
          <w:i/>
        </w:rPr>
        <w:t xml:space="preserve">-19 </w:t>
      </w:r>
      <w:r w:rsidRPr="00070B9D">
        <w:rPr>
          <w:i/>
        </w:rPr>
        <w:t>interruption, no, I think there is less ability to have that connection with people and that authenticity of what the reason you’re making the changes are</w:t>
      </w:r>
      <w:r>
        <w:rPr>
          <w:i/>
        </w:rPr>
        <w:t>”</w:t>
      </w:r>
      <w:r w:rsidRPr="00070B9D">
        <w:rPr>
          <w:i/>
        </w:rPr>
        <w:t xml:space="preserve"> </w:t>
      </w:r>
      <w:r w:rsidRPr="009C55AF">
        <w:rPr>
          <w:color w:val="000000" w:themeColor="text1"/>
        </w:rPr>
        <w:t>(21; Director of clinical service; Merger).</w:t>
      </w:r>
    </w:p>
    <w:p w14:paraId="4E2A9AB5" w14:textId="5E56104E" w:rsidR="00A526F0" w:rsidRDefault="007873A7" w:rsidP="00525BE0">
      <w:pPr>
        <w:spacing w:line="360" w:lineRule="auto"/>
        <w:jc w:val="both"/>
      </w:pPr>
      <w:r w:rsidRPr="00DA28A7">
        <w:t xml:space="preserve">Risk tolerance </w:t>
      </w:r>
      <w:r>
        <w:t xml:space="preserve">was </w:t>
      </w:r>
      <w:r w:rsidRPr="00DA28A7">
        <w:t xml:space="preserve">connected to patient </w:t>
      </w:r>
      <w:r w:rsidR="00A526F0">
        <w:t>interactions</w:t>
      </w:r>
      <w:r w:rsidRPr="00DA28A7">
        <w:t xml:space="preserve"> local service provision. </w:t>
      </w:r>
      <w:r w:rsidR="00A526F0">
        <w:t>While those leading IOCs expressed receiving patient support for proposed changes in recognition that increased travel times wo</w:t>
      </w:r>
      <w:r w:rsidR="006B4A74">
        <w:t>u</w:t>
      </w:r>
      <w:r w:rsidR="00A526F0">
        <w:t xml:space="preserve">ld be accepted for higher quality care, </w:t>
      </w:r>
      <w:r w:rsidR="00A526F0" w:rsidRPr="00A526F0">
        <w:t xml:space="preserve">concerns about </w:t>
      </w:r>
      <w:r w:rsidR="00A526F0">
        <w:t xml:space="preserve">meeting the needs of </w:t>
      </w:r>
      <w:r w:rsidR="00A526F0" w:rsidRPr="00A526F0">
        <w:t xml:space="preserve">communities </w:t>
      </w:r>
      <w:r w:rsidR="00A526F0">
        <w:t>within designated systems</w:t>
      </w:r>
      <w:r w:rsidR="00557CB5">
        <w:t xml:space="preserve"> was also raised</w:t>
      </w:r>
      <w:r w:rsidR="00A526F0">
        <w:t>.</w:t>
      </w:r>
    </w:p>
    <w:p w14:paraId="26BC6946" w14:textId="77777777" w:rsidR="006B4A74" w:rsidRDefault="006B4A74" w:rsidP="00525BE0">
      <w:pPr>
        <w:spacing w:line="360" w:lineRule="auto"/>
        <w:jc w:val="both"/>
      </w:pPr>
    </w:p>
    <w:p w14:paraId="2882C3A8" w14:textId="77777777" w:rsidR="00B8392E" w:rsidRPr="008A50E2" w:rsidRDefault="00B8392E" w:rsidP="00B8392E">
      <w:pPr>
        <w:pStyle w:val="Heading2"/>
        <w:spacing w:before="120" w:after="240" w:line="360" w:lineRule="auto"/>
        <w:jc w:val="both"/>
        <w:rPr>
          <w:rFonts w:eastAsia="Times New Roman"/>
        </w:rPr>
      </w:pPr>
      <w:bookmarkStart w:id="116" w:name="_Toc85066457"/>
      <w:r w:rsidRPr="00391205">
        <w:t>Building and sustaining faith in collaboration</w:t>
      </w:r>
      <w:bookmarkEnd w:id="116"/>
    </w:p>
    <w:p w14:paraId="3B98CF69" w14:textId="77777777" w:rsidR="00B8392E" w:rsidRDefault="00B8392E" w:rsidP="00B8392E">
      <w:pPr>
        <w:spacing w:line="360" w:lineRule="auto"/>
        <w:jc w:val="both"/>
      </w:pPr>
      <w:r w:rsidRPr="00DA28A7">
        <w:t xml:space="preserve">Leaders of collaborations provided a range of insights into their approaches for instilling faith </w:t>
      </w:r>
      <w:r>
        <w:t>in</w:t>
      </w:r>
      <w:r w:rsidRPr="00DA28A7">
        <w:t xml:space="preserve"> collaboration. To work through any complexities and challenges required a delicate balancing act to ensure the collaboration was feasible and realis</w:t>
      </w:r>
      <w:r>
        <w:t>tic</w:t>
      </w:r>
      <w:r w:rsidRPr="00DA28A7">
        <w:t xml:space="preserve">. Overpromising and over ambition had the potential to reduce faith. </w:t>
      </w:r>
      <w:r>
        <w:t>Therefore,</w:t>
      </w:r>
      <w:r w:rsidRPr="00DA28A7">
        <w:t xml:space="preserve"> </w:t>
      </w:r>
      <w:r>
        <w:t>s</w:t>
      </w:r>
      <w:r w:rsidRPr="00832538">
        <w:t xml:space="preserve">trategies to enhance faith </w:t>
      </w:r>
      <w:r w:rsidRPr="00DA28A7">
        <w:t>needed to be focused on deliverables to</w:t>
      </w:r>
      <w:r>
        <w:t xml:space="preserve"> maintain engagement and momentum</w:t>
      </w:r>
      <w:r w:rsidRPr="00DA28A7">
        <w:t xml:space="preserve">. </w:t>
      </w:r>
      <w:r>
        <w:t>To generate focus and priorities, strategies included the use of diagnostics to assess whether to progress with an idea. In addition, d</w:t>
      </w:r>
      <w:r w:rsidRPr="00DA28A7">
        <w:t>ue diligence work</w:t>
      </w:r>
      <w:r>
        <w:t xml:space="preserve"> was</w:t>
      </w:r>
      <w:r w:rsidRPr="00DA28A7">
        <w:t xml:space="preserve"> </w:t>
      </w:r>
      <w:r>
        <w:t xml:space="preserve">carried out by consultancies </w:t>
      </w:r>
      <w:r w:rsidRPr="00DA28A7">
        <w:t>to look at the benefits of collaboration in terms of reducing unwarranted variation, increasing quality and increasing efficiency</w:t>
      </w:r>
      <w:r>
        <w:t xml:space="preserve"> to identify</w:t>
      </w:r>
      <w:r w:rsidRPr="00DA28A7">
        <w:t xml:space="preserve"> </w:t>
      </w:r>
      <w:r>
        <w:t>particular</w:t>
      </w:r>
      <w:r w:rsidRPr="00DA28A7">
        <w:t xml:space="preserve"> projects to </w:t>
      </w:r>
      <w:r>
        <w:t>bring services closer together. The following quote outlines the importance of building and keeping faith in the collaboration:</w:t>
      </w:r>
    </w:p>
    <w:p w14:paraId="7059BEA4" w14:textId="77777777" w:rsidR="00B8392E" w:rsidRPr="00DA28A7" w:rsidRDefault="00B8392E" w:rsidP="00B8392E">
      <w:pPr>
        <w:spacing w:line="360" w:lineRule="auto"/>
        <w:ind w:left="720"/>
        <w:jc w:val="both"/>
      </w:pPr>
      <w:r>
        <w:rPr>
          <w:i/>
        </w:rPr>
        <w:t xml:space="preserve">“… </w:t>
      </w:r>
      <w:r w:rsidRPr="000D7103">
        <w:rPr>
          <w:i/>
        </w:rPr>
        <w:t xml:space="preserve">you’ve got to pick some bits within </w:t>
      </w:r>
      <w:r>
        <w:rPr>
          <w:i/>
        </w:rPr>
        <w:t>[the collaboration]</w:t>
      </w:r>
      <w:r w:rsidRPr="000D7103">
        <w:rPr>
          <w:i/>
        </w:rPr>
        <w:t xml:space="preserve"> that you can actually deliver on because that’s the sort of thing which is too big, too contentious, is going to take you too long</w:t>
      </w:r>
      <w:r>
        <w:rPr>
          <w:i/>
        </w:rPr>
        <w:t>,</w:t>
      </w:r>
      <w:r w:rsidRPr="000D7103">
        <w:rPr>
          <w:i/>
        </w:rPr>
        <w:t xml:space="preserve"> and you’re going to be five or six years into this not really feeling like it’s actually delivered anything and that’s when people are going to go, </w:t>
      </w:r>
      <w:r>
        <w:rPr>
          <w:i/>
        </w:rPr>
        <w:t>‘</w:t>
      </w:r>
      <w:r w:rsidRPr="000D7103">
        <w:rPr>
          <w:i/>
        </w:rPr>
        <w:t>Why are we…?  We’ve not seen any outcome from this so what are we doing?</w:t>
      </w:r>
      <w:r>
        <w:rPr>
          <w:i/>
        </w:rPr>
        <w:t>’”</w:t>
      </w:r>
      <w:r w:rsidRPr="000D7103">
        <w:rPr>
          <w:i/>
        </w:rPr>
        <w:t xml:space="preserve">  </w:t>
      </w:r>
      <w:r w:rsidRPr="008A6558">
        <w:rPr>
          <w:color w:val="000000" w:themeColor="text1"/>
        </w:rPr>
        <w:t xml:space="preserve">(19; Director; </w:t>
      </w:r>
      <w:r>
        <w:rPr>
          <w:color w:val="000000" w:themeColor="text1"/>
        </w:rPr>
        <w:t>Alliance 2</w:t>
      </w:r>
      <w:r w:rsidRPr="008A6558">
        <w:rPr>
          <w:color w:val="000000" w:themeColor="text1"/>
        </w:rPr>
        <w:t>)</w:t>
      </w:r>
    </w:p>
    <w:p w14:paraId="3DF38F11" w14:textId="77777777" w:rsidR="00B8392E" w:rsidRDefault="00B8392E" w:rsidP="00B8392E">
      <w:pPr>
        <w:spacing w:line="360" w:lineRule="auto"/>
        <w:jc w:val="both"/>
      </w:pPr>
      <w:r w:rsidRPr="00DA28A7">
        <w:t xml:space="preserve">Consistency of approach in leadership improved faith where </w:t>
      </w:r>
      <w:r w:rsidRPr="00DA28A7">
        <w:rPr>
          <w:iCs/>
        </w:rPr>
        <w:t>stability, consistency of message, priorities, and approach were attributed with success.</w:t>
      </w:r>
      <w:r w:rsidRPr="00DA28A7">
        <w:t xml:space="preserve"> For example, to break down the complexity of ICSs, Hospital Group 3 described the need to carry out </w:t>
      </w:r>
      <w:r>
        <w:t>a ‘</w:t>
      </w:r>
      <w:r w:rsidRPr="00DA28A7">
        <w:t>True North</w:t>
      </w:r>
      <w:r>
        <w:t>’</w:t>
      </w:r>
      <w:r w:rsidRPr="00DA28A7">
        <w:t xml:space="preserve"> exercise focusing on breakthrough objectives and corporate projects that </w:t>
      </w:r>
      <w:r>
        <w:t>could be shared across</w:t>
      </w:r>
      <w:r w:rsidRPr="00DA28A7">
        <w:t xml:space="preserve"> organisation</w:t>
      </w:r>
      <w:r>
        <w:t xml:space="preserve">s. </w:t>
      </w:r>
      <w:r w:rsidRPr="00DA28A7">
        <w:t>Increasing faith was also characterised by</w:t>
      </w:r>
      <w:r>
        <w:t xml:space="preserve"> the </w:t>
      </w:r>
      <w:r w:rsidRPr="00DA28A7">
        <w:t xml:space="preserve">leadership </w:t>
      </w:r>
      <w:r>
        <w:t>behaviours</w:t>
      </w:r>
      <w:r w:rsidRPr="00DA28A7">
        <w:t xml:space="preserve"> of visibility, communication of benefits, </w:t>
      </w:r>
      <w:r>
        <w:t xml:space="preserve">and </w:t>
      </w:r>
      <w:r w:rsidRPr="00DA28A7">
        <w:t>listening and reacting appropriately</w:t>
      </w:r>
      <w:r>
        <w:t>.</w:t>
      </w:r>
    </w:p>
    <w:p w14:paraId="5D83CC8A" w14:textId="7FC43A5A" w:rsidR="00B8392E" w:rsidRPr="006B4A74" w:rsidRDefault="00B8392E" w:rsidP="006B4A74">
      <w:pPr>
        <w:spacing w:line="360" w:lineRule="auto"/>
        <w:ind w:left="720"/>
        <w:jc w:val="both"/>
        <w:rPr>
          <w:i/>
        </w:rPr>
      </w:pPr>
      <w:r>
        <w:rPr>
          <w:i/>
        </w:rPr>
        <w:t>“</w:t>
      </w:r>
      <w:r w:rsidRPr="000D7103">
        <w:rPr>
          <w:i/>
        </w:rPr>
        <w:t xml:space="preserve">[it’s] leadership that listens because very often what you see is the kind of </w:t>
      </w:r>
      <w:r w:rsidRPr="00FE068A">
        <w:rPr>
          <w:i/>
        </w:rPr>
        <w:t>knight</w:t>
      </w:r>
      <w:r w:rsidRPr="000D7103">
        <w:rPr>
          <w:i/>
        </w:rPr>
        <w:t xml:space="preserve"> in shining armour vision of leadership which is one organisation is swooping in to help the other and everything’s going to be fantastic afterwards, well, if that person who’s coming in doesn’t listen to what’s good in the other organisation as well as what needs to be put right </w:t>
      </w:r>
      <w:r>
        <w:rPr>
          <w:i/>
        </w:rPr>
        <w:t>[…]</w:t>
      </w:r>
      <w:r w:rsidRPr="000D7103">
        <w:rPr>
          <w:i/>
        </w:rPr>
        <w:t xml:space="preserve"> that’s not going to work because people will resent it</w:t>
      </w:r>
      <w:r w:rsidR="00F6452A">
        <w:rPr>
          <w:i/>
        </w:rPr>
        <w:t>”</w:t>
      </w:r>
      <w:r w:rsidRPr="000D7103">
        <w:rPr>
          <w:i/>
        </w:rPr>
        <w:t xml:space="preserve"> </w:t>
      </w:r>
      <w:r w:rsidR="00AE32F1">
        <w:rPr>
          <w:iCs/>
        </w:rPr>
        <w:t>(07; Professional body</w:t>
      </w:r>
      <w:r w:rsidRPr="009C55AF">
        <w:rPr>
          <w:iCs/>
        </w:rPr>
        <w:t>)</w:t>
      </w:r>
      <w:r>
        <w:rPr>
          <w:iCs/>
        </w:rPr>
        <w:t>.</w:t>
      </w:r>
    </w:p>
    <w:p w14:paraId="244AAF83" w14:textId="0C0DBBF1" w:rsidR="00B8392E" w:rsidRDefault="00B8392E" w:rsidP="00B8392E">
      <w:pPr>
        <w:spacing w:line="360" w:lineRule="auto"/>
        <w:jc w:val="both"/>
      </w:pPr>
      <w:r w:rsidRPr="00DA28A7">
        <w:rPr>
          <w:rFonts w:cstheme="minorHAnsi"/>
        </w:rPr>
        <w:t>To build faith, leaders described how developing collaborative endeavours required</w:t>
      </w:r>
      <w:r w:rsidRPr="00DA28A7">
        <w:rPr>
          <w:rFonts w:eastAsia="Times New Roman" w:cstheme="minorHAnsi"/>
        </w:rPr>
        <w:t xml:space="preserve"> going ‘where the energy is’ in order to establish momentum. </w:t>
      </w:r>
      <w:r>
        <w:t>Focused efforts with engaged stakeholders</w:t>
      </w:r>
      <w:r w:rsidRPr="00DA28A7">
        <w:t xml:space="preserve"> </w:t>
      </w:r>
      <w:r>
        <w:t xml:space="preserve">had the potential </w:t>
      </w:r>
      <w:r w:rsidRPr="00DA28A7">
        <w:t xml:space="preserve">to reduce anxieties about </w:t>
      </w:r>
      <w:r w:rsidR="00B17E44">
        <w:t xml:space="preserve">task complexity </w:t>
      </w:r>
      <w:r w:rsidR="00557CB5">
        <w:t>as well as</w:t>
      </w:r>
      <w:r w:rsidR="00B17E44">
        <w:t xml:space="preserve"> build trust:</w:t>
      </w:r>
    </w:p>
    <w:p w14:paraId="603C0536" w14:textId="77777777" w:rsidR="00B8392E" w:rsidRPr="000D7103" w:rsidRDefault="00B8392E" w:rsidP="00B8392E">
      <w:pPr>
        <w:spacing w:line="360" w:lineRule="auto"/>
        <w:ind w:left="720"/>
        <w:jc w:val="both"/>
        <w:rPr>
          <w:i/>
        </w:rPr>
      </w:pPr>
      <w:r>
        <w:rPr>
          <w:i/>
        </w:rPr>
        <w:t>“</w:t>
      </w:r>
      <w:r w:rsidRPr="000D7103">
        <w:rPr>
          <w:i/>
        </w:rPr>
        <w:t>Myron’s Maxims?… you start where the energy is and build out from that, that you have to do real work to make these things happen, talking about theoretical things doesn’t really work</w:t>
      </w:r>
      <w:r>
        <w:rPr>
          <w:i/>
        </w:rPr>
        <w:t>,</w:t>
      </w:r>
      <w:r w:rsidRPr="000D7103">
        <w:rPr>
          <w:i/>
        </w:rPr>
        <w:t xml:space="preserve"> you have to actually identify some real things because real change happens in real work</w:t>
      </w:r>
      <w:r>
        <w:rPr>
          <w:i/>
        </w:rPr>
        <w:t xml:space="preserve">” </w:t>
      </w:r>
      <w:r w:rsidRPr="000D7103">
        <w:rPr>
          <w:i/>
        </w:rPr>
        <w:t>(19)</w:t>
      </w:r>
    </w:p>
    <w:p w14:paraId="79A0D389" w14:textId="314452E9" w:rsidR="00B8392E" w:rsidRDefault="00B8392E" w:rsidP="00B8392E">
      <w:pPr>
        <w:spacing w:line="360" w:lineRule="auto"/>
        <w:jc w:val="both"/>
        <w:rPr>
          <w:rFonts w:eastAsia="Times New Roman" w:cstheme="minorHAnsi"/>
        </w:rPr>
      </w:pPr>
      <w:r w:rsidRPr="00DA28A7">
        <w:t xml:space="preserve">Involving appropriate stakeholders </w:t>
      </w:r>
      <w:r w:rsidR="00B17E44">
        <w:t>with</w:t>
      </w:r>
      <w:r w:rsidRPr="00DA28A7">
        <w:t>in the collaborative process was supported.</w:t>
      </w:r>
      <w:r>
        <w:t xml:space="preserve"> For example, </w:t>
      </w:r>
      <w:r w:rsidRPr="00DA28A7">
        <w:t xml:space="preserve">if the goal </w:t>
      </w:r>
      <w:r>
        <w:t xml:space="preserve">of the collaboration </w:t>
      </w:r>
      <w:r w:rsidRPr="00DA28A7">
        <w:t xml:space="preserve">was population health, then the governance and messaging needed to reflect this by </w:t>
      </w:r>
      <w:r w:rsidRPr="00DA28A7">
        <w:rPr>
          <w:rFonts w:eastAsia="Times New Roman" w:cstheme="minorHAnsi"/>
        </w:rPr>
        <w:t>involving councils, public health, police, fire</w:t>
      </w:r>
      <w:r>
        <w:rPr>
          <w:rFonts w:eastAsia="Times New Roman" w:cstheme="minorHAnsi"/>
        </w:rPr>
        <w:t xml:space="preserve"> services</w:t>
      </w:r>
      <w:r w:rsidRPr="00DA28A7">
        <w:rPr>
          <w:rFonts w:eastAsia="Times New Roman" w:cstheme="minorHAnsi"/>
        </w:rPr>
        <w:t xml:space="preserve">, </w:t>
      </w:r>
      <w:r w:rsidR="00F14A0A">
        <w:rPr>
          <w:rFonts w:eastAsia="Times New Roman" w:cstheme="minorHAnsi"/>
        </w:rPr>
        <w:t xml:space="preserve">the third sector, </w:t>
      </w:r>
      <w:r w:rsidRPr="00DA28A7">
        <w:rPr>
          <w:rFonts w:eastAsia="Times New Roman" w:cstheme="minorHAnsi"/>
        </w:rPr>
        <w:t xml:space="preserve">and </w:t>
      </w:r>
      <w:r w:rsidR="008A66B4">
        <w:rPr>
          <w:rFonts w:eastAsia="Times New Roman" w:cstheme="minorHAnsi"/>
        </w:rPr>
        <w:t xml:space="preserve">the </w:t>
      </w:r>
      <w:r w:rsidRPr="00DA28A7">
        <w:rPr>
          <w:rFonts w:eastAsia="Times New Roman" w:cstheme="minorHAnsi"/>
        </w:rPr>
        <w:t xml:space="preserve">NHS. </w:t>
      </w:r>
      <w:r>
        <w:rPr>
          <w:rFonts w:eastAsia="Times New Roman" w:cstheme="minorHAnsi"/>
        </w:rPr>
        <w:t>Embedding such approaches needed to engage</w:t>
      </w:r>
      <w:r w:rsidRPr="00DA28A7">
        <w:rPr>
          <w:rFonts w:eastAsia="Times New Roman" w:cstheme="minorHAnsi"/>
        </w:rPr>
        <w:t xml:space="preserve"> </w:t>
      </w:r>
      <w:r>
        <w:rPr>
          <w:rFonts w:eastAsia="Times New Roman" w:cstheme="minorHAnsi"/>
        </w:rPr>
        <w:t xml:space="preserve">a </w:t>
      </w:r>
      <w:r w:rsidRPr="00DA28A7">
        <w:rPr>
          <w:rFonts w:eastAsia="Times New Roman" w:cstheme="minorHAnsi"/>
        </w:rPr>
        <w:t>mix</w:t>
      </w:r>
      <w:r>
        <w:rPr>
          <w:rFonts w:eastAsia="Times New Roman" w:cstheme="minorHAnsi"/>
        </w:rPr>
        <w:t>ture</w:t>
      </w:r>
      <w:r w:rsidRPr="00DA28A7">
        <w:rPr>
          <w:rFonts w:eastAsia="Times New Roman" w:cstheme="minorHAnsi"/>
        </w:rPr>
        <w:t xml:space="preserve"> of </w:t>
      </w:r>
      <w:r w:rsidR="00F14A0A">
        <w:rPr>
          <w:rFonts w:eastAsia="Times New Roman" w:cstheme="minorHAnsi"/>
        </w:rPr>
        <w:t>provider</w:t>
      </w:r>
      <w:r w:rsidRPr="00DA28A7">
        <w:rPr>
          <w:rFonts w:eastAsia="Times New Roman" w:cstheme="minorHAnsi"/>
        </w:rPr>
        <w:t xml:space="preserve"> and co</w:t>
      </w:r>
      <w:r w:rsidR="00F14A0A">
        <w:rPr>
          <w:rFonts w:eastAsia="Times New Roman" w:cstheme="minorHAnsi"/>
        </w:rPr>
        <w:t xml:space="preserve">mmissioner leaders to facilitate efforts in </w:t>
      </w:r>
      <w:r w:rsidRPr="00DA28A7">
        <w:rPr>
          <w:rFonts w:eastAsia="Times New Roman" w:cstheme="minorHAnsi"/>
        </w:rPr>
        <w:t>extol</w:t>
      </w:r>
      <w:r>
        <w:rPr>
          <w:rFonts w:eastAsia="Times New Roman" w:cstheme="minorHAnsi"/>
        </w:rPr>
        <w:t>ling</w:t>
      </w:r>
      <w:r w:rsidRPr="00DA28A7">
        <w:rPr>
          <w:rFonts w:eastAsia="Times New Roman" w:cstheme="minorHAnsi"/>
        </w:rPr>
        <w:t xml:space="preserve"> the benefit</w:t>
      </w:r>
      <w:r>
        <w:rPr>
          <w:rFonts w:eastAsia="Times New Roman" w:cstheme="minorHAnsi"/>
        </w:rPr>
        <w:t>s of system working</w:t>
      </w:r>
      <w:r w:rsidR="008A66B4">
        <w:rPr>
          <w:rFonts w:eastAsia="Times New Roman" w:cstheme="minorHAnsi"/>
        </w:rPr>
        <w:t>. T</w:t>
      </w:r>
      <w:r>
        <w:rPr>
          <w:rFonts w:eastAsia="Times New Roman" w:cstheme="minorHAnsi"/>
        </w:rPr>
        <w:t xml:space="preserve">he role of an ICS was cited as </w:t>
      </w:r>
      <w:r w:rsidR="00F14A0A">
        <w:rPr>
          <w:rFonts w:eastAsia="Times New Roman" w:cstheme="minorHAnsi"/>
        </w:rPr>
        <w:t>a case in point with leaders needing</w:t>
      </w:r>
      <w:r>
        <w:rPr>
          <w:rFonts w:eastAsia="Times New Roman" w:cstheme="minorHAnsi"/>
        </w:rPr>
        <w:t xml:space="preserve"> to frame</w:t>
      </w:r>
      <w:r w:rsidRPr="00DA28A7">
        <w:rPr>
          <w:rFonts w:eastAsia="Times New Roman" w:cstheme="minorHAnsi"/>
        </w:rPr>
        <w:t xml:space="preserve"> </w:t>
      </w:r>
      <w:r>
        <w:rPr>
          <w:rFonts w:eastAsia="Times New Roman" w:cstheme="minorHAnsi"/>
        </w:rPr>
        <w:t xml:space="preserve">the </w:t>
      </w:r>
      <w:r w:rsidRPr="00DA28A7">
        <w:rPr>
          <w:rFonts w:eastAsia="Times New Roman" w:cstheme="minorHAnsi"/>
        </w:rPr>
        <w:t xml:space="preserve">ICS </w:t>
      </w:r>
      <w:r>
        <w:rPr>
          <w:rFonts w:eastAsia="Times New Roman" w:cstheme="minorHAnsi"/>
        </w:rPr>
        <w:t xml:space="preserve">agenda </w:t>
      </w:r>
      <w:r w:rsidRPr="00DA28A7">
        <w:rPr>
          <w:rFonts w:eastAsia="Times New Roman" w:cstheme="minorHAnsi"/>
        </w:rPr>
        <w:t>landscape as</w:t>
      </w:r>
      <w:r>
        <w:rPr>
          <w:rFonts w:eastAsia="Times New Roman" w:cstheme="minorHAnsi"/>
        </w:rPr>
        <w:t xml:space="preserve"> being </w:t>
      </w:r>
      <w:r w:rsidRPr="0006395C">
        <w:rPr>
          <w:rFonts w:eastAsia="Times New Roman" w:cstheme="minorHAnsi"/>
        </w:rPr>
        <w:t xml:space="preserve">part of the organisational fabric </w:t>
      </w:r>
      <w:r w:rsidR="008A66B4">
        <w:rPr>
          <w:rFonts w:eastAsia="Times New Roman" w:cstheme="minorHAnsi"/>
        </w:rPr>
        <w:t>as opposed to ‘</w:t>
      </w:r>
      <w:r w:rsidR="008A66B4" w:rsidRPr="008A66B4">
        <w:rPr>
          <w:rFonts w:eastAsia="Times New Roman" w:cstheme="minorHAnsi"/>
        </w:rPr>
        <w:t>an administrative construct or bureaucratic burden’</w:t>
      </w:r>
    </w:p>
    <w:p w14:paraId="29E036B1" w14:textId="77777777" w:rsidR="00B8392E" w:rsidRPr="009D7E48" w:rsidRDefault="00B8392E" w:rsidP="00B8392E">
      <w:pPr>
        <w:spacing w:line="360" w:lineRule="auto"/>
        <w:ind w:left="720"/>
        <w:jc w:val="both"/>
      </w:pPr>
      <w:r>
        <w:rPr>
          <w:rFonts w:eastAsia="Times New Roman" w:cstheme="minorHAnsi"/>
          <w:i/>
        </w:rPr>
        <w:t>“</w:t>
      </w:r>
      <w:r w:rsidRPr="000D7103">
        <w:rPr>
          <w:rFonts w:eastAsia="Times New Roman" w:cstheme="minorHAnsi"/>
          <w:i/>
        </w:rPr>
        <w:t>I do think we have to continue to push those boundaries about, “What is it in our hospital institutions?” – because that’s re</w:t>
      </w:r>
      <w:r w:rsidRPr="00FA0208">
        <w:rPr>
          <w:rFonts w:eastAsia="Times New Roman" w:cstheme="minorHAnsi"/>
          <w:i/>
        </w:rPr>
        <w:t xml:space="preserve">ally what we’re talking about… </w:t>
      </w:r>
      <w:r w:rsidRPr="000D7103">
        <w:rPr>
          <w:rFonts w:eastAsia="Times New Roman" w:cstheme="minorHAnsi"/>
          <w:i/>
        </w:rPr>
        <w:t>I think that the more that we can really think about what can we shift out of the hospital institutions and place as care in our localities that for me is where we need to put our efforts and attention. And I include in that some of the big diagnostic pieces… Shift it out and put it as an interface between the hospital institutions and primary care</w:t>
      </w:r>
      <w:r>
        <w:rPr>
          <w:rFonts w:eastAsia="Times New Roman" w:cstheme="minorHAnsi"/>
          <w:i/>
        </w:rPr>
        <w:t>”</w:t>
      </w:r>
      <w:r w:rsidRPr="000D7103">
        <w:rPr>
          <w:rFonts w:eastAsia="Times New Roman" w:cstheme="minorHAnsi"/>
          <w:i/>
        </w:rPr>
        <w:t xml:space="preserve"> </w:t>
      </w:r>
      <w:r w:rsidRPr="008A6558">
        <w:rPr>
          <w:color w:val="000000" w:themeColor="text1"/>
        </w:rPr>
        <w:t xml:space="preserve">(20; Director; </w:t>
      </w:r>
      <w:r>
        <w:rPr>
          <w:color w:val="000000" w:themeColor="text1"/>
        </w:rPr>
        <w:t>Alliance 1</w:t>
      </w:r>
      <w:r w:rsidRPr="008A6558">
        <w:rPr>
          <w:color w:val="000000" w:themeColor="text1"/>
        </w:rPr>
        <w:t>)</w:t>
      </w:r>
      <w:r w:rsidRPr="000D7103" w:rsidDel="003E039D">
        <w:rPr>
          <w:rFonts w:eastAsia="Times New Roman" w:cstheme="minorHAnsi"/>
          <w:i/>
        </w:rPr>
        <w:t xml:space="preserve"> </w:t>
      </w:r>
    </w:p>
    <w:p w14:paraId="199EEAF6" w14:textId="77777777" w:rsidR="00B8392E" w:rsidRDefault="00B8392E" w:rsidP="00B8392E">
      <w:pPr>
        <w:spacing w:after="0" w:line="360" w:lineRule="auto"/>
        <w:ind w:right="141"/>
        <w:jc w:val="both"/>
        <w:rPr>
          <w:rFonts w:eastAsia="Times New Roman" w:cstheme="minorHAnsi"/>
        </w:rPr>
      </w:pPr>
      <w:r>
        <w:rPr>
          <w:rFonts w:eastAsia="Times New Roman" w:cstheme="minorHAnsi"/>
        </w:rPr>
        <w:t>The perils of maintaining faith in collaboration were raised where t</w:t>
      </w:r>
      <w:r w:rsidRPr="005062D0">
        <w:rPr>
          <w:rFonts w:eastAsia="Times New Roman" w:cstheme="minorHAnsi"/>
        </w:rPr>
        <w:t xml:space="preserve">he energy needed for collaboration </w:t>
      </w:r>
      <w:r>
        <w:rPr>
          <w:rFonts w:eastAsia="Times New Roman" w:cstheme="minorHAnsi"/>
        </w:rPr>
        <w:t>and the requirement of leaders</w:t>
      </w:r>
      <w:r w:rsidRPr="005062D0">
        <w:rPr>
          <w:rFonts w:eastAsia="Times New Roman" w:cstheme="minorHAnsi"/>
        </w:rPr>
        <w:t xml:space="preserve"> to </w:t>
      </w:r>
      <w:r>
        <w:rPr>
          <w:rFonts w:eastAsia="Times New Roman" w:cstheme="minorHAnsi"/>
        </w:rPr>
        <w:t>‘go the extra mile’ created conditions of fatigue and burnout</w:t>
      </w:r>
      <w:r w:rsidRPr="005062D0">
        <w:rPr>
          <w:rFonts w:eastAsia="Times New Roman" w:cstheme="minorHAnsi"/>
        </w:rPr>
        <w:t>.</w:t>
      </w:r>
    </w:p>
    <w:p w14:paraId="00A89DDD" w14:textId="77777777" w:rsidR="00B8392E" w:rsidRPr="00DA28A7" w:rsidRDefault="00B8392E" w:rsidP="00B8392E">
      <w:pPr>
        <w:spacing w:after="160" w:line="360" w:lineRule="auto"/>
        <w:ind w:left="720"/>
        <w:jc w:val="both"/>
        <w:rPr>
          <w:rFonts w:eastAsia="Times New Roman" w:cstheme="minorHAnsi"/>
        </w:rPr>
      </w:pPr>
      <w:r>
        <w:rPr>
          <w:i/>
        </w:rPr>
        <w:t xml:space="preserve">“… </w:t>
      </w:r>
      <w:r w:rsidRPr="000D7103">
        <w:rPr>
          <w:i/>
        </w:rPr>
        <w:t>we have tried to protect the organisation from the transaction as best we can, and just keep running great services for our populations, while we’ve dealt with burning the midnight oil on trying to get the business case and the transaction going as fast as possible.</w:t>
      </w:r>
      <w:r>
        <w:rPr>
          <w:i/>
        </w:rPr>
        <w:t>”</w:t>
      </w:r>
      <w:r w:rsidRPr="000D7103">
        <w:rPr>
          <w:i/>
        </w:rPr>
        <w:t xml:space="preserve"> </w:t>
      </w:r>
      <w:r w:rsidRPr="008A6558">
        <w:rPr>
          <w:rFonts w:cstheme="minorHAnsi"/>
          <w:color w:val="000000" w:themeColor="text1"/>
        </w:rPr>
        <w:t>(10; Exec Nurse; Alliance 1).</w:t>
      </w:r>
    </w:p>
    <w:p w14:paraId="5FBCC721" w14:textId="5615A2CC" w:rsidR="00B8392E" w:rsidRDefault="00B8392E" w:rsidP="00B8392E">
      <w:pPr>
        <w:spacing w:line="360" w:lineRule="auto"/>
        <w:jc w:val="both"/>
      </w:pPr>
      <w:r w:rsidRPr="00DA28A7">
        <w:t xml:space="preserve">Wider questions about the </w:t>
      </w:r>
      <w:r>
        <w:t>rhetoric and reality of</w:t>
      </w:r>
      <w:r w:rsidRPr="00DA28A7">
        <w:t xml:space="preserve"> system working also needed to be addressed. Well publicised examples of system wide </w:t>
      </w:r>
      <w:r w:rsidR="00873597">
        <w:t>collaboration</w:t>
      </w:r>
      <w:r w:rsidRPr="00DA28A7">
        <w:t xml:space="preserve"> approaches were mentio</w:t>
      </w:r>
      <w:r>
        <w:t>ned</w:t>
      </w:r>
      <w:r w:rsidR="00B17E44">
        <w:t xml:space="preserve"> which had not achieved the </w:t>
      </w:r>
      <w:r w:rsidRPr="00DA28A7">
        <w:t xml:space="preserve">demonstrable impact </w:t>
      </w:r>
      <w:r w:rsidR="00F14A0A">
        <w:t>it aspired to at the outset:</w:t>
      </w:r>
    </w:p>
    <w:p w14:paraId="68301E65" w14:textId="77777777" w:rsidR="00B8392E" w:rsidRDefault="00B8392E" w:rsidP="00B8392E">
      <w:pPr>
        <w:spacing w:line="360" w:lineRule="auto"/>
        <w:ind w:left="720"/>
        <w:jc w:val="both"/>
      </w:pPr>
      <w:r>
        <w:rPr>
          <w:i/>
        </w:rPr>
        <w:t>“</w:t>
      </w:r>
      <w:r w:rsidRPr="000D7103">
        <w:rPr>
          <w:i/>
        </w:rPr>
        <w:t xml:space="preserve">I already arrive at the table with a degree of cynicism, 30 years, </w:t>
      </w:r>
      <w:r>
        <w:rPr>
          <w:i/>
        </w:rPr>
        <w:t>‘</w:t>
      </w:r>
      <w:r w:rsidRPr="000D7103">
        <w:rPr>
          <w:i/>
        </w:rPr>
        <w:t>God, I’ve been here before</w:t>
      </w:r>
      <w:r>
        <w:rPr>
          <w:i/>
        </w:rPr>
        <w:t>’</w:t>
      </w:r>
      <w:r w:rsidRPr="000D7103">
        <w:rPr>
          <w:i/>
        </w:rPr>
        <w:t xml:space="preserve">, and, </w:t>
      </w:r>
      <w:r>
        <w:rPr>
          <w:i/>
        </w:rPr>
        <w:t>‘</w:t>
      </w:r>
      <w:r w:rsidRPr="000D7103">
        <w:rPr>
          <w:i/>
        </w:rPr>
        <w:t>We’ll play this game; we can play this game, it’s easy, we know the rules</w:t>
      </w:r>
      <w:r>
        <w:rPr>
          <w:i/>
        </w:rPr>
        <w:t>’</w:t>
      </w:r>
      <w:r w:rsidRPr="000D7103">
        <w:rPr>
          <w:i/>
        </w:rPr>
        <w:t>. So, I don’t think people have a lot of faith actually at a big system level that it can work. I’m trying to think of at a really big STP level what… So, there are examples, aren’t there? We shifted the dial in x on some things around some population health metrics, which was kind of the core purpose of the five year plan. Actually did we do as much as we should’ve done and we could’ve done? I think that’s a different question. And actually did that happen because we collaborated at a system level or was it because actually everybody in their local bit was just doing a bit and when you add it all up it looks good?  I don’t know</w:t>
      </w:r>
      <w:r>
        <w:rPr>
          <w:i/>
        </w:rPr>
        <w:t>”</w:t>
      </w:r>
      <w:r w:rsidRPr="000D7103">
        <w:rPr>
          <w:i/>
        </w:rPr>
        <w:t xml:space="preserve"> </w:t>
      </w:r>
      <w:r w:rsidRPr="008A6558">
        <w:rPr>
          <w:color w:val="000000" w:themeColor="text1"/>
        </w:rPr>
        <w:t xml:space="preserve">(20; Director; </w:t>
      </w:r>
      <w:r>
        <w:rPr>
          <w:color w:val="000000" w:themeColor="text1"/>
        </w:rPr>
        <w:t>Alliance 1</w:t>
      </w:r>
      <w:r w:rsidRPr="008A6558">
        <w:rPr>
          <w:color w:val="000000" w:themeColor="text1"/>
        </w:rPr>
        <w:t>)</w:t>
      </w:r>
      <w:r>
        <w:rPr>
          <w:color w:val="000000" w:themeColor="text1"/>
        </w:rPr>
        <w:t>.</w:t>
      </w:r>
    </w:p>
    <w:p w14:paraId="190AF318" w14:textId="77777777" w:rsidR="00B8392E" w:rsidRPr="0080256B" w:rsidRDefault="00B8392E" w:rsidP="00B8392E">
      <w:pPr>
        <w:pStyle w:val="Heading3"/>
        <w:spacing w:after="240"/>
        <w:jc w:val="both"/>
      </w:pPr>
      <w:bookmarkStart w:id="117" w:name="_Toc85066458"/>
      <w:r w:rsidRPr="00DA28A7">
        <w:t>Capacity</w:t>
      </w:r>
      <w:r>
        <w:t xml:space="preserve"> constraints</w:t>
      </w:r>
      <w:bookmarkEnd w:id="117"/>
    </w:p>
    <w:p w14:paraId="541C907F" w14:textId="069298A9" w:rsidR="00B8392E" w:rsidRDefault="00B8392E" w:rsidP="00B8392E">
      <w:pPr>
        <w:spacing w:line="360" w:lineRule="auto"/>
        <w:jc w:val="both"/>
      </w:pPr>
      <w:r>
        <w:t>Faith in the collaboration was connected to the capacity available to support collaboration. Maintaining motivation and commitment for collaboration required the navigation of resource constraints</w:t>
      </w:r>
      <w:r w:rsidRPr="00DA28A7">
        <w:t xml:space="preserve"> </w:t>
      </w:r>
      <w:r>
        <w:t xml:space="preserve">and limited finances that </w:t>
      </w:r>
      <w:r w:rsidR="00873597">
        <w:t>could potentially</w:t>
      </w:r>
      <w:r w:rsidRPr="00DA28A7">
        <w:t xml:space="preserve"> </w:t>
      </w:r>
      <w:r>
        <w:t xml:space="preserve">weaken </w:t>
      </w:r>
      <w:r w:rsidRPr="00DA28A7">
        <w:rPr>
          <w:iCs/>
        </w:rPr>
        <w:t>the resilience and energy</w:t>
      </w:r>
      <w:r>
        <w:rPr>
          <w:iCs/>
        </w:rPr>
        <w:t xml:space="preserve"> to change</w:t>
      </w:r>
      <w:r w:rsidRPr="00DA28A7">
        <w:rPr>
          <w:iCs/>
        </w:rPr>
        <w:t>.</w:t>
      </w:r>
      <w:r w:rsidRPr="00C513F0">
        <w:rPr>
          <w:rFonts w:eastAsia="Times New Roman" w:cstheme="minorHAnsi"/>
        </w:rPr>
        <w:t xml:space="preserve"> </w:t>
      </w:r>
      <w:r>
        <w:rPr>
          <w:rFonts w:eastAsia="Times New Roman" w:cstheme="minorHAnsi"/>
        </w:rPr>
        <w:t xml:space="preserve">Chronic </w:t>
      </w:r>
      <w:r w:rsidR="00F14A0A">
        <w:rPr>
          <w:rFonts w:eastAsia="Times New Roman" w:cstheme="minorHAnsi"/>
        </w:rPr>
        <w:t>issues</w:t>
      </w:r>
      <w:r>
        <w:rPr>
          <w:rFonts w:eastAsia="Times New Roman" w:cstheme="minorHAnsi"/>
        </w:rPr>
        <w:t xml:space="preserve"> in parts of the country required structural responses rather than partnerships to generate improvement in r</w:t>
      </w:r>
      <w:r w:rsidRPr="00DA28A7">
        <w:t xml:space="preserve">ecognition </w:t>
      </w:r>
      <w:r>
        <w:t>of</w:t>
      </w:r>
      <w:r w:rsidRPr="00DA28A7">
        <w:t xml:space="preserve"> </w:t>
      </w:r>
      <w:r>
        <w:t xml:space="preserve">the </w:t>
      </w:r>
      <w:r w:rsidRPr="00DA28A7">
        <w:t xml:space="preserve">problems </w:t>
      </w:r>
      <w:r>
        <w:t>facing</w:t>
      </w:r>
      <w:r w:rsidRPr="00DA28A7">
        <w:t xml:space="preserve"> some of the</w:t>
      </w:r>
      <w:r>
        <w:t xml:space="preserve"> worst performing organisations.</w:t>
      </w:r>
    </w:p>
    <w:p w14:paraId="66E03B7D" w14:textId="6E6FB1F2" w:rsidR="00B8392E" w:rsidRPr="00B05D89" w:rsidRDefault="00B8392E" w:rsidP="00B8392E">
      <w:pPr>
        <w:spacing w:line="360" w:lineRule="auto"/>
        <w:ind w:left="720"/>
        <w:jc w:val="both"/>
      </w:pPr>
      <w:r>
        <w:rPr>
          <w:i/>
        </w:rPr>
        <w:t>“</w:t>
      </w:r>
      <w:r w:rsidRPr="000D7103">
        <w:rPr>
          <w:i/>
        </w:rPr>
        <w:t>…they will improve by just being given special treatment rather than partnering with another organisation because nothing’s going to overcome that, they actually just need more injection of cash to help them because it’s more expensive to run their services.  And I think that policy, central policy is slightly allergic to making special cases even though special cases need to be made</w:t>
      </w:r>
      <w:r>
        <w:rPr>
          <w:i/>
        </w:rPr>
        <w:t>”</w:t>
      </w:r>
      <w:r w:rsidRPr="000D7103">
        <w:rPr>
          <w:i/>
        </w:rPr>
        <w:t xml:space="preserve"> </w:t>
      </w:r>
      <w:r w:rsidR="00AE32F1">
        <w:rPr>
          <w:color w:val="000000" w:themeColor="text1"/>
        </w:rPr>
        <w:t>(11; Policy executive</w:t>
      </w:r>
      <w:r w:rsidRPr="009C55AF">
        <w:rPr>
          <w:color w:val="000000" w:themeColor="text1"/>
        </w:rPr>
        <w:t>).</w:t>
      </w:r>
      <w:r w:rsidRPr="008A6558">
        <w:rPr>
          <w:color w:val="000000" w:themeColor="text1"/>
        </w:rPr>
        <w:t xml:space="preserve"> </w:t>
      </w:r>
    </w:p>
    <w:p w14:paraId="43572511" w14:textId="1BD095AA" w:rsidR="00B8392E" w:rsidRDefault="00B8392E" w:rsidP="00B8392E">
      <w:pPr>
        <w:spacing w:after="0" w:line="360" w:lineRule="auto"/>
        <w:ind w:right="141"/>
        <w:jc w:val="both"/>
        <w:rPr>
          <w:iCs/>
        </w:rPr>
      </w:pPr>
      <w:r>
        <w:t xml:space="preserve">Similar points were raised about workforce shortages where the skill mix required for </w:t>
      </w:r>
      <w:r w:rsidRPr="00DA28A7">
        <w:t xml:space="preserve">vertical integration and specialist care interdependences </w:t>
      </w:r>
      <w:r>
        <w:t xml:space="preserve">was not </w:t>
      </w:r>
      <w:r w:rsidR="00D43EFC">
        <w:t xml:space="preserve">currently </w:t>
      </w:r>
      <w:r>
        <w:t xml:space="preserve">available. Organisational </w:t>
      </w:r>
      <w:r w:rsidR="00D43EFC">
        <w:t xml:space="preserve">development </w:t>
      </w:r>
      <w:r w:rsidR="00D43EFC" w:rsidRPr="00DA28A7">
        <w:rPr>
          <w:rFonts w:eastAsia="Times New Roman" w:cstheme="minorHAnsi"/>
        </w:rPr>
        <w:t>teams</w:t>
      </w:r>
      <w:r>
        <w:rPr>
          <w:rFonts w:eastAsia="Times New Roman" w:cstheme="minorHAnsi"/>
        </w:rPr>
        <w:t>, identified as crucial in collaboration efforts, were described as</w:t>
      </w:r>
      <w:r w:rsidRPr="00DA28A7">
        <w:rPr>
          <w:rFonts w:eastAsia="Times New Roman" w:cstheme="minorHAnsi"/>
        </w:rPr>
        <w:t xml:space="preserve"> </w:t>
      </w:r>
      <w:r>
        <w:rPr>
          <w:rFonts w:eastAsia="Times New Roman" w:cstheme="minorHAnsi"/>
        </w:rPr>
        <w:t>‘</w:t>
      </w:r>
      <w:r w:rsidRPr="00DA28A7">
        <w:rPr>
          <w:rFonts w:eastAsia="Times New Roman" w:cstheme="minorHAnsi"/>
        </w:rPr>
        <w:t>bursting at the seams</w:t>
      </w:r>
      <w:r>
        <w:rPr>
          <w:rFonts w:eastAsia="Times New Roman" w:cstheme="minorHAnsi"/>
        </w:rPr>
        <w:t>’</w:t>
      </w:r>
      <w:r w:rsidRPr="00DA28A7">
        <w:rPr>
          <w:rFonts w:eastAsia="Times New Roman" w:cstheme="minorHAnsi"/>
        </w:rPr>
        <w:t xml:space="preserve"> with demand</w:t>
      </w:r>
      <w:r w:rsidR="00D43EFC">
        <w:rPr>
          <w:rFonts w:eastAsia="Times New Roman" w:cstheme="minorHAnsi"/>
        </w:rPr>
        <w:t xml:space="preserve"> in supporting existing change processes</w:t>
      </w:r>
      <w:r w:rsidRPr="00DA28A7">
        <w:rPr>
          <w:rFonts w:eastAsia="Times New Roman" w:cstheme="minorHAnsi"/>
        </w:rPr>
        <w:t xml:space="preserve">. The functions </w:t>
      </w:r>
      <w:r>
        <w:rPr>
          <w:rFonts w:eastAsia="Times New Roman" w:cstheme="minorHAnsi"/>
        </w:rPr>
        <w:t xml:space="preserve">such as </w:t>
      </w:r>
      <w:r w:rsidRPr="00DA28A7">
        <w:rPr>
          <w:rFonts w:eastAsia="Times New Roman" w:cstheme="minorHAnsi"/>
        </w:rPr>
        <w:t>analytical capability</w:t>
      </w:r>
      <w:r>
        <w:rPr>
          <w:rFonts w:eastAsia="Times New Roman" w:cstheme="minorHAnsi"/>
        </w:rPr>
        <w:t xml:space="preserve"> and</w:t>
      </w:r>
      <w:r w:rsidRPr="00DA28A7">
        <w:rPr>
          <w:rFonts w:eastAsia="Times New Roman" w:cstheme="minorHAnsi"/>
        </w:rPr>
        <w:t xml:space="preserve"> project management capability</w:t>
      </w:r>
      <w:r>
        <w:rPr>
          <w:rFonts w:eastAsia="Times New Roman" w:cstheme="minorHAnsi"/>
        </w:rPr>
        <w:t xml:space="preserve"> </w:t>
      </w:r>
      <w:r w:rsidRPr="00C513F0">
        <w:rPr>
          <w:rFonts w:eastAsia="Times New Roman" w:cstheme="minorHAnsi"/>
        </w:rPr>
        <w:t>need</w:t>
      </w:r>
      <w:r>
        <w:rPr>
          <w:rFonts w:eastAsia="Times New Roman" w:cstheme="minorHAnsi"/>
        </w:rPr>
        <w:t>ed</w:t>
      </w:r>
      <w:r w:rsidRPr="00C513F0">
        <w:rPr>
          <w:rFonts w:eastAsia="Times New Roman" w:cstheme="minorHAnsi"/>
        </w:rPr>
        <w:t xml:space="preserve"> to maintain and improve services </w:t>
      </w:r>
      <w:r>
        <w:rPr>
          <w:rFonts w:eastAsia="Times New Roman" w:cstheme="minorHAnsi"/>
        </w:rPr>
        <w:t>had been ‘stripped out’.</w:t>
      </w:r>
      <w:r>
        <w:t xml:space="preserve"> </w:t>
      </w:r>
      <w:r w:rsidRPr="0010663D">
        <w:rPr>
          <w:iCs/>
        </w:rPr>
        <w:t>The ‘partnership bandwidth’</w:t>
      </w:r>
      <w:r w:rsidR="00D43EFC">
        <w:rPr>
          <w:iCs/>
        </w:rPr>
        <w:t xml:space="preserve"> for </w:t>
      </w:r>
      <w:r w:rsidRPr="0010663D">
        <w:rPr>
          <w:iCs/>
        </w:rPr>
        <w:t xml:space="preserve">organisations </w:t>
      </w:r>
      <w:r w:rsidR="00D43EFC">
        <w:rPr>
          <w:iCs/>
        </w:rPr>
        <w:t>to</w:t>
      </w:r>
      <w:r w:rsidRPr="0010663D">
        <w:rPr>
          <w:iCs/>
        </w:rPr>
        <w:t xml:space="preserve"> sustain multiple types of partnerships on different front</w:t>
      </w:r>
      <w:r w:rsidR="00D43EFC">
        <w:rPr>
          <w:iCs/>
        </w:rPr>
        <w:t>s simultaneously</w:t>
      </w:r>
      <w:r>
        <w:rPr>
          <w:iCs/>
        </w:rPr>
        <w:t xml:space="preserve"> was brought into question.</w:t>
      </w:r>
    </w:p>
    <w:p w14:paraId="2C0A52BB" w14:textId="77777777" w:rsidR="00AE32F1" w:rsidRDefault="00AE32F1" w:rsidP="00B8392E">
      <w:pPr>
        <w:spacing w:after="0" w:line="360" w:lineRule="auto"/>
        <w:ind w:right="141"/>
        <w:jc w:val="both"/>
      </w:pPr>
    </w:p>
    <w:p w14:paraId="0135E448" w14:textId="77777777" w:rsidR="00B8392E" w:rsidRDefault="00B8392E" w:rsidP="00B8392E">
      <w:pPr>
        <w:spacing w:after="240" w:line="360" w:lineRule="auto"/>
        <w:ind w:left="720" w:right="142"/>
        <w:jc w:val="both"/>
        <w:rPr>
          <w:iCs/>
        </w:rPr>
      </w:pPr>
      <w:r>
        <w:rPr>
          <w:i/>
        </w:rPr>
        <w:t>“</w:t>
      </w:r>
      <w:r w:rsidRPr="000D7103">
        <w:rPr>
          <w:i/>
        </w:rPr>
        <w:t xml:space="preserve">I remember talking to someone from </w:t>
      </w:r>
      <w:r>
        <w:rPr>
          <w:i/>
        </w:rPr>
        <w:t>[Trust]</w:t>
      </w:r>
      <w:r w:rsidRPr="000D7103">
        <w:rPr>
          <w:i/>
        </w:rPr>
        <w:t xml:space="preserve">, actually, so that I think they're, you know, seen as an ICS, that has made particularly good progress. But they spent 18-months building relationships and didn't do anything other than spend time together, talking about the challenges their organisations face, getting to know each other. And they spent 18-months doing that before they even tried to change anything about how they were running as an ICS. And that investment in time in building relationships, building trust, is hugely important. I think the challenge the NHS has got </w:t>
      </w:r>
      <w:r>
        <w:rPr>
          <w:i/>
        </w:rPr>
        <w:t xml:space="preserve">at </w:t>
      </w:r>
      <w:r w:rsidRPr="000D7103">
        <w:rPr>
          <w:i/>
        </w:rPr>
        <w:t>the moment is it hasn't got that luxury. So, you know, they're going to have to do it, like as a mid-air refuel</w:t>
      </w:r>
      <w:r>
        <w:rPr>
          <w:i/>
        </w:rPr>
        <w:t>”</w:t>
      </w:r>
      <w:r w:rsidRPr="000D7103">
        <w:rPr>
          <w:i/>
        </w:rPr>
        <w:t xml:space="preserve"> </w:t>
      </w:r>
      <w:r w:rsidRPr="009C55AF">
        <w:rPr>
          <w:color w:val="000000" w:themeColor="text1"/>
        </w:rPr>
        <w:t>(26; Head of Workforce; Alliance 1).</w:t>
      </w:r>
    </w:p>
    <w:p w14:paraId="0B834F3D" w14:textId="77777777" w:rsidR="00B8392E" w:rsidRPr="00127677" w:rsidRDefault="00B8392E" w:rsidP="00B8392E">
      <w:pPr>
        <w:spacing w:line="360" w:lineRule="auto"/>
        <w:jc w:val="both"/>
      </w:pPr>
      <w:r>
        <w:rPr>
          <w:iCs/>
        </w:rPr>
        <w:t xml:space="preserve">Within current capacity constraints, the development of </w:t>
      </w:r>
      <w:r w:rsidRPr="0010663D">
        <w:rPr>
          <w:iCs/>
        </w:rPr>
        <w:t>ICS relationship</w:t>
      </w:r>
      <w:r>
        <w:rPr>
          <w:iCs/>
        </w:rPr>
        <w:t>s</w:t>
      </w:r>
      <w:r w:rsidRPr="0010663D">
        <w:rPr>
          <w:iCs/>
        </w:rPr>
        <w:t xml:space="preserve"> </w:t>
      </w:r>
      <w:r>
        <w:rPr>
          <w:iCs/>
        </w:rPr>
        <w:t>was raised both as a challenge but also as an opportunity to have system-wide discussions about priority setting and sustainability.</w:t>
      </w:r>
    </w:p>
    <w:p w14:paraId="478389AA" w14:textId="01E12FE2" w:rsidR="00B8392E" w:rsidRDefault="00B8392E" w:rsidP="00B8392E">
      <w:pPr>
        <w:spacing w:line="360" w:lineRule="auto"/>
        <w:ind w:left="720"/>
        <w:jc w:val="both"/>
        <w:rPr>
          <w:i/>
        </w:rPr>
      </w:pPr>
      <w:r>
        <w:rPr>
          <w:i/>
        </w:rPr>
        <w:t>“ …</w:t>
      </w:r>
      <w:r w:rsidRPr="000D7103">
        <w:rPr>
          <w:i/>
        </w:rPr>
        <w:t xml:space="preserve">through </w:t>
      </w:r>
      <w:r w:rsidR="00C41618">
        <w:rPr>
          <w:i/>
        </w:rPr>
        <w:t>Covid</w:t>
      </w:r>
      <w:r w:rsidRPr="000D7103">
        <w:rPr>
          <w:i/>
        </w:rPr>
        <w:t xml:space="preserve">, I think what we found is, a lot of providers have realised that it's just not worth the risk of trying to pretend that you can deliver certain services, if you can't. And actually saying, </w:t>
      </w:r>
      <w:r>
        <w:rPr>
          <w:i/>
        </w:rPr>
        <w:t>‘</w:t>
      </w:r>
      <w:r w:rsidRPr="000D7103">
        <w:rPr>
          <w:i/>
        </w:rPr>
        <w:t>Look, it</w:t>
      </w:r>
      <w:r>
        <w:rPr>
          <w:i/>
        </w:rPr>
        <w:t>’</w:t>
      </w:r>
      <w:r w:rsidRPr="000D7103">
        <w:rPr>
          <w:i/>
        </w:rPr>
        <w:t>s fine. You do, you know, you deliver that because you've got the skills and ability to mobilise it now, we haven't</w:t>
      </w:r>
      <w:r>
        <w:rPr>
          <w:i/>
        </w:rPr>
        <w:t>’</w:t>
      </w:r>
      <w:r w:rsidRPr="000D7103">
        <w:rPr>
          <w:i/>
        </w:rPr>
        <w:t>.</w:t>
      </w:r>
      <w:r>
        <w:rPr>
          <w:i/>
        </w:rPr>
        <w:t xml:space="preserve"> </w:t>
      </w:r>
      <w:r w:rsidRPr="000D7103">
        <w:rPr>
          <w:i/>
        </w:rPr>
        <w:t>Whether they would have done that otherwise, when contracts are at stake</w:t>
      </w:r>
      <w:r>
        <w:rPr>
          <w:i/>
        </w:rPr>
        <w:t>…</w:t>
      </w:r>
      <w:r w:rsidRPr="000D7103">
        <w:rPr>
          <w:i/>
        </w:rPr>
        <w:t xml:space="preserve"> I don't know</w:t>
      </w:r>
      <w:r>
        <w:rPr>
          <w:i/>
        </w:rPr>
        <w:t>”</w:t>
      </w:r>
      <w:r w:rsidRPr="000D7103">
        <w:rPr>
          <w:i/>
        </w:rPr>
        <w:t xml:space="preserve"> </w:t>
      </w:r>
      <w:r w:rsidRPr="009C55AF">
        <w:rPr>
          <w:iCs/>
        </w:rPr>
        <w:t>(</w:t>
      </w:r>
      <w:r w:rsidRPr="009C55AF">
        <w:rPr>
          <w:iCs/>
          <w:color w:val="000000" w:themeColor="text1"/>
        </w:rPr>
        <w:t>02; Director; Hospital Group 1</w:t>
      </w:r>
      <w:r w:rsidRPr="009C55AF">
        <w:rPr>
          <w:iCs/>
        </w:rPr>
        <w:t>)</w:t>
      </w:r>
    </w:p>
    <w:p w14:paraId="1C450E12" w14:textId="3DA631D9" w:rsidR="00B8392E" w:rsidRDefault="00B8392E" w:rsidP="00B8392E">
      <w:pPr>
        <w:spacing w:line="360" w:lineRule="auto"/>
        <w:jc w:val="both"/>
      </w:pPr>
      <w:r w:rsidRPr="00DA28A7">
        <w:t xml:space="preserve">Limits to </w:t>
      </w:r>
      <w:r>
        <w:t>faith and capacity</w:t>
      </w:r>
      <w:r w:rsidRPr="00DA28A7">
        <w:t xml:space="preserve"> </w:t>
      </w:r>
      <w:r>
        <w:t xml:space="preserve">were </w:t>
      </w:r>
      <w:r w:rsidRPr="00DA28A7">
        <w:t xml:space="preserve">encapsulated in Hospital Group 4 experience of the </w:t>
      </w:r>
      <w:r>
        <w:t>V</w:t>
      </w:r>
      <w:r w:rsidRPr="00DA28A7">
        <w:t xml:space="preserve">anguard initiative. </w:t>
      </w:r>
      <w:r>
        <w:t>They developed</w:t>
      </w:r>
      <w:r w:rsidRPr="00DA28A7">
        <w:t xml:space="preserve"> three clinical programmes across an alliance as ‘fully funded, focused and structured’.  </w:t>
      </w:r>
      <w:r w:rsidR="006B4A74">
        <w:t>Yet f</w:t>
      </w:r>
      <w:r w:rsidR="00D43EFC">
        <w:t>ollowing the completion of the Vanguard</w:t>
      </w:r>
      <w:r w:rsidR="006B4A74">
        <w:t>, their</w:t>
      </w:r>
      <w:r w:rsidR="00D43EFC">
        <w:t xml:space="preserve"> funding, </w:t>
      </w:r>
      <w:r w:rsidRPr="00DA28A7">
        <w:t xml:space="preserve">energy and passion to go </w:t>
      </w:r>
      <w:r w:rsidR="006B4A74">
        <w:t>develop</w:t>
      </w:r>
      <w:r w:rsidRPr="00DA28A7">
        <w:t xml:space="preserve"> and co-fund </w:t>
      </w:r>
      <w:r>
        <w:t>initiatives</w:t>
      </w:r>
      <w:r w:rsidR="00D43EFC">
        <w:t xml:space="preserve"> </w:t>
      </w:r>
      <w:r w:rsidR="006B4A74">
        <w:t xml:space="preserve">was </w:t>
      </w:r>
      <w:r w:rsidR="00D43EFC">
        <w:t>lost</w:t>
      </w:r>
      <w:r w:rsidR="00B17872">
        <w:t xml:space="preserve"> as</w:t>
      </w:r>
      <w:r w:rsidR="00D43EFC">
        <w:t xml:space="preserve"> the clarity and impetus</w:t>
      </w:r>
      <w:r>
        <w:t xml:space="preserve"> </w:t>
      </w:r>
      <w:r w:rsidR="00D43EFC">
        <w:t>needed for sustainability</w:t>
      </w:r>
      <w:r w:rsidR="00B17872">
        <w:t xml:space="preserve"> was removed</w:t>
      </w:r>
      <w:r w:rsidR="00D43EFC">
        <w:t>:</w:t>
      </w:r>
      <w:r w:rsidRPr="00DA28A7">
        <w:t xml:space="preserve"> </w:t>
      </w:r>
    </w:p>
    <w:p w14:paraId="20399977" w14:textId="62A37332" w:rsidR="00B8392E" w:rsidRDefault="00B8392E" w:rsidP="00B8392E">
      <w:pPr>
        <w:spacing w:after="160" w:line="360" w:lineRule="auto"/>
        <w:ind w:left="720"/>
        <w:jc w:val="both"/>
        <w:rPr>
          <w:iCs/>
        </w:rPr>
      </w:pPr>
      <w:r>
        <w:rPr>
          <w:i/>
        </w:rPr>
        <w:t>“</w:t>
      </w:r>
      <w:r w:rsidRPr="00CA794D">
        <w:rPr>
          <w:i/>
        </w:rPr>
        <w:t>We kind of had a lot of momentum coming out but I think we didn’t recognise the difficulty that would happen when we no longer had that. And it’s not just the money, it’s also the focus that comes with it, it’s the political cover.  When you don’t have that suddenly people are a lot more cautious, also they’re a lot less focused on it and they think about other things</w:t>
      </w:r>
      <w:r>
        <w:rPr>
          <w:i/>
        </w:rPr>
        <w:t xml:space="preserve">” </w:t>
      </w:r>
      <w:r w:rsidRPr="009C55AF">
        <w:rPr>
          <w:iCs/>
        </w:rPr>
        <w:t>(29; Leader; Hospital Group 4)</w:t>
      </w:r>
    </w:p>
    <w:p w14:paraId="33873A47" w14:textId="77777777" w:rsidR="00D43EFC" w:rsidRDefault="00D43EFC" w:rsidP="00B8392E">
      <w:pPr>
        <w:spacing w:after="160" w:line="360" w:lineRule="auto"/>
        <w:ind w:left="720"/>
        <w:jc w:val="both"/>
      </w:pPr>
    </w:p>
    <w:p w14:paraId="5CC1244C" w14:textId="63563A01" w:rsidR="00B8392E" w:rsidRDefault="008F7009" w:rsidP="00B8392E">
      <w:pPr>
        <w:pStyle w:val="Heading3"/>
        <w:spacing w:after="240"/>
        <w:jc w:val="both"/>
      </w:pPr>
      <w:bookmarkStart w:id="118" w:name="_Toc85066459"/>
      <w:r>
        <w:t>T</w:t>
      </w:r>
      <w:r w:rsidR="00DC6CC9">
        <w:t>a</w:t>
      </w:r>
      <w:r w:rsidR="00B8392E" w:rsidRPr="00DA28A7">
        <w:t>sk complexity</w:t>
      </w:r>
      <w:bookmarkEnd w:id="118"/>
    </w:p>
    <w:p w14:paraId="789A6F0B" w14:textId="7808E1D7" w:rsidR="00B8392E" w:rsidRDefault="00B8392E" w:rsidP="00B8392E">
      <w:pPr>
        <w:spacing w:after="240" w:line="360" w:lineRule="auto"/>
        <w:ind w:right="142"/>
        <w:jc w:val="both"/>
        <w:rPr>
          <w:rFonts w:eastAsia="Times New Roman" w:cstheme="minorHAnsi"/>
        </w:rPr>
      </w:pPr>
      <w:r>
        <w:t>Our interviews identified how instilling f</w:t>
      </w:r>
      <w:r w:rsidRPr="00DA28A7">
        <w:t xml:space="preserve">aith in collaboration was connected to </w:t>
      </w:r>
      <w:r w:rsidR="00D43EFC">
        <w:t xml:space="preserve">the perception of </w:t>
      </w:r>
      <w:r w:rsidRPr="00DA28A7">
        <w:t>task complexity. The scale of the collaboration was raised</w:t>
      </w:r>
      <w:r>
        <w:t>,</w:t>
      </w:r>
      <w:r w:rsidRPr="00DA28A7">
        <w:t xml:space="preserve"> where </w:t>
      </w:r>
      <w:r>
        <w:t xml:space="preserve">increasing </w:t>
      </w:r>
      <w:r w:rsidRPr="00DA28A7">
        <w:t>the number of organisations</w:t>
      </w:r>
      <w:r>
        <w:t xml:space="preserve"> involved</w:t>
      </w:r>
      <w:r w:rsidRPr="00DA28A7">
        <w:t xml:space="preserve"> increased </w:t>
      </w:r>
      <w:r w:rsidR="00DC6CC9">
        <w:t xml:space="preserve">participants’ perception of </w:t>
      </w:r>
      <w:r w:rsidRPr="00DA28A7">
        <w:t>task complexity.</w:t>
      </w:r>
      <w:r w:rsidRPr="00DA28A7">
        <w:rPr>
          <w:iCs/>
        </w:rPr>
        <w:t xml:space="preserve"> </w:t>
      </w:r>
      <w:r>
        <w:rPr>
          <w:rFonts w:eastAsia="Times New Roman" w:cstheme="minorHAnsi"/>
        </w:rPr>
        <w:t xml:space="preserve">Challenges </w:t>
      </w:r>
      <w:r w:rsidR="00D43EFC">
        <w:rPr>
          <w:rFonts w:eastAsia="Times New Roman" w:cstheme="minorHAnsi"/>
        </w:rPr>
        <w:t>were singled out in relation to</w:t>
      </w:r>
      <w:r>
        <w:rPr>
          <w:rFonts w:eastAsia="Times New Roman" w:cstheme="minorHAnsi"/>
        </w:rPr>
        <w:t xml:space="preserve"> </w:t>
      </w:r>
      <w:r w:rsidRPr="00DA28A7">
        <w:rPr>
          <w:rFonts w:eastAsia="Times New Roman" w:cstheme="minorHAnsi"/>
        </w:rPr>
        <w:t>vertical integration</w:t>
      </w:r>
      <w:r w:rsidR="00D43EFC">
        <w:rPr>
          <w:rFonts w:eastAsia="Times New Roman" w:cstheme="minorHAnsi"/>
        </w:rPr>
        <w:t xml:space="preserve"> of </w:t>
      </w:r>
      <w:r w:rsidRPr="00D70CE6">
        <w:rPr>
          <w:rFonts w:eastAsia="Times New Roman" w:cstheme="minorHAnsi"/>
        </w:rPr>
        <w:t xml:space="preserve">functions along </w:t>
      </w:r>
      <w:r w:rsidR="00D43EFC">
        <w:rPr>
          <w:rFonts w:eastAsia="Times New Roman" w:cstheme="minorHAnsi"/>
        </w:rPr>
        <w:t>a</w:t>
      </w:r>
      <w:r w:rsidRPr="00D70CE6">
        <w:rPr>
          <w:rFonts w:eastAsia="Times New Roman" w:cstheme="minorHAnsi"/>
        </w:rPr>
        <w:t xml:space="preserve"> care continuum</w:t>
      </w:r>
      <w:r>
        <w:rPr>
          <w:rFonts w:eastAsia="Times New Roman" w:cstheme="minorHAnsi"/>
        </w:rPr>
        <w:t xml:space="preserve">, where collaborations </w:t>
      </w:r>
      <w:r w:rsidR="00D43EFC">
        <w:rPr>
          <w:rFonts w:eastAsia="Times New Roman" w:cstheme="minorHAnsi"/>
        </w:rPr>
        <w:t>involving</w:t>
      </w:r>
      <w:r>
        <w:rPr>
          <w:rFonts w:eastAsia="Times New Roman" w:cstheme="minorHAnsi"/>
        </w:rPr>
        <w:t xml:space="preserve"> </w:t>
      </w:r>
      <w:r w:rsidR="00D43EFC">
        <w:rPr>
          <w:rFonts w:eastAsia="Times New Roman" w:cstheme="minorHAnsi"/>
        </w:rPr>
        <w:t>the relinquishment of</w:t>
      </w:r>
      <w:r>
        <w:rPr>
          <w:rFonts w:eastAsia="Times New Roman" w:cstheme="minorHAnsi"/>
        </w:rPr>
        <w:t xml:space="preserve"> s</w:t>
      </w:r>
      <w:r w:rsidRPr="003C26E2">
        <w:rPr>
          <w:rFonts w:eastAsia="Times New Roman" w:cstheme="minorHAnsi"/>
        </w:rPr>
        <w:t xml:space="preserve">pecialist services </w:t>
      </w:r>
      <w:r>
        <w:rPr>
          <w:rFonts w:eastAsia="Times New Roman" w:cstheme="minorHAnsi"/>
        </w:rPr>
        <w:t>were susceptible to being a ‘</w:t>
      </w:r>
      <w:r w:rsidRPr="003C26E2">
        <w:rPr>
          <w:rFonts w:eastAsia="Times New Roman" w:cstheme="minorHAnsi"/>
        </w:rPr>
        <w:t xml:space="preserve">battleground for money or kudos’. </w:t>
      </w:r>
    </w:p>
    <w:p w14:paraId="57A2E75D" w14:textId="3A0D03D1" w:rsidR="00B8392E" w:rsidRDefault="00B8392E" w:rsidP="00B8392E">
      <w:pPr>
        <w:spacing w:after="0" w:line="360" w:lineRule="auto"/>
        <w:ind w:left="720" w:right="141"/>
        <w:jc w:val="both"/>
        <w:rPr>
          <w:rFonts w:eastAsia="Times New Roman" w:cstheme="minorHAnsi"/>
          <w:iCs/>
        </w:rPr>
      </w:pPr>
      <w:r>
        <w:rPr>
          <w:rFonts w:eastAsia="Times New Roman" w:cstheme="minorHAnsi"/>
          <w:i/>
        </w:rPr>
        <w:t>“</w:t>
      </w:r>
      <w:r w:rsidRPr="000D7103">
        <w:rPr>
          <w:rFonts w:eastAsia="Times New Roman" w:cstheme="minorHAnsi"/>
          <w:i/>
        </w:rPr>
        <w:t>I sometimes wonder if some of the kind of vertical integration and cross sector integration has been a bit more challenged because the challenges aren’t always the same or the incentives aren’t always the same and the finance works differently, the contracts are different and I think, you know, where trust</w:t>
      </w:r>
      <w:r>
        <w:rPr>
          <w:rFonts w:eastAsia="Times New Roman" w:cstheme="minorHAnsi"/>
          <w:i/>
        </w:rPr>
        <w:t>s</w:t>
      </w:r>
      <w:r w:rsidRPr="000D7103">
        <w:rPr>
          <w:rFonts w:eastAsia="Times New Roman" w:cstheme="minorHAnsi"/>
          <w:i/>
        </w:rPr>
        <w:t xml:space="preserve"> can kind of come together in a slightly more streamlined kind of way sometimes so reflecting on that workforce piece I think there’s quite a range of different initiatives that we covered but a lot of them are trust to trust</w:t>
      </w:r>
      <w:r>
        <w:rPr>
          <w:rFonts w:eastAsia="Times New Roman" w:cstheme="minorHAnsi"/>
          <w:i/>
        </w:rPr>
        <w:t>”</w:t>
      </w:r>
      <w:r w:rsidRPr="000D7103">
        <w:rPr>
          <w:rFonts w:eastAsia="Times New Roman" w:cstheme="minorHAnsi"/>
          <w:i/>
        </w:rPr>
        <w:t xml:space="preserve"> </w:t>
      </w:r>
      <w:r w:rsidR="00AE32F1">
        <w:rPr>
          <w:rFonts w:eastAsia="Times New Roman" w:cstheme="minorHAnsi"/>
          <w:iCs/>
        </w:rPr>
        <w:t>(6b; Provider Association</w:t>
      </w:r>
      <w:r w:rsidRPr="009C55AF">
        <w:rPr>
          <w:rFonts w:eastAsia="Times New Roman" w:cstheme="minorHAnsi"/>
          <w:iCs/>
        </w:rPr>
        <w:t>)</w:t>
      </w:r>
      <w:r>
        <w:rPr>
          <w:rFonts w:eastAsia="Times New Roman" w:cstheme="minorHAnsi"/>
          <w:iCs/>
        </w:rPr>
        <w:t>.</w:t>
      </w:r>
    </w:p>
    <w:p w14:paraId="1F92CA0E" w14:textId="6C998C1B" w:rsidR="00B8392E" w:rsidRDefault="00B8392E" w:rsidP="00557CB5">
      <w:pPr>
        <w:spacing w:after="0" w:line="360" w:lineRule="auto"/>
        <w:ind w:right="141"/>
        <w:jc w:val="both"/>
        <w:rPr>
          <w:rFonts w:eastAsia="Times New Roman" w:cstheme="minorHAnsi"/>
          <w:iCs/>
        </w:rPr>
      </w:pPr>
    </w:p>
    <w:p w14:paraId="5FF3AB07" w14:textId="1DBE8525" w:rsidR="00557CB5" w:rsidRDefault="00557CB5" w:rsidP="00557CB5">
      <w:pPr>
        <w:spacing w:after="240" w:line="360" w:lineRule="auto"/>
        <w:ind w:right="142"/>
        <w:jc w:val="both"/>
        <w:rPr>
          <w:rFonts w:eastAsia="Times New Roman" w:cstheme="minorHAnsi"/>
        </w:rPr>
      </w:pPr>
      <w:r>
        <w:rPr>
          <w:rFonts w:eastAsia="Times New Roman" w:cstheme="minorHAnsi"/>
        </w:rPr>
        <w:t xml:space="preserve">Horizontal collaboration was facilitated </w:t>
      </w:r>
      <w:r w:rsidRPr="003C26E2">
        <w:rPr>
          <w:rFonts w:eastAsia="Times New Roman" w:cstheme="minorHAnsi"/>
        </w:rPr>
        <w:t>when collaborations were located wit</w:t>
      </w:r>
      <w:r>
        <w:rPr>
          <w:rFonts w:eastAsia="Times New Roman" w:cstheme="minorHAnsi"/>
        </w:rPr>
        <w:t>hin coterminous boundaries (16).</w:t>
      </w:r>
      <w:r w:rsidRPr="00557CB5">
        <w:t xml:space="preserve"> </w:t>
      </w:r>
      <w:r w:rsidRPr="00557CB5">
        <w:rPr>
          <w:rFonts w:eastAsia="Times New Roman" w:cstheme="minorHAnsi"/>
        </w:rPr>
        <w:t>Such context</w:t>
      </w:r>
      <w:r>
        <w:rPr>
          <w:rFonts w:eastAsia="Times New Roman" w:cstheme="minorHAnsi"/>
        </w:rPr>
        <w:t>s</w:t>
      </w:r>
      <w:r w:rsidRPr="00557CB5">
        <w:rPr>
          <w:rFonts w:eastAsia="Times New Roman" w:cstheme="minorHAnsi"/>
        </w:rPr>
        <w:t xml:space="preserve"> pr</w:t>
      </w:r>
      <w:r>
        <w:rPr>
          <w:rFonts w:eastAsia="Times New Roman" w:cstheme="minorHAnsi"/>
        </w:rPr>
        <w:t>oved problematic for Alliance 1 where c</w:t>
      </w:r>
      <w:r w:rsidRPr="00557CB5">
        <w:rPr>
          <w:rFonts w:eastAsia="Times New Roman" w:cstheme="minorHAnsi"/>
        </w:rPr>
        <w:t xml:space="preserve">hallenges were </w:t>
      </w:r>
      <w:r>
        <w:rPr>
          <w:rFonts w:eastAsia="Times New Roman" w:cstheme="minorHAnsi"/>
        </w:rPr>
        <w:t>raised in connection with</w:t>
      </w:r>
      <w:r w:rsidRPr="00557CB5">
        <w:rPr>
          <w:rFonts w:eastAsia="Times New Roman" w:cstheme="minorHAnsi"/>
        </w:rPr>
        <w:t xml:space="preserve"> working across multiple local government and political constituency boundaries. </w:t>
      </w:r>
    </w:p>
    <w:p w14:paraId="59A0E2EA" w14:textId="77777777" w:rsidR="00557CB5" w:rsidRPr="002057B6" w:rsidRDefault="00557CB5" w:rsidP="00557CB5">
      <w:pPr>
        <w:spacing w:after="0" w:line="360" w:lineRule="auto"/>
        <w:ind w:right="141"/>
        <w:jc w:val="both"/>
        <w:rPr>
          <w:rFonts w:eastAsia="Times New Roman" w:cstheme="minorHAnsi"/>
          <w:iCs/>
        </w:rPr>
      </w:pPr>
    </w:p>
    <w:p w14:paraId="5D5E4ACF" w14:textId="77777777" w:rsidR="00B8392E" w:rsidRPr="00DA28A7" w:rsidRDefault="00B8392E" w:rsidP="00B8392E">
      <w:pPr>
        <w:spacing w:after="240" w:line="360" w:lineRule="auto"/>
        <w:ind w:left="720" w:right="142"/>
        <w:jc w:val="both"/>
        <w:rPr>
          <w:rFonts w:eastAsia="Times New Roman" w:cstheme="minorHAnsi"/>
        </w:rPr>
      </w:pPr>
      <w:r>
        <w:rPr>
          <w:rFonts w:eastAsia="Times New Roman" w:cstheme="minorHAnsi"/>
          <w:i/>
        </w:rPr>
        <w:t xml:space="preserve">“… </w:t>
      </w:r>
      <w:r w:rsidRPr="003C26E2">
        <w:rPr>
          <w:rFonts w:eastAsia="Times New Roman" w:cstheme="minorHAnsi"/>
          <w:i/>
        </w:rPr>
        <w:t xml:space="preserve">the politics locally have been incredibly difficult, incredibly difficult, because the local politicians were adamant that </w:t>
      </w:r>
      <w:r>
        <w:rPr>
          <w:rFonts w:eastAsia="Times New Roman" w:cstheme="minorHAnsi"/>
          <w:i/>
        </w:rPr>
        <w:t>x</w:t>
      </w:r>
      <w:r w:rsidRPr="003C26E2">
        <w:rPr>
          <w:rFonts w:eastAsia="Times New Roman" w:cstheme="minorHAnsi"/>
          <w:i/>
        </w:rPr>
        <w:t xml:space="preserve"> was to go into </w:t>
      </w:r>
      <w:r>
        <w:rPr>
          <w:rFonts w:eastAsia="Times New Roman" w:cstheme="minorHAnsi"/>
          <w:i/>
        </w:rPr>
        <w:t>x</w:t>
      </w:r>
      <w:r w:rsidRPr="003C26E2">
        <w:rPr>
          <w:rFonts w:eastAsia="Times New Roman" w:cstheme="minorHAnsi"/>
          <w:i/>
        </w:rPr>
        <w:t xml:space="preserve">, and not </w:t>
      </w:r>
      <w:r>
        <w:rPr>
          <w:rFonts w:eastAsia="Times New Roman" w:cstheme="minorHAnsi"/>
          <w:i/>
        </w:rPr>
        <w:t>x</w:t>
      </w:r>
      <w:r w:rsidRPr="003C26E2">
        <w:rPr>
          <w:rFonts w:eastAsia="Times New Roman" w:cstheme="minorHAnsi"/>
          <w:i/>
        </w:rPr>
        <w:t>. And that’s why it’s become so complex, that we’re disaggregating, we’re not just acquiring an organisation, we’re disaggregating it whilst acquiring it.</w:t>
      </w:r>
      <w:r>
        <w:rPr>
          <w:rFonts w:eastAsia="Times New Roman" w:cstheme="minorHAnsi"/>
          <w:i/>
        </w:rPr>
        <w:t>”</w:t>
      </w:r>
      <w:r w:rsidRPr="003C26E2">
        <w:rPr>
          <w:rFonts w:eastAsia="Times New Roman" w:cstheme="minorHAnsi"/>
          <w:i/>
        </w:rPr>
        <w:t xml:space="preserve"> </w:t>
      </w:r>
      <w:r w:rsidRPr="008A6558">
        <w:rPr>
          <w:color w:val="000000" w:themeColor="text1"/>
        </w:rPr>
        <w:t>(10; Exec nurse; Alliance 1)</w:t>
      </w:r>
      <w:r>
        <w:rPr>
          <w:color w:val="000000" w:themeColor="text1"/>
        </w:rPr>
        <w:t>.</w:t>
      </w:r>
    </w:p>
    <w:p w14:paraId="0568CB3B" w14:textId="07CCE414" w:rsidR="00B8392E" w:rsidRDefault="00B8392E" w:rsidP="00B8392E">
      <w:pPr>
        <w:spacing w:after="0" w:line="360" w:lineRule="auto"/>
        <w:ind w:right="141"/>
        <w:jc w:val="both"/>
        <w:rPr>
          <w:rFonts w:eastAsia="Times New Roman" w:cstheme="minorHAnsi"/>
        </w:rPr>
      </w:pPr>
      <w:r w:rsidRPr="00DA28A7">
        <w:rPr>
          <w:rFonts w:eastAsia="Times New Roman" w:cstheme="minorHAnsi"/>
        </w:rPr>
        <w:t xml:space="preserve">ICS </w:t>
      </w:r>
      <w:r>
        <w:rPr>
          <w:rFonts w:eastAsia="Times New Roman" w:cstheme="minorHAnsi"/>
        </w:rPr>
        <w:t xml:space="preserve">success was attributed to </w:t>
      </w:r>
      <w:r w:rsidRPr="00DA28A7">
        <w:rPr>
          <w:rFonts w:eastAsia="Times New Roman" w:cstheme="minorHAnsi"/>
        </w:rPr>
        <w:t>the</w:t>
      </w:r>
      <w:r>
        <w:rPr>
          <w:rFonts w:eastAsia="Times New Roman" w:cstheme="minorHAnsi"/>
        </w:rPr>
        <w:t>ir</w:t>
      </w:r>
      <w:r w:rsidRPr="00DA28A7">
        <w:rPr>
          <w:rFonts w:eastAsia="Times New Roman" w:cstheme="minorHAnsi"/>
        </w:rPr>
        <w:t xml:space="preserve"> maturity </w:t>
      </w:r>
      <w:r>
        <w:rPr>
          <w:rFonts w:eastAsia="Times New Roman" w:cstheme="minorHAnsi"/>
        </w:rPr>
        <w:t xml:space="preserve">in terms of </w:t>
      </w:r>
      <w:r w:rsidRPr="00DA28A7">
        <w:rPr>
          <w:rFonts w:eastAsia="Times New Roman" w:cstheme="minorHAnsi"/>
        </w:rPr>
        <w:t>how far such contexts had progressed with vertical integration</w:t>
      </w:r>
      <w:r>
        <w:rPr>
          <w:rFonts w:eastAsia="Times New Roman" w:cstheme="minorHAnsi"/>
        </w:rPr>
        <w:t xml:space="preserve">. Where </w:t>
      </w:r>
      <w:r w:rsidRPr="00DA28A7">
        <w:rPr>
          <w:rFonts w:eastAsia="Times New Roman" w:cstheme="minorHAnsi"/>
        </w:rPr>
        <w:t>Alliance 1 cited continuing conflicts working within the ICS landscape where those with “</w:t>
      </w:r>
      <w:r w:rsidRPr="009C55AF">
        <w:rPr>
          <w:rFonts w:eastAsia="Times New Roman" w:cstheme="minorHAnsi"/>
          <w:i/>
          <w:iCs/>
        </w:rPr>
        <w:t>the greatest powerbase</w:t>
      </w:r>
      <w:r w:rsidRPr="00DA28A7">
        <w:rPr>
          <w:rFonts w:eastAsia="Times New Roman" w:cstheme="minorHAnsi"/>
        </w:rPr>
        <w:t>” continued to prevail (10)</w:t>
      </w:r>
      <w:r>
        <w:rPr>
          <w:rFonts w:eastAsia="Times New Roman" w:cstheme="minorHAnsi"/>
        </w:rPr>
        <w:t>, power dynamics were also connected to the formation of ICSs where the depleted resources of primary care, local government, and social care</w:t>
      </w:r>
      <w:r w:rsidRPr="00E50764">
        <w:rPr>
          <w:rFonts w:eastAsia="Times New Roman" w:cstheme="minorHAnsi"/>
        </w:rPr>
        <w:t xml:space="preserve"> </w:t>
      </w:r>
      <w:r>
        <w:rPr>
          <w:rFonts w:eastAsia="Times New Roman" w:cstheme="minorHAnsi"/>
        </w:rPr>
        <w:t>meant a greater</w:t>
      </w:r>
      <w:r w:rsidRPr="00E50764">
        <w:rPr>
          <w:rFonts w:eastAsia="Times New Roman" w:cstheme="minorHAnsi"/>
        </w:rPr>
        <w:t xml:space="preserve"> need</w:t>
      </w:r>
      <w:r>
        <w:rPr>
          <w:rFonts w:eastAsia="Times New Roman" w:cstheme="minorHAnsi"/>
        </w:rPr>
        <w:t xml:space="preserve"> for</w:t>
      </w:r>
      <w:r w:rsidRPr="00E50764">
        <w:rPr>
          <w:rFonts w:eastAsia="Times New Roman" w:cstheme="minorHAnsi"/>
        </w:rPr>
        <w:t xml:space="preserve"> acute sector experience</w:t>
      </w:r>
      <w:r w:rsidR="00557CB5">
        <w:rPr>
          <w:rFonts w:eastAsia="Times New Roman" w:cstheme="minorHAnsi"/>
        </w:rPr>
        <w:t xml:space="preserve"> was required</w:t>
      </w:r>
      <w:r w:rsidRPr="00E50764">
        <w:rPr>
          <w:rFonts w:eastAsia="Times New Roman" w:cstheme="minorHAnsi"/>
        </w:rPr>
        <w:t>.</w:t>
      </w:r>
    </w:p>
    <w:p w14:paraId="5A568731" w14:textId="77777777" w:rsidR="00DC6CC9" w:rsidRDefault="00DC6CC9" w:rsidP="00B8392E">
      <w:pPr>
        <w:spacing w:after="0" w:line="360" w:lineRule="auto"/>
        <w:ind w:right="141"/>
        <w:jc w:val="both"/>
        <w:rPr>
          <w:rFonts w:eastAsia="Times New Roman" w:cstheme="minorHAnsi"/>
          <w:i/>
        </w:rPr>
      </w:pPr>
    </w:p>
    <w:p w14:paraId="3976C0DB" w14:textId="3D862E87" w:rsidR="00B8392E" w:rsidRDefault="00B8392E" w:rsidP="00DC6CC9">
      <w:pPr>
        <w:spacing w:after="0" w:line="360" w:lineRule="auto"/>
        <w:ind w:left="720" w:right="141"/>
        <w:jc w:val="both"/>
        <w:rPr>
          <w:rFonts w:eastAsia="Times New Roman" w:cstheme="minorHAnsi"/>
          <w:iCs/>
        </w:rPr>
      </w:pPr>
      <w:r>
        <w:rPr>
          <w:rFonts w:eastAsia="Times New Roman" w:cstheme="minorHAnsi"/>
          <w:i/>
        </w:rPr>
        <w:t>“</w:t>
      </w:r>
      <w:r w:rsidRPr="000D7103">
        <w:rPr>
          <w:rFonts w:eastAsia="Times New Roman" w:cstheme="minorHAnsi"/>
          <w:i/>
        </w:rPr>
        <w:t>So a lot of the capability to make the change happen to make the ICS successful, I think, sits in the acutes because they're very good at mobilising things. Very good at making savings in efficiencies and have those hierarchies in infrastructure in that they can almost just ignore some elements, because it will happen by default, and should be putting energy into other things</w:t>
      </w:r>
      <w:r>
        <w:rPr>
          <w:rFonts w:eastAsia="Times New Roman" w:cstheme="minorHAnsi"/>
          <w:i/>
        </w:rPr>
        <w:t xml:space="preserve">” </w:t>
      </w:r>
      <w:r w:rsidRPr="009C55AF">
        <w:rPr>
          <w:rFonts w:eastAsia="Times New Roman" w:cstheme="minorHAnsi"/>
          <w:iCs/>
        </w:rPr>
        <w:t>(</w:t>
      </w:r>
      <w:r w:rsidRPr="009C55AF">
        <w:rPr>
          <w:iCs/>
          <w:color w:val="000000" w:themeColor="text1"/>
        </w:rPr>
        <w:t>02; Director; Hospital Group 1</w:t>
      </w:r>
      <w:r w:rsidRPr="009C55AF">
        <w:rPr>
          <w:rFonts w:eastAsia="Times New Roman" w:cstheme="minorHAnsi"/>
          <w:iCs/>
        </w:rPr>
        <w:t>)</w:t>
      </w:r>
    </w:p>
    <w:p w14:paraId="5FB3CE2D" w14:textId="77777777" w:rsidR="00DC6CC9" w:rsidRPr="00DC6CC9" w:rsidRDefault="00DC6CC9" w:rsidP="00DC6CC9">
      <w:pPr>
        <w:spacing w:after="0" w:line="360" w:lineRule="auto"/>
        <w:ind w:left="720" w:right="141"/>
        <w:jc w:val="both"/>
        <w:rPr>
          <w:rFonts w:eastAsia="Times New Roman" w:cstheme="minorHAnsi"/>
        </w:rPr>
      </w:pPr>
    </w:p>
    <w:p w14:paraId="1BD16C60" w14:textId="2165FFB5" w:rsidR="00B8392E" w:rsidRDefault="00B8392E" w:rsidP="00B8392E">
      <w:pPr>
        <w:spacing w:line="360" w:lineRule="auto"/>
        <w:jc w:val="both"/>
      </w:pPr>
      <w:r w:rsidRPr="00DA28A7">
        <w:t xml:space="preserve">Getting the ‘right geographical footprint’ to meet the population size </w:t>
      </w:r>
      <w:r>
        <w:t>featured as</w:t>
      </w:r>
      <w:r w:rsidRPr="00DA28A7">
        <w:t xml:space="preserve"> an enduring issue </w:t>
      </w:r>
      <w:r>
        <w:t>across the interviews</w:t>
      </w:r>
      <w:r w:rsidRPr="00DA28A7">
        <w:t>. Collaborations considered over a larger footprint were both supported in gaining a more strategic focus in relation to population health, however</w:t>
      </w:r>
      <w:r>
        <w:t>,</w:t>
      </w:r>
      <w:r w:rsidRPr="00DA28A7">
        <w:t xml:space="preserve"> these were also limited in </w:t>
      </w:r>
      <w:r>
        <w:t>the</w:t>
      </w:r>
      <w:r w:rsidRPr="00DA28A7">
        <w:t xml:space="preserve"> ability to build faith and trust in collaborative endeavours. </w:t>
      </w:r>
      <w:r w:rsidRPr="00494194">
        <w:rPr>
          <w:rFonts w:eastAsia="Times New Roman" w:cstheme="minorHAnsi"/>
        </w:rPr>
        <w:t>The nature of local population characteristics would also influence efforts where having a smaller population, or a more affluent and well-educated sociodemographic could lower task complexity in terms of issues the</w:t>
      </w:r>
      <w:r w:rsidR="00557CB5">
        <w:rPr>
          <w:rFonts w:eastAsia="Times New Roman" w:cstheme="minorHAnsi"/>
        </w:rPr>
        <w:t xml:space="preserve"> collaboration needed</w:t>
      </w:r>
      <w:r w:rsidRPr="00494194">
        <w:rPr>
          <w:rFonts w:eastAsia="Times New Roman" w:cstheme="minorHAnsi"/>
        </w:rPr>
        <w:t xml:space="preserve"> to tackle.</w:t>
      </w:r>
      <w:r w:rsidRPr="00D70CE6">
        <w:t xml:space="preserve"> </w:t>
      </w:r>
      <w:r w:rsidR="00557CB5">
        <w:t>Conversely, having a l</w:t>
      </w:r>
      <w:r w:rsidRPr="00DA28A7">
        <w:t xml:space="preserve">arger geographical distance </w:t>
      </w:r>
      <w:r>
        <w:t>between providers had the potential</w:t>
      </w:r>
      <w:r w:rsidRPr="00DA28A7">
        <w:t xml:space="preserve"> </w:t>
      </w:r>
      <w:r>
        <w:t xml:space="preserve">to increase complexity and </w:t>
      </w:r>
      <w:r w:rsidRPr="00DA28A7">
        <w:t>make it harder to build trust, due to difficulties in forming personal relationships.</w:t>
      </w:r>
    </w:p>
    <w:p w14:paraId="610F7F4B" w14:textId="77777777" w:rsidR="00557CB5" w:rsidRPr="00DA28A7" w:rsidRDefault="00557CB5" w:rsidP="00B8392E">
      <w:pPr>
        <w:spacing w:line="360" w:lineRule="auto"/>
        <w:jc w:val="both"/>
      </w:pPr>
    </w:p>
    <w:p w14:paraId="4C37580B" w14:textId="5CCAAD44" w:rsidR="00B8392E" w:rsidRPr="00DA28A7" w:rsidRDefault="007A224C" w:rsidP="00B8392E">
      <w:pPr>
        <w:pStyle w:val="Heading3"/>
        <w:spacing w:after="240"/>
        <w:jc w:val="both"/>
        <w:rPr>
          <w:i/>
        </w:rPr>
      </w:pPr>
      <w:bookmarkStart w:id="119" w:name="_Toc85066460"/>
      <w:r>
        <w:t>Legitimacy</w:t>
      </w:r>
      <w:bookmarkEnd w:id="119"/>
      <w:r w:rsidR="00B8392E" w:rsidRPr="00DA28A7">
        <w:t xml:space="preserve"> </w:t>
      </w:r>
    </w:p>
    <w:p w14:paraId="02398E8B" w14:textId="3747F042" w:rsidR="00B8392E" w:rsidRDefault="00557CB5" w:rsidP="00B8392E">
      <w:pPr>
        <w:spacing w:line="360" w:lineRule="auto"/>
        <w:jc w:val="both"/>
      </w:pPr>
      <w:r>
        <w:t>Connections</w:t>
      </w:r>
      <w:r w:rsidR="00B8392E">
        <w:t xml:space="preserve"> between faith and the legitimacy of collaboration were made by a number of interviewees. </w:t>
      </w:r>
      <w:r w:rsidR="00B8392E" w:rsidRPr="00DA28A7">
        <w:t xml:space="preserve">The perceived legitimacy of </w:t>
      </w:r>
      <w:r w:rsidR="00B02776">
        <w:t>a</w:t>
      </w:r>
      <w:r w:rsidR="00B8392E" w:rsidRPr="00DA28A7">
        <w:t xml:space="preserve"> collaboration was connected to different types of partnership</w:t>
      </w:r>
      <w:r w:rsidR="00B8392E">
        <w:t xml:space="preserve"> working</w:t>
      </w:r>
      <w:r w:rsidR="00B8392E" w:rsidRPr="00DA28A7">
        <w:t xml:space="preserve">. The drive for a ‘system wide’ agenda </w:t>
      </w:r>
      <w:r w:rsidR="00B8392E">
        <w:t xml:space="preserve">underpinned by ICSs </w:t>
      </w:r>
      <w:r w:rsidR="00B8392E" w:rsidRPr="00DA28A7">
        <w:t xml:space="preserve">was </w:t>
      </w:r>
      <w:r w:rsidR="00B8392E">
        <w:t>supported in</w:t>
      </w:r>
      <w:r w:rsidR="00B8392E" w:rsidRPr="00DA28A7">
        <w:t xml:space="preserve"> recognition that collaboration required a more strategic focus to improve population health, </w:t>
      </w:r>
      <w:r w:rsidR="00B02776">
        <w:t xml:space="preserve">and </w:t>
      </w:r>
      <w:r w:rsidR="00B8392E" w:rsidRPr="00DA28A7">
        <w:t>sustainab</w:t>
      </w:r>
      <w:r w:rsidR="00B02776">
        <w:t>le services</w:t>
      </w:r>
      <w:r w:rsidR="00B8392E" w:rsidRPr="00DA28A7">
        <w:t xml:space="preserve">. </w:t>
      </w:r>
      <w:r w:rsidR="00B8392E">
        <w:t xml:space="preserve">The </w:t>
      </w:r>
      <w:r w:rsidR="00B8392E" w:rsidRPr="00DA28A7">
        <w:t xml:space="preserve">ICS agenda </w:t>
      </w:r>
      <w:r w:rsidR="00B8392E">
        <w:t>provided a</w:t>
      </w:r>
      <w:r w:rsidR="00B8392E" w:rsidRPr="00DA28A7">
        <w:t xml:space="preserve"> vehicle for achieving such endeavours. </w:t>
      </w:r>
    </w:p>
    <w:p w14:paraId="751E173A" w14:textId="3178D3B1" w:rsidR="00B8392E" w:rsidRDefault="00B8392E" w:rsidP="00B8392E">
      <w:pPr>
        <w:spacing w:line="360" w:lineRule="auto"/>
        <w:ind w:left="720"/>
        <w:jc w:val="both"/>
      </w:pPr>
      <w:r>
        <w:rPr>
          <w:i/>
        </w:rPr>
        <w:t xml:space="preserve">“… </w:t>
      </w:r>
      <w:r w:rsidRPr="000D7103">
        <w:rPr>
          <w:i/>
        </w:rPr>
        <w:t>we’ve had quite a bit of feedback around the kind of helpful role that an ICS could play in facilitating or convening partners rather than kind of seeking to be a unit of delivery</w:t>
      </w:r>
      <w:r>
        <w:rPr>
          <w:i/>
        </w:rPr>
        <w:t>”</w:t>
      </w:r>
      <w:r w:rsidRPr="0019457A">
        <w:t xml:space="preserve"> (6</w:t>
      </w:r>
      <w:r>
        <w:t xml:space="preserve">; </w:t>
      </w:r>
      <w:r w:rsidR="00AE32F1">
        <w:rPr>
          <w:rFonts w:eastAsia="Times New Roman" w:cstheme="minorHAnsi"/>
          <w:iCs/>
        </w:rPr>
        <w:t>Provider Association)</w:t>
      </w:r>
    </w:p>
    <w:p w14:paraId="1E6DF6C6" w14:textId="3F5026BC" w:rsidR="00B8392E" w:rsidRDefault="00B8392E" w:rsidP="00B8392E">
      <w:pPr>
        <w:spacing w:line="360" w:lineRule="auto"/>
        <w:jc w:val="both"/>
      </w:pPr>
      <w:r w:rsidRPr="00DA28A7">
        <w:t xml:space="preserve">Although still emerging across health economies, concerns </w:t>
      </w:r>
      <w:r>
        <w:t>were</w:t>
      </w:r>
      <w:r w:rsidR="00B17872">
        <w:t xml:space="preserve"> also</w:t>
      </w:r>
      <w:r>
        <w:t xml:space="preserve"> </w:t>
      </w:r>
      <w:r w:rsidRPr="00DA28A7">
        <w:t xml:space="preserve">raised about the legitimacy of the ICS agenda in draining energy and momentum out of other collaborative activities. </w:t>
      </w:r>
      <w:r>
        <w:t>The</w:t>
      </w:r>
      <w:r w:rsidRPr="00DA28A7">
        <w:t xml:space="preserve"> mandating </w:t>
      </w:r>
      <w:r>
        <w:t>of ICS structures had the potential to stifle</w:t>
      </w:r>
      <w:r w:rsidRPr="00DA28A7">
        <w:t xml:space="preserve"> </w:t>
      </w:r>
      <w:r>
        <w:t>existing</w:t>
      </w:r>
      <w:r w:rsidRPr="00DA28A7">
        <w:t xml:space="preserve"> </w:t>
      </w:r>
      <w:r w:rsidR="00B02776">
        <w:t>efforts</w:t>
      </w:r>
      <w:r>
        <w:t>.</w:t>
      </w:r>
    </w:p>
    <w:p w14:paraId="7BA0C74B" w14:textId="77777777" w:rsidR="00B8392E" w:rsidRDefault="00B8392E" w:rsidP="00B8392E">
      <w:pPr>
        <w:spacing w:line="360" w:lineRule="auto"/>
        <w:ind w:left="720"/>
        <w:jc w:val="both"/>
        <w:rPr>
          <w:i/>
        </w:rPr>
      </w:pPr>
      <w:r>
        <w:rPr>
          <w:i/>
        </w:rPr>
        <w:t xml:space="preserve">“… </w:t>
      </w:r>
      <w:r w:rsidRPr="008650B3">
        <w:rPr>
          <w:i/>
        </w:rPr>
        <w:t>you spend so much time developing something and then halfway through ICSs come in and you’re kind of cut off at the knees</w:t>
      </w:r>
      <w:r>
        <w:rPr>
          <w:i/>
        </w:rPr>
        <w:t xml:space="preserve">” </w:t>
      </w:r>
      <w:r w:rsidRPr="008650B3">
        <w:rPr>
          <w:i/>
        </w:rPr>
        <w:t>(29</w:t>
      </w:r>
      <w:r>
        <w:rPr>
          <w:i/>
        </w:rPr>
        <w:t>; Leader; Hospital Group 4</w:t>
      </w:r>
      <w:r w:rsidRPr="008650B3">
        <w:rPr>
          <w:i/>
        </w:rPr>
        <w:t>)</w:t>
      </w:r>
    </w:p>
    <w:p w14:paraId="620A7F61" w14:textId="33B70B7B" w:rsidR="00B8392E" w:rsidRDefault="00B8392E" w:rsidP="00B8392E">
      <w:pPr>
        <w:spacing w:line="360" w:lineRule="auto"/>
        <w:ind w:left="720"/>
        <w:jc w:val="both"/>
      </w:pPr>
      <w:r>
        <w:rPr>
          <w:i/>
        </w:rPr>
        <w:t>“</w:t>
      </w:r>
      <w:r w:rsidRPr="00832F5B">
        <w:rPr>
          <w:i/>
        </w:rPr>
        <w:t>it’s almost like the bit about working in a system that we need to do but we don’t want to squash those that have gone first</w:t>
      </w:r>
      <w:r>
        <w:rPr>
          <w:i/>
        </w:rPr>
        <w:t xml:space="preserve">… </w:t>
      </w:r>
      <w:r w:rsidRPr="00832F5B">
        <w:rPr>
          <w:i/>
        </w:rPr>
        <w:t>we just want to help them along that way and get them to sort of get to local agreement</w:t>
      </w:r>
      <w:r>
        <w:rPr>
          <w:i/>
        </w:rPr>
        <w:t>”</w:t>
      </w:r>
      <w:r w:rsidRPr="00832F5B">
        <w:rPr>
          <w:i/>
        </w:rPr>
        <w:t xml:space="preserve"> (</w:t>
      </w:r>
      <w:r>
        <w:rPr>
          <w:i/>
        </w:rPr>
        <w:t>0</w:t>
      </w:r>
      <w:r w:rsidRPr="00832F5B">
        <w:rPr>
          <w:i/>
        </w:rPr>
        <w:t>9</w:t>
      </w:r>
      <w:r w:rsidR="00AE32F1">
        <w:rPr>
          <w:i/>
        </w:rPr>
        <w:t>; Policy Transformation Lead</w:t>
      </w:r>
      <w:r w:rsidRPr="00832F5B">
        <w:rPr>
          <w:i/>
        </w:rPr>
        <w:t>)</w:t>
      </w:r>
    </w:p>
    <w:p w14:paraId="47C5A53F" w14:textId="77777777" w:rsidR="00B8392E" w:rsidRDefault="00B8392E" w:rsidP="00B8392E">
      <w:pPr>
        <w:spacing w:line="360" w:lineRule="auto"/>
        <w:jc w:val="both"/>
      </w:pPr>
      <w:r w:rsidRPr="00DA28A7">
        <w:t xml:space="preserve">Other risks were raised in relation to ICSs ‘recreating a SHA provider structure’ in resorting to a centralised, hierarchical approach rather than </w:t>
      </w:r>
      <w:r>
        <w:t xml:space="preserve">acting as </w:t>
      </w:r>
      <w:r w:rsidRPr="00DA28A7">
        <w:t>a ‘servant of the organisations in the system’.</w:t>
      </w:r>
      <w:r>
        <w:t xml:space="preserve"> </w:t>
      </w:r>
      <w:r w:rsidRPr="00DA28A7">
        <w:t xml:space="preserve">Provider collaboratives were raised in a similar vein as </w:t>
      </w:r>
      <w:r>
        <w:t xml:space="preserve">having potential as a facilitator for instilling </w:t>
      </w:r>
      <w:r w:rsidRPr="009A644D">
        <w:t xml:space="preserve">collaboration </w:t>
      </w:r>
      <w:r>
        <w:t xml:space="preserve">but potentially </w:t>
      </w:r>
      <w:r w:rsidRPr="00DA28A7">
        <w:t xml:space="preserve">problematic </w:t>
      </w:r>
      <w:r>
        <w:t>in being defined by organisational structure rather than relationships.</w:t>
      </w:r>
    </w:p>
    <w:p w14:paraId="04614924" w14:textId="77777777" w:rsidR="00B8392E" w:rsidRPr="000D7103" w:rsidRDefault="00B8392E" w:rsidP="00B8392E">
      <w:pPr>
        <w:spacing w:line="360" w:lineRule="auto"/>
        <w:ind w:left="720"/>
        <w:jc w:val="both"/>
        <w:rPr>
          <w:rFonts w:cstheme="minorHAnsi"/>
          <w:i/>
        </w:rPr>
      </w:pPr>
      <w:r>
        <w:rPr>
          <w:rFonts w:eastAsia="Times New Roman" w:cstheme="minorHAnsi"/>
          <w:i/>
          <w:color w:val="000000"/>
        </w:rPr>
        <w:t>“</w:t>
      </w:r>
      <w:r w:rsidRPr="000D7103">
        <w:rPr>
          <w:rFonts w:eastAsia="Times New Roman" w:cstheme="minorHAnsi"/>
          <w:i/>
          <w:color w:val="000000"/>
        </w:rPr>
        <w:t>As soon as you create an organisation which has responsibilities and accountabilities and holds budgets and people work for that particular organisation behaviours and things… there’s a risk that behaviours and things change understandably because of those responsibilities and accountabilities and things, and we’ve got to try and find a way of taking the good bits – that will bring some benefits that new organisation for us – but not losing the sense of being a real partnership and not recreating a sort of SHA provider structure</w:t>
      </w:r>
      <w:r>
        <w:rPr>
          <w:rFonts w:eastAsia="Times New Roman" w:cstheme="minorHAnsi"/>
          <w:i/>
          <w:color w:val="000000"/>
        </w:rPr>
        <w:t>”</w:t>
      </w:r>
      <w:r w:rsidRPr="000D7103">
        <w:rPr>
          <w:rFonts w:eastAsia="Times New Roman" w:cstheme="minorHAnsi"/>
          <w:i/>
          <w:lang w:val="en-US"/>
        </w:rPr>
        <w:t xml:space="preserve"> </w:t>
      </w:r>
      <w:r w:rsidRPr="000D7103">
        <w:rPr>
          <w:rFonts w:eastAsia="Times New Roman" w:cstheme="minorHAnsi"/>
          <w:i/>
          <w:color w:val="000000"/>
        </w:rPr>
        <w:t>(</w:t>
      </w:r>
      <w:r w:rsidRPr="00407307">
        <w:rPr>
          <w:rFonts w:eastAsia="Times New Roman" w:cstheme="minorHAnsi"/>
          <w:i/>
          <w:color w:val="000000"/>
        </w:rPr>
        <w:t>19; Director; Alliance 2</w:t>
      </w:r>
      <w:r w:rsidRPr="000D7103">
        <w:rPr>
          <w:rFonts w:eastAsia="Times New Roman" w:cstheme="minorHAnsi"/>
          <w:i/>
          <w:color w:val="000000"/>
        </w:rPr>
        <w:t>)</w:t>
      </w:r>
      <w:r>
        <w:rPr>
          <w:rFonts w:eastAsia="Times New Roman" w:cstheme="minorHAnsi"/>
          <w:i/>
          <w:color w:val="000000"/>
        </w:rPr>
        <w:t>.</w:t>
      </w:r>
    </w:p>
    <w:p w14:paraId="233FA918" w14:textId="7ADFD2CA" w:rsidR="00B8392E" w:rsidRDefault="00B8392E" w:rsidP="00B8392E">
      <w:pPr>
        <w:spacing w:line="360" w:lineRule="auto"/>
        <w:jc w:val="both"/>
      </w:pPr>
      <w:r w:rsidRPr="00DA28A7">
        <w:t xml:space="preserve">Group models were deemed attractive for the running and delivery of secondary care based on their ability to provide a mix of options to accommodate different needs and interests. For example, Alliance 2 described how such an approach was preferable based on </w:t>
      </w:r>
      <w:r>
        <w:t>its</w:t>
      </w:r>
      <w:r w:rsidRPr="00DA28A7">
        <w:t xml:space="preserve"> ability to retain identity and sovereignty as an organisation, as opposed to being ‘thrown into merger’. Group models had the advantage of being able to demonstrate benefits without having to spend ‘</w:t>
      </w:r>
      <w:r w:rsidRPr="009C55AF">
        <w:rPr>
          <w:i/>
          <w:iCs/>
        </w:rPr>
        <w:t xml:space="preserve">two years on a disruptive merger process’ </w:t>
      </w:r>
      <w:r w:rsidR="00B02776">
        <w:t>(17). Alliance</w:t>
      </w:r>
      <w:r w:rsidRPr="00DA28A7">
        <w:t xml:space="preserve"> and group ways of working were </w:t>
      </w:r>
      <w:r>
        <w:t xml:space="preserve">therefore </w:t>
      </w:r>
      <w:r w:rsidRPr="00DA28A7">
        <w:t xml:space="preserve">conducive to building </w:t>
      </w:r>
      <w:r>
        <w:t xml:space="preserve">faith and </w:t>
      </w:r>
      <w:r w:rsidRPr="00DA28A7">
        <w:t>trust as</w:t>
      </w:r>
      <w:r>
        <w:t>,</w:t>
      </w:r>
      <w:r w:rsidRPr="00DA28A7">
        <w:t xml:space="preserve"> often</w:t>
      </w:r>
      <w:r>
        <w:t>,</w:t>
      </w:r>
      <w:r w:rsidRPr="00DA28A7">
        <w:t xml:space="preserve"> organisational sovereignty for money, buildings and infrastructure or workforce would be retained. </w:t>
      </w:r>
    </w:p>
    <w:p w14:paraId="5C46CE57" w14:textId="77777777" w:rsidR="00B8392E" w:rsidRPr="000D7103" w:rsidRDefault="00B8392E" w:rsidP="00B8392E">
      <w:pPr>
        <w:spacing w:line="360" w:lineRule="auto"/>
        <w:ind w:left="720"/>
        <w:jc w:val="both"/>
        <w:rPr>
          <w:i/>
        </w:rPr>
      </w:pPr>
      <w:r>
        <w:rPr>
          <w:i/>
        </w:rPr>
        <w:t>“</w:t>
      </w:r>
      <w:r w:rsidRPr="000D7103">
        <w:rPr>
          <w:i/>
        </w:rPr>
        <w:t>Group models seem like an attractive model for the running and delivery of secondary care certainly services and I think that’s partly because it does have a reasonable mix but it’s reasonably loosely defined by me……so it probably means different things to different people but it also allows within it because of the sort of hierarchy it actually is making some of those decisions</w:t>
      </w:r>
      <w:r>
        <w:rPr>
          <w:i/>
        </w:rPr>
        <w:t>”</w:t>
      </w:r>
      <w:r w:rsidRPr="000D7103">
        <w:rPr>
          <w:i/>
        </w:rPr>
        <w:t xml:space="preserve"> </w:t>
      </w:r>
      <w:r w:rsidRPr="009C55AF">
        <w:rPr>
          <w:iCs/>
        </w:rPr>
        <w:t>(</w:t>
      </w:r>
      <w:r w:rsidRPr="009C55AF">
        <w:rPr>
          <w:iCs/>
          <w:color w:val="000000" w:themeColor="text1"/>
        </w:rPr>
        <w:t>04; Provider Policy Leader; Range</w:t>
      </w:r>
      <w:r w:rsidRPr="009C55AF">
        <w:rPr>
          <w:iCs/>
        </w:rPr>
        <w:t>).</w:t>
      </w:r>
    </w:p>
    <w:p w14:paraId="2366CA88" w14:textId="4BEF3285" w:rsidR="00B8392E" w:rsidRDefault="00B8392E" w:rsidP="00B8392E">
      <w:pPr>
        <w:spacing w:line="360" w:lineRule="auto"/>
        <w:jc w:val="both"/>
      </w:pPr>
      <w:r w:rsidRPr="00DA28A7">
        <w:t>Buddying</w:t>
      </w:r>
      <w:r>
        <w:t>,</w:t>
      </w:r>
      <w:r w:rsidRPr="00DA28A7">
        <w:t xml:space="preserve"> also referred to as a </w:t>
      </w:r>
      <w:r>
        <w:t>‘</w:t>
      </w:r>
      <w:r w:rsidRPr="00DA28A7">
        <w:t>management support agreement</w:t>
      </w:r>
      <w:r>
        <w:t>’</w:t>
      </w:r>
      <w:r w:rsidRPr="00DA28A7">
        <w:t xml:space="preserve"> or </w:t>
      </w:r>
      <w:r>
        <w:t>‘</w:t>
      </w:r>
      <w:r w:rsidRPr="00DA28A7">
        <w:t>mutual aid</w:t>
      </w:r>
      <w:r>
        <w:t>’,</w:t>
      </w:r>
      <w:r w:rsidRPr="00DA28A7">
        <w:t xml:space="preserve"> </w:t>
      </w:r>
      <w:r>
        <w:t>was associated with a</w:t>
      </w:r>
      <w:r w:rsidRPr="00DA28A7">
        <w:t xml:space="preserve"> recognition that lighter touch, time limited collaborations to improve poor performing organisations had benefits in sharing expertise</w:t>
      </w:r>
      <w:r>
        <w:t xml:space="preserve"> and learning</w:t>
      </w:r>
      <w:r w:rsidRPr="00DA28A7">
        <w:t xml:space="preserve">. </w:t>
      </w:r>
      <w:r>
        <w:t>However,</w:t>
      </w:r>
      <w:r w:rsidRPr="00DA28A7">
        <w:t xml:space="preserve"> </w:t>
      </w:r>
      <w:r>
        <w:t xml:space="preserve">in contrast with the mandated nature of special measures buddying arrangements, care was needed in having </w:t>
      </w:r>
      <w:r w:rsidRPr="00DA28A7">
        <w:t xml:space="preserve">an appropriate cultural and organisational fit to </w:t>
      </w:r>
      <w:r>
        <w:t>create the conditions for collaboration</w:t>
      </w:r>
      <w:r w:rsidRPr="00DA28A7">
        <w:t xml:space="preserve">. Financial support for the mentor within the buddy arrangements </w:t>
      </w:r>
      <w:r>
        <w:t xml:space="preserve">was </w:t>
      </w:r>
      <w:r w:rsidRPr="00DA28A7">
        <w:t xml:space="preserve">also </w:t>
      </w:r>
      <w:r>
        <w:t xml:space="preserve">connected to </w:t>
      </w:r>
      <w:r w:rsidRPr="00DA28A7">
        <w:t>fa</w:t>
      </w:r>
      <w:r>
        <w:t>cilitating collaboration.</w:t>
      </w:r>
    </w:p>
    <w:p w14:paraId="39747E9A" w14:textId="22206003" w:rsidR="00B8392E" w:rsidRPr="00DA28A7" w:rsidRDefault="00B8392E" w:rsidP="00B8392E">
      <w:pPr>
        <w:spacing w:line="360" w:lineRule="auto"/>
        <w:ind w:left="720"/>
        <w:jc w:val="both"/>
      </w:pPr>
      <w:r>
        <w:rPr>
          <w:i/>
        </w:rPr>
        <w:t xml:space="preserve"> “</w:t>
      </w:r>
      <w:r w:rsidRPr="000D7103">
        <w:rPr>
          <w:i/>
        </w:rPr>
        <w:t xml:space="preserve">So and I think it ended up being actually a relatively successful arrangement in terms of impact at </w:t>
      </w:r>
      <w:r>
        <w:rPr>
          <w:i/>
        </w:rPr>
        <w:t>[Trust]</w:t>
      </w:r>
      <w:r w:rsidRPr="000D7103">
        <w:rPr>
          <w:i/>
        </w:rPr>
        <w:t xml:space="preserve">. And I think from </w:t>
      </w:r>
      <w:r>
        <w:rPr>
          <w:i/>
        </w:rPr>
        <w:t>[Trust’s]</w:t>
      </w:r>
      <w:r w:rsidRPr="000D7103">
        <w:rPr>
          <w:i/>
        </w:rPr>
        <w:t xml:space="preserve"> perspective it was pretty successful in terms of delivering a significant amount of cash into their organisation… but it </w:t>
      </w:r>
      <w:r w:rsidR="00B02776">
        <w:rPr>
          <w:i/>
        </w:rPr>
        <w:t xml:space="preserve">was </w:t>
      </w:r>
      <w:r w:rsidRPr="000D7103">
        <w:rPr>
          <w:i/>
        </w:rPr>
        <w:t>always viewed as a kind of time limited kind of fairly focused collaboration of doing some things which I think it did</w:t>
      </w:r>
      <w:r>
        <w:rPr>
          <w:i/>
        </w:rPr>
        <w:t>”</w:t>
      </w:r>
      <w:r>
        <w:t xml:space="preserve"> </w:t>
      </w:r>
      <w:r w:rsidRPr="008A6558">
        <w:rPr>
          <w:color w:val="000000" w:themeColor="text1"/>
        </w:rPr>
        <w:t xml:space="preserve">(03; Director of </w:t>
      </w:r>
      <w:r>
        <w:rPr>
          <w:color w:val="000000" w:themeColor="text1"/>
        </w:rPr>
        <w:t>I</w:t>
      </w:r>
      <w:r w:rsidRPr="008A6558">
        <w:rPr>
          <w:color w:val="000000" w:themeColor="text1"/>
        </w:rPr>
        <w:t>mprovement; Hospital Group 2)</w:t>
      </w:r>
      <w:r>
        <w:rPr>
          <w:color w:val="000000" w:themeColor="text1"/>
        </w:rPr>
        <w:t>.</w:t>
      </w:r>
    </w:p>
    <w:p w14:paraId="4529A074" w14:textId="6AB78B00" w:rsidR="00B8392E" w:rsidRPr="00DA28A7" w:rsidRDefault="00B8392E" w:rsidP="00B8392E">
      <w:pPr>
        <w:spacing w:line="360" w:lineRule="auto"/>
        <w:jc w:val="both"/>
      </w:pPr>
      <w:r w:rsidRPr="00DA28A7">
        <w:t xml:space="preserve">Mergers </w:t>
      </w:r>
      <w:r>
        <w:t>were deemed a legitimate option in contexts</w:t>
      </w:r>
      <w:r w:rsidRPr="00DA28A7">
        <w:t xml:space="preserve"> that required building economies of scale, </w:t>
      </w:r>
      <w:r>
        <w:t xml:space="preserve">and </w:t>
      </w:r>
      <w:r w:rsidRPr="00DA28A7">
        <w:t xml:space="preserve">reducing the number of providers and consolidation as far as possible. </w:t>
      </w:r>
      <w:r>
        <w:t>Yet, s</w:t>
      </w:r>
      <w:r w:rsidRPr="00DA28A7">
        <w:t xml:space="preserve">uch forms required being treated with caution </w:t>
      </w:r>
      <w:r w:rsidR="00B02776">
        <w:t>in taking</w:t>
      </w:r>
      <w:r w:rsidRPr="00DA28A7">
        <w:t xml:space="preserve"> ‘people’s eye off the main ball’</w:t>
      </w:r>
      <w:r>
        <w:t xml:space="preserve">, </w:t>
      </w:r>
      <w:r w:rsidR="00B02776">
        <w:t>as</w:t>
      </w:r>
      <w:r w:rsidRPr="00DA28A7">
        <w:t xml:space="preserve"> valuable time and energy </w:t>
      </w:r>
      <w:r w:rsidR="00B02776">
        <w:t xml:space="preserve">was </w:t>
      </w:r>
      <w:r w:rsidRPr="00DA28A7">
        <w:t>lost to merger process</w:t>
      </w:r>
      <w:r w:rsidR="00B02776">
        <w:t>es</w:t>
      </w:r>
      <w:r w:rsidRPr="00DA28A7">
        <w:t xml:space="preserve"> rather than focus on the improvement of workforce, structures and governance. To overcome issues, pre-merger activities were </w:t>
      </w:r>
      <w:r w:rsidR="00B02776">
        <w:t>encouraged</w:t>
      </w:r>
      <w:r w:rsidRPr="00DA28A7">
        <w:t xml:space="preserve"> with integration </w:t>
      </w:r>
      <w:r>
        <w:t xml:space="preserve">efforts </w:t>
      </w:r>
      <w:r w:rsidRPr="00DA28A7">
        <w:t>focusing on clinical pathways and back office consolidation to start delivering benefits early.</w:t>
      </w:r>
    </w:p>
    <w:p w14:paraId="68FD590E" w14:textId="6E70A49F" w:rsidR="00B8392E" w:rsidRDefault="00B8392E" w:rsidP="00B8392E">
      <w:pPr>
        <w:spacing w:line="360" w:lineRule="auto"/>
        <w:jc w:val="both"/>
      </w:pPr>
      <w:r w:rsidRPr="001C218B">
        <w:t>Stakeholder involvement</w:t>
      </w:r>
      <w:r>
        <w:t xml:space="preserve"> was identified as serving </w:t>
      </w:r>
      <w:r w:rsidRPr="001C218B">
        <w:t>to increase legitimacy.</w:t>
      </w:r>
      <w:r w:rsidRPr="00DA28A7">
        <w:t xml:space="preserve"> Leaders often found it helpful to have service users involved to keep the focus of the collaboration on outcomes</w:t>
      </w:r>
      <w:r w:rsidRPr="00DA28A7">
        <w:rPr>
          <w:iCs/>
        </w:rPr>
        <w:t>.</w:t>
      </w:r>
      <w:r w:rsidRPr="00DA28A7">
        <w:t xml:space="preserve"> Local system reviews led by CQC </w:t>
      </w:r>
      <w:r>
        <w:t xml:space="preserve">in 2017 </w:t>
      </w:r>
      <w:r w:rsidRPr="00DA28A7">
        <w:t>were highlighted as an attempt to look at local systems ‘through the lens of a local citizen’ to encoura</w:t>
      </w:r>
      <w:r>
        <w:t>ge better joint working (7, 5). The reputation of specific forms of collaboration also influenced the willingness to engage in forms of collaboration.</w:t>
      </w:r>
      <w:r w:rsidRPr="00417324">
        <w:t xml:space="preserve"> </w:t>
      </w:r>
      <w:r>
        <w:t>Fears were expressed</w:t>
      </w:r>
      <w:r w:rsidRPr="00DA28A7">
        <w:t xml:space="preserve"> by public representatives that greater collaboration would lead to privatisation, which undermined the legitimacy of collaboration. The label of privatisation was </w:t>
      </w:r>
      <w:r>
        <w:t xml:space="preserve">also </w:t>
      </w:r>
      <w:r w:rsidRPr="00DA28A7">
        <w:t xml:space="preserve">present elsewhere with leaders being driven to collaborate in ways that could manage public anxieties about privatisation. </w:t>
      </w:r>
    </w:p>
    <w:p w14:paraId="5A4E62E6" w14:textId="77777777" w:rsidR="00B8392E" w:rsidRPr="000D7103" w:rsidRDefault="00B8392E" w:rsidP="00B8392E">
      <w:pPr>
        <w:spacing w:line="360" w:lineRule="auto"/>
        <w:ind w:left="720"/>
        <w:jc w:val="both"/>
        <w:rPr>
          <w:i/>
        </w:rPr>
      </w:pPr>
      <w:r>
        <w:rPr>
          <w:i/>
        </w:rPr>
        <w:t xml:space="preserve">“… </w:t>
      </w:r>
      <w:r w:rsidRPr="000D7103">
        <w:rPr>
          <w:i/>
        </w:rPr>
        <w:t>the public really feared privatisation I've got to say, and they really just wanted integrated services. The alliance with providers, our local providers, and their preferred option would be an alliance approach as well as a step toward</w:t>
      </w:r>
      <w:r>
        <w:rPr>
          <w:i/>
        </w:rPr>
        <w:t>s”</w:t>
      </w:r>
      <w:r w:rsidRPr="000D7103">
        <w:rPr>
          <w:i/>
        </w:rPr>
        <w:t xml:space="preserve"> </w:t>
      </w:r>
      <w:r w:rsidRPr="009C55AF">
        <w:rPr>
          <w:iCs/>
        </w:rPr>
        <w:t>(16; Senior Commissioning Manager; Merger 1)</w:t>
      </w:r>
      <w:r>
        <w:rPr>
          <w:i/>
        </w:rPr>
        <w:t>.</w:t>
      </w:r>
    </w:p>
    <w:p w14:paraId="0C34F237" w14:textId="7BE29AB9" w:rsidR="00B8392E" w:rsidRPr="000C0DC3" w:rsidRDefault="007A224C" w:rsidP="00B8392E">
      <w:pPr>
        <w:pStyle w:val="Heading3"/>
        <w:spacing w:after="240"/>
        <w:jc w:val="both"/>
        <w:rPr>
          <w:i/>
        </w:rPr>
      </w:pPr>
      <w:bookmarkStart w:id="120" w:name="_Toc85066461"/>
      <w:r>
        <w:t>Demonstrating</w:t>
      </w:r>
      <w:r w:rsidR="00E05E17">
        <w:t xml:space="preserve"> </w:t>
      </w:r>
      <w:r w:rsidR="00B8392E">
        <w:t>p</w:t>
      </w:r>
      <w:r w:rsidR="00B8392E" w:rsidRPr="00DA28A7">
        <w:t>rogress</w:t>
      </w:r>
      <w:bookmarkEnd w:id="120"/>
    </w:p>
    <w:p w14:paraId="663CE798" w14:textId="3412EAC7" w:rsidR="00B8392E" w:rsidRDefault="00B8392E" w:rsidP="00B8392E">
      <w:pPr>
        <w:spacing w:line="360" w:lineRule="auto"/>
        <w:jc w:val="both"/>
      </w:pPr>
      <w:r>
        <w:t xml:space="preserve">Our interviews provided a number of insights into how the perception of progress was important for ensuring that momentum was maintained. </w:t>
      </w:r>
      <w:r w:rsidRPr="00DA28A7">
        <w:t xml:space="preserve">Evidence that progress was being made increased faith by serving as a motivator to continue with the collaboration. Getting feedback and ‘positive reinforcement’ </w:t>
      </w:r>
      <w:r>
        <w:t xml:space="preserve">was </w:t>
      </w:r>
      <w:r w:rsidRPr="00DA28A7">
        <w:t>deemed important to ensure buy</w:t>
      </w:r>
      <w:r>
        <w:t>-</w:t>
      </w:r>
      <w:r w:rsidRPr="00DA28A7">
        <w:t>in</w:t>
      </w:r>
      <w:r>
        <w:t>. To do so, focusing on practical</w:t>
      </w:r>
      <w:r w:rsidRPr="00DA28A7">
        <w:t xml:space="preserve"> ‘quick wins’ to expose organisations to the goal of the collaboration and ensure staff remain engaged</w:t>
      </w:r>
      <w:r w:rsidR="00F4120B">
        <w:t xml:space="preserve"> was suggested</w:t>
      </w:r>
      <w:r w:rsidRPr="00DA28A7">
        <w:t>.</w:t>
      </w:r>
    </w:p>
    <w:p w14:paraId="498D943A" w14:textId="4252F886" w:rsidR="00B8392E" w:rsidRPr="000D7103" w:rsidRDefault="00B8392E" w:rsidP="00B8392E">
      <w:pPr>
        <w:spacing w:line="360" w:lineRule="auto"/>
        <w:ind w:left="720"/>
        <w:jc w:val="both"/>
        <w:rPr>
          <w:i/>
        </w:rPr>
      </w:pPr>
      <w:r>
        <w:rPr>
          <w:i/>
        </w:rPr>
        <w:t>“</w:t>
      </w:r>
      <w:r w:rsidRPr="000D7103">
        <w:rPr>
          <w:i/>
        </w:rPr>
        <w:t>I think part of the problems sometimes mergers in particular suffer from it’s almost they’re sort of too big and theoretical to achieve anything</w:t>
      </w:r>
      <w:r>
        <w:rPr>
          <w:i/>
        </w:rPr>
        <w:t>,</w:t>
      </w:r>
      <w:r w:rsidRPr="000D7103">
        <w:rPr>
          <w:i/>
        </w:rPr>
        <w:t xml:space="preserve"> whereas</w:t>
      </w:r>
      <w:r>
        <w:rPr>
          <w:i/>
        </w:rPr>
        <w:t>,</w:t>
      </w:r>
      <w:r w:rsidRPr="000D7103">
        <w:rPr>
          <w:i/>
        </w:rPr>
        <w:t xml:space="preserve"> get a couple of teams working together on a specific problem</w:t>
      </w:r>
      <w:r>
        <w:rPr>
          <w:i/>
        </w:rPr>
        <w:t>,</w:t>
      </w:r>
      <w:r w:rsidRPr="000D7103">
        <w:rPr>
          <w:i/>
        </w:rPr>
        <w:t xml:space="preserve"> like</w:t>
      </w:r>
      <w:r>
        <w:rPr>
          <w:i/>
        </w:rPr>
        <w:t>,</w:t>
      </w:r>
      <w:r w:rsidRPr="000D7103">
        <w:rPr>
          <w:i/>
        </w:rPr>
        <w:t xml:space="preserve"> </w:t>
      </w:r>
      <w:r>
        <w:rPr>
          <w:i/>
        </w:rPr>
        <w:t>‘</w:t>
      </w:r>
      <w:r w:rsidRPr="000D7103">
        <w:rPr>
          <w:i/>
        </w:rPr>
        <w:t>how do you redesign this service</w:t>
      </w:r>
      <w:r w:rsidR="00E05E17">
        <w:rPr>
          <w:i/>
        </w:rPr>
        <w:t>?</w:t>
      </w:r>
      <w:r>
        <w:rPr>
          <w:i/>
        </w:rPr>
        <w:t>’</w:t>
      </w:r>
      <w:r w:rsidRPr="000D7103">
        <w:rPr>
          <w:i/>
        </w:rPr>
        <w:t xml:space="preserve"> and suddenly everyone sees the point of collaboration and what it really means</w:t>
      </w:r>
      <w:r>
        <w:rPr>
          <w:i/>
        </w:rPr>
        <w:t>. S</w:t>
      </w:r>
      <w:r w:rsidRPr="000D7103">
        <w:rPr>
          <w:i/>
        </w:rPr>
        <w:t>o I guess focusing on the practical and sort of some quick wins, probably the same sorts of things that are important for projects more generally</w:t>
      </w:r>
      <w:r>
        <w:rPr>
          <w:i/>
        </w:rPr>
        <w:t>”</w:t>
      </w:r>
      <w:r w:rsidRPr="000D7103">
        <w:rPr>
          <w:i/>
        </w:rPr>
        <w:t xml:space="preserve"> </w:t>
      </w:r>
      <w:r w:rsidRPr="009C55AF">
        <w:rPr>
          <w:iCs/>
        </w:rPr>
        <w:t>(</w:t>
      </w:r>
      <w:r w:rsidR="00AE32F1">
        <w:rPr>
          <w:iCs/>
          <w:color w:val="000000" w:themeColor="text1"/>
        </w:rPr>
        <w:t>04; Provider Policy Leader</w:t>
      </w:r>
      <w:r w:rsidRPr="009C55AF">
        <w:rPr>
          <w:iCs/>
        </w:rPr>
        <w:t>).</w:t>
      </w:r>
    </w:p>
    <w:p w14:paraId="577C3F06" w14:textId="21F62815" w:rsidR="00B8392E" w:rsidRDefault="00B17872" w:rsidP="00B8392E">
      <w:pPr>
        <w:spacing w:line="360" w:lineRule="auto"/>
        <w:jc w:val="both"/>
      </w:pPr>
      <w:r>
        <w:t>That said</w:t>
      </w:r>
      <w:r w:rsidR="00B8392E" w:rsidRPr="00A67DD9">
        <w:t xml:space="preserve">, </w:t>
      </w:r>
      <w:r w:rsidR="00140810">
        <w:t>the promotion of</w:t>
      </w:r>
      <w:r w:rsidR="00B8392E" w:rsidRPr="00A67DD9">
        <w:t xml:space="preserve"> quick wins was </w:t>
      </w:r>
      <w:r>
        <w:t xml:space="preserve">also </w:t>
      </w:r>
      <w:r w:rsidR="00B8392E" w:rsidRPr="00A67DD9">
        <w:t xml:space="preserve">susceptible to </w:t>
      </w:r>
      <w:r w:rsidR="00140810">
        <w:t>problems</w:t>
      </w:r>
      <w:r w:rsidR="00B8392E" w:rsidRPr="00A67DD9">
        <w:t xml:space="preserve"> </w:t>
      </w:r>
      <w:r w:rsidR="00140810">
        <w:t>when</w:t>
      </w:r>
      <w:r w:rsidR="00B8392E" w:rsidRPr="00A67DD9">
        <w:t xml:space="preserve"> tangible progress </w:t>
      </w:r>
      <w:r w:rsidR="00140810">
        <w:t>did not materialise in the longer term</w:t>
      </w:r>
      <w:r w:rsidR="00B8392E" w:rsidRPr="00A67DD9">
        <w:t xml:space="preserve"> </w:t>
      </w:r>
      <w:r w:rsidR="00140810">
        <w:t xml:space="preserve">which </w:t>
      </w:r>
      <w:r w:rsidR="00B8392E" w:rsidRPr="00A67DD9">
        <w:t>reduced faith</w:t>
      </w:r>
      <w:r w:rsidR="00B8392E">
        <w:t xml:space="preserve"> and momentum. </w:t>
      </w:r>
    </w:p>
    <w:p w14:paraId="548AADBC" w14:textId="595F0814" w:rsidR="00B8392E" w:rsidRDefault="00B8392E" w:rsidP="00B8392E">
      <w:pPr>
        <w:spacing w:line="360" w:lineRule="auto"/>
        <w:ind w:left="720"/>
        <w:jc w:val="both"/>
      </w:pPr>
      <w:r>
        <w:rPr>
          <w:i/>
        </w:rPr>
        <w:t>“</w:t>
      </w:r>
      <w:r w:rsidRPr="000D7103">
        <w:rPr>
          <w:i/>
        </w:rPr>
        <w:t>I think that people are getting fatigued and wanting to see more outputs for it and if they don’t see that, if people don’t see things getting any different then it just becomes a talking shop and people start drifting away and I think that’s what we saw in some of the ea</w:t>
      </w:r>
      <w:r w:rsidR="00140810">
        <w:rPr>
          <w:i/>
        </w:rPr>
        <w:t>rlier integrated care models that</w:t>
      </w:r>
      <w:r w:rsidRPr="000D7103">
        <w:rPr>
          <w:i/>
        </w:rPr>
        <w:t xml:space="preserve"> people just thought we’ve just wasted a whole load of money like </w:t>
      </w:r>
      <w:r>
        <w:rPr>
          <w:i/>
        </w:rPr>
        <w:t xml:space="preserve">the </w:t>
      </w:r>
      <w:r w:rsidRPr="000D7103">
        <w:rPr>
          <w:i/>
        </w:rPr>
        <w:t>I</w:t>
      </w:r>
      <w:r>
        <w:rPr>
          <w:i/>
        </w:rPr>
        <w:t xml:space="preserve">ntegrated </w:t>
      </w:r>
      <w:r w:rsidRPr="000D7103">
        <w:rPr>
          <w:i/>
        </w:rPr>
        <w:t>C</w:t>
      </w:r>
      <w:r>
        <w:rPr>
          <w:i/>
        </w:rPr>
        <w:t>are</w:t>
      </w:r>
      <w:r w:rsidRPr="000D7103">
        <w:rPr>
          <w:i/>
        </w:rPr>
        <w:t xml:space="preserve"> fund… 150 initiatives that all sound great but </w:t>
      </w:r>
      <w:r>
        <w:rPr>
          <w:i/>
        </w:rPr>
        <w:t>didn’t</w:t>
      </w:r>
      <w:r w:rsidRPr="000D7103">
        <w:rPr>
          <w:i/>
        </w:rPr>
        <w:t xml:space="preserve"> deliver very much and then it’s, well, should we put so much money into it next year or not because we can do a lot of the stuff ourselves</w:t>
      </w:r>
      <w:r>
        <w:rPr>
          <w:i/>
        </w:rPr>
        <w:t xml:space="preserve">” </w:t>
      </w:r>
      <w:r w:rsidRPr="009C55AF">
        <w:rPr>
          <w:iCs/>
        </w:rPr>
        <w:t>(</w:t>
      </w:r>
      <w:r w:rsidRPr="009C55AF">
        <w:rPr>
          <w:iCs/>
          <w:color w:val="000000" w:themeColor="text1"/>
        </w:rPr>
        <w:t>02; Director; Hospital Group 1</w:t>
      </w:r>
      <w:r w:rsidRPr="009C55AF">
        <w:rPr>
          <w:iCs/>
        </w:rPr>
        <w:t>)</w:t>
      </w:r>
    </w:p>
    <w:p w14:paraId="6737D5FE" w14:textId="2E780A58" w:rsidR="00B8392E" w:rsidRDefault="00B8392E" w:rsidP="00B8392E">
      <w:pPr>
        <w:spacing w:line="360" w:lineRule="auto"/>
        <w:jc w:val="both"/>
      </w:pPr>
      <w:r w:rsidRPr="00DA28A7">
        <w:t xml:space="preserve">A perception of peer pressure was also connected to driving progress where organisations or teams want to avoid the perception of ‘falling behind’ or looking bad in front of others. The use of assessment and accreditation systems was cited as an example of being open and transparent in showing good, bad or indifferent progress </w:t>
      </w:r>
      <w:r w:rsidR="007A224C">
        <w:t xml:space="preserve">was </w:t>
      </w:r>
      <w:r w:rsidRPr="00DA28A7">
        <w:t>being made</w:t>
      </w:r>
      <w:r>
        <w:t xml:space="preserve">. </w:t>
      </w:r>
    </w:p>
    <w:p w14:paraId="6419632A" w14:textId="77777777" w:rsidR="00B8392E" w:rsidRDefault="00B8392E" w:rsidP="00B8392E">
      <w:pPr>
        <w:spacing w:line="360" w:lineRule="auto"/>
        <w:ind w:left="720"/>
        <w:jc w:val="both"/>
        <w:rPr>
          <w:i/>
        </w:rPr>
      </w:pPr>
      <w:r>
        <w:rPr>
          <w:i/>
        </w:rPr>
        <w:t xml:space="preserve">“… </w:t>
      </w:r>
      <w:r w:rsidRPr="000D7103">
        <w:rPr>
          <w:i/>
        </w:rPr>
        <w:t>so we took the [assessment and accreditation system] over and showed it to them and said, “We really want to deploy this, but we want to deploy it in a way that you’re with us on it.” … so we brought them all together and we showed them the outcomes… so they recognised for themselves the fact that they’d normalised such poor standards, and that if they continued to do that, patients would suffer, and their reputation would suffer. And so they very quickly got on board with the improvement journey</w:t>
      </w:r>
      <w:r>
        <w:rPr>
          <w:i/>
        </w:rPr>
        <w:t>”</w:t>
      </w:r>
      <w:r w:rsidRPr="000D7103">
        <w:rPr>
          <w:i/>
        </w:rPr>
        <w:t xml:space="preserve"> </w:t>
      </w:r>
      <w:r w:rsidRPr="009C55AF">
        <w:rPr>
          <w:iCs/>
        </w:rPr>
        <w:t>(</w:t>
      </w:r>
      <w:r w:rsidRPr="00D558AC">
        <w:rPr>
          <w:rFonts w:cstheme="minorHAnsi"/>
          <w:iCs/>
          <w:color w:val="000000" w:themeColor="text1"/>
        </w:rPr>
        <w:t>10; Exec Nurse; Alliance 1</w:t>
      </w:r>
      <w:r w:rsidRPr="009C55AF">
        <w:rPr>
          <w:iCs/>
        </w:rPr>
        <w:t>).</w:t>
      </w:r>
    </w:p>
    <w:p w14:paraId="3CFE1FB2" w14:textId="2D19335A" w:rsidR="00B8392E" w:rsidRDefault="007A224C" w:rsidP="00B8392E">
      <w:pPr>
        <w:pStyle w:val="Heading3"/>
        <w:spacing w:after="240"/>
        <w:jc w:val="both"/>
      </w:pPr>
      <w:bookmarkStart w:id="121" w:name="_Toc85066462"/>
      <w:r>
        <w:t>Clarity of</w:t>
      </w:r>
      <w:r w:rsidR="00B8392E">
        <w:t xml:space="preserve"> vision</w:t>
      </w:r>
      <w:bookmarkEnd w:id="121"/>
    </w:p>
    <w:p w14:paraId="7C12B68B" w14:textId="7F8CBA90" w:rsidR="00B8392E" w:rsidRDefault="00B8392E" w:rsidP="00B8392E">
      <w:pPr>
        <w:spacing w:line="360" w:lineRule="auto"/>
        <w:jc w:val="both"/>
      </w:pPr>
      <w:r w:rsidRPr="00DA28A7">
        <w:t>Clarity of vision served to increase faith</w:t>
      </w:r>
      <w:r w:rsidR="007A224C">
        <w:t xml:space="preserve"> by reducing the possibility for miscommunication</w:t>
      </w:r>
      <w:r w:rsidRPr="00DA28A7">
        <w:t xml:space="preserve">. </w:t>
      </w:r>
      <w:r w:rsidRPr="00DA28A7">
        <w:rPr>
          <w:iCs/>
        </w:rPr>
        <w:t xml:space="preserve">Being able to articulate </w:t>
      </w:r>
      <w:r>
        <w:rPr>
          <w:iCs/>
        </w:rPr>
        <w:t xml:space="preserve">and construct a leadership narrative about the </w:t>
      </w:r>
      <w:r w:rsidRPr="00DA28A7">
        <w:rPr>
          <w:iCs/>
        </w:rPr>
        <w:t xml:space="preserve">aims, goals, and solutions </w:t>
      </w:r>
      <w:r>
        <w:rPr>
          <w:iCs/>
        </w:rPr>
        <w:t>that collaboration would achieve and the</w:t>
      </w:r>
      <w:r w:rsidRPr="00DA28A7">
        <w:rPr>
          <w:iCs/>
        </w:rPr>
        <w:t xml:space="preserve"> problems </w:t>
      </w:r>
      <w:r>
        <w:rPr>
          <w:iCs/>
        </w:rPr>
        <w:t xml:space="preserve">it would solve </w:t>
      </w:r>
      <w:r w:rsidR="007A224C">
        <w:rPr>
          <w:iCs/>
        </w:rPr>
        <w:t>was connected to increased</w:t>
      </w:r>
      <w:r>
        <w:rPr>
          <w:iCs/>
        </w:rPr>
        <w:t xml:space="preserve"> </w:t>
      </w:r>
      <w:r w:rsidR="00AE32F1">
        <w:rPr>
          <w:iCs/>
        </w:rPr>
        <w:t xml:space="preserve">workforce </w:t>
      </w:r>
      <w:r>
        <w:rPr>
          <w:iCs/>
        </w:rPr>
        <w:t>engagement</w:t>
      </w:r>
      <w:r w:rsidRPr="00DA28A7">
        <w:rPr>
          <w:iCs/>
        </w:rPr>
        <w:t>.</w:t>
      </w:r>
      <w:r w:rsidRPr="00DA28A7">
        <w:t xml:space="preserve"> </w:t>
      </w:r>
      <w:r w:rsidRPr="00E2432F">
        <w:t>Communicating a narrative of how the collaboration will be beneficial to staff</w:t>
      </w:r>
      <w:r>
        <w:t xml:space="preserve"> through better alignment and ‘bringing parts together’ could also mitigate the potential exposure of collaboration being met with </w:t>
      </w:r>
      <w:r w:rsidRPr="00DA28A7">
        <w:t xml:space="preserve">feelings of loss or being imposed upon. </w:t>
      </w:r>
    </w:p>
    <w:p w14:paraId="74F1EC40" w14:textId="77777777" w:rsidR="00B8392E" w:rsidRDefault="00B8392E" w:rsidP="00B8392E">
      <w:pPr>
        <w:spacing w:line="360" w:lineRule="auto"/>
        <w:ind w:left="720"/>
        <w:jc w:val="both"/>
        <w:rPr>
          <w:i/>
        </w:rPr>
      </w:pPr>
      <w:r>
        <w:rPr>
          <w:i/>
        </w:rPr>
        <w:t>“</w:t>
      </w:r>
      <w:r w:rsidRPr="000D7103">
        <w:rPr>
          <w:i/>
        </w:rPr>
        <w:t>So it’s almost from a point of view of a member of staff is kind of what’s in it for me? Well, what’s in it for me as a member of staff, you know, what’s worked out? We’ve been able to make things better for patients but actually we’ve been able to grow our staff as well. And I think as a set of organisations in the NHS I think we’re for telling that story. And if we force ourselves to tell that story I think it would force us to change the reality of that in a more meaningful way as well…</w:t>
      </w:r>
      <w:r w:rsidRPr="008A6558">
        <w:rPr>
          <w:color w:val="000000" w:themeColor="text1"/>
        </w:rPr>
        <w:t>(03; Director of improvement; Hospital Group 2)</w:t>
      </w:r>
    </w:p>
    <w:p w14:paraId="000159E6" w14:textId="5508A20A" w:rsidR="00B8392E" w:rsidRDefault="00B8392E" w:rsidP="00B8392E">
      <w:pPr>
        <w:spacing w:line="360" w:lineRule="auto"/>
        <w:jc w:val="both"/>
      </w:pPr>
      <w:r w:rsidRPr="00DA28A7">
        <w:t xml:space="preserve">To generate </w:t>
      </w:r>
      <w:r>
        <w:t>a clear sense of</w:t>
      </w:r>
      <w:r w:rsidRPr="00DA28A7">
        <w:t xml:space="preserve"> p</w:t>
      </w:r>
      <w:r>
        <w:t>urpose, key actors used a</w:t>
      </w:r>
      <w:r w:rsidRPr="00DA28A7">
        <w:t xml:space="preserve"> methodology embedded within organisations to work through problems. </w:t>
      </w:r>
      <w:r>
        <w:t>As with the nurturing of interpersonal communication, l</w:t>
      </w:r>
      <w:r w:rsidRPr="00DA28A7">
        <w:t xml:space="preserve">eaders describe customising </w:t>
      </w:r>
      <w:r w:rsidR="00AE32F1">
        <w:t>quality improvement</w:t>
      </w:r>
      <w:r w:rsidRPr="00DA28A7">
        <w:t xml:space="preserve"> approaches. Inspired by Virginia Mason, Hospital Group 3 described ‘a eureka moment’ in translating the VM approach into a local Improvement Programme t</w:t>
      </w:r>
      <w:r w:rsidR="00AE32F1">
        <w:t xml:space="preserve">o lead, manage, and set objectives </w:t>
      </w:r>
      <w:r w:rsidRPr="00DA28A7">
        <w:t>to support staff</w:t>
      </w:r>
      <w:r>
        <w:t>.</w:t>
      </w:r>
    </w:p>
    <w:p w14:paraId="4EE28FC4" w14:textId="77777777" w:rsidR="00B8392E" w:rsidRPr="000D7103" w:rsidRDefault="00B8392E" w:rsidP="00B8392E">
      <w:pPr>
        <w:spacing w:line="360" w:lineRule="auto"/>
        <w:ind w:left="720"/>
        <w:jc w:val="both"/>
        <w:rPr>
          <w:i/>
        </w:rPr>
      </w:pPr>
      <w:r>
        <w:rPr>
          <w:i/>
        </w:rPr>
        <w:t xml:space="preserve">“… </w:t>
      </w:r>
      <w:r w:rsidRPr="000D7103">
        <w:rPr>
          <w:i/>
        </w:rPr>
        <w:t>they’re all versions, you know, of basic improvement methodology, if you stripe them back, you will see that they share common components to them… I think the most important thing is that you select the one that feels right for you, and you stick to that methodology and it becomes the discipline, it becomes the rhythm, you know, the beating heart of the organisation, and that people get familiar with it, they get trained in it, you know, it is the only method that they then use, and it’s applied in all sorts of situations, and then just becomes the way of doing things</w:t>
      </w:r>
      <w:r>
        <w:rPr>
          <w:i/>
        </w:rPr>
        <w:t xml:space="preserve">” </w:t>
      </w:r>
      <w:r w:rsidRPr="008A6558">
        <w:rPr>
          <w:color w:val="000000" w:themeColor="text1"/>
        </w:rPr>
        <w:t>(12; CEO; Alliance 1)</w:t>
      </w:r>
    </w:p>
    <w:p w14:paraId="64B2296B" w14:textId="130CB4C2" w:rsidR="00B8392E" w:rsidRDefault="00B8392E" w:rsidP="00B8392E">
      <w:pPr>
        <w:spacing w:line="360" w:lineRule="auto"/>
        <w:jc w:val="both"/>
      </w:pPr>
      <w:r w:rsidRPr="00E2432F">
        <w:t xml:space="preserve">Being ‘deliberate and visible’ about opportunities for partnership working was also connected to the need for inclusion of stakeholders. Involving patients and the public to help shape pathways and </w:t>
      </w:r>
      <w:r>
        <w:t>‘</w:t>
      </w:r>
      <w:r w:rsidRPr="00E2432F">
        <w:t>cut out things not adding value</w:t>
      </w:r>
      <w:r>
        <w:t>’</w:t>
      </w:r>
      <w:r w:rsidR="00B17872">
        <w:t xml:space="preserve"> was encouraged</w:t>
      </w:r>
      <w:r w:rsidRPr="00E2432F">
        <w:t>.</w:t>
      </w:r>
      <w:r>
        <w:t xml:space="preserve"> </w:t>
      </w:r>
      <w:r w:rsidR="00AE32F1">
        <w:t xml:space="preserve">To facilitate inclusion, </w:t>
      </w:r>
      <w:r w:rsidRPr="00DA28A7">
        <w:t xml:space="preserve">having a communications strategy </w:t>
      </w:r>
      <w:r w:rsidR="00AE32F1">
        <w:t>highlighting key issues and celebrating</w:t>
      </w:r>
      <w:r w:rsidRPr="00DA28A7">
        <w:t xml:space="preserve"> success </w:t>
      </w:r>
      <w:r w:rsidR="00AE32F1">
        <w:t>was</w:t>
      </w:r>
      <w:r w:rsidRPr="00DA28A7">
        <w:t xml:space="preserve"> important. Dedicated programme leads </w:t>
      </w:r>
      <w:r>
        <w:t xml:space="preserve">also </w:t>
      </w:r>
      <w:r w:rsidR="00AE32F1">
        <w:t xml:space="preserve">played a </w:t>
      </w:r>
      <w:r w:rsidRPr="00DA28A7">
        <w:t xml:space="preserve">role in communicating the </w:t>
      </w:r>
      <w:r w:rsidR="00AE32F1">
        <w:t>progress being</w:t>
      </w:r>
      <w:r w:rsidRPr="00DA28A7">
        <w:t xml:space="preserve"> through face to face relationships and meetings. </w:t>
      </w:r>
    </w:p>
    <w:p w14:paraId="21EBE60F" w14:textId="742FB6B3" w:rsidR="00B8392E" w:rsidRPr="009C55AF" w:rsidRDefault="00B8392E" w:rsidP="00B8392E">
      <w:pPr>
        <w:spacing w:line="360" w:lineRule="auto"/>
        <w:ind w:left="720"/>
        <w:jc w:val="both"/>
        <w:rPr>
          <w:i/>
        </w:rPr>
      </w:pPr>
      <w:r>
        <w:rPr>
          <w:i/>
        </w:rPr>
        <w:t>“</w:t>
      </w:r>
      <w:r w:rsidRPr="000D7103">
        <w:rPr>
          <w:i/>
        </w:rPr>
        <w:t>Having a communications strategy aligning with that vision to be delivered and supported by those leaders that is constant, reflected upon and respond to the different ways that people want to and need to hear those messages and that responds to their different concerns not to spoon feed because, you know; we’re all adults and we should be kind of empowered and enabled to operate as adults but in a way that actually relieves them of the anxiety that they might hav</w:t>
      </w:r>
      <w:r w:rsidR="00AE32F1">
        <w:rPr>
          <w:i/>
        </w:rPr>
        <w:t>e about the situation that they a</w:t>
      </w:r>
      <w:r w:rsidRPr="000D7103">
        <w:rPr>
          <w:i/>
        </w:rPr>
        <w:t>re in</w:t>
      </w:r>
      <w:r>
        <w:rPr>
          <w:i/>
        </w:rPr>
        <w:t>”</w:t>
      </w:r>
      <w:r w:rsidRPr="000D7103">
        <w:rPr>
          <w:i/>
        </w:rPr>
        <w:t xml:space="preserve"> </w:t>
      </w:r>
      <w:r w:rsidRPr="008A6558">
        <w:rPr>
          <w:color w:val="000000" w:themeColor="text1"/>
        </w:rPr>
        <w:t xml:space="preserve">(07; </w:t>
      </w:r>
      <w:r w:rsidR="00AE32F1">
        <w:rPr>
          <w:color w:val="000000" w:themeColor="text1"/>
        </w:rPr>
        <w:t>Professional body</w:t>
      </w:r>
      <w:r w:rsidRPr="008A6558">
        <w:rPr>
          <w:color w:val="000000" w:themeColor="text1"/>
        </w:rPr>
        <w:t>; Range)</w:t>
      </w:r>
    </w:p>
    <w:p w14:paraId="44448E77" w14:textId="77777777" w:rsidR="00DC4DE6" w:rsidRDefault="00DC4DE6" w:rsidP="00B8392E">
      <w:pPr>
        <w:pStyle w:val="Heading3"/>
        <w:jc w:val="both"/>
      </w:pPr>
    </w:p>
    <w:p w14:paraId="71E58E69" w14:textId="690C6A7A" w:rsidR="00B8392E" w:rsidRPr="000D24D4" w:rsidRDefault="00BB09C6" w:rsidP="00B8392E">
      <w:pPr>
        <w:pStyle w:val="Heading3"/>
        <w:jc w:val="both"/>
      </w:pPr>
      <w:bookmarkStart w:id="122" w:name="_Toc85066463"/>
      <w:r>
        <w:t>Environmental</w:t>
      </w:r>
      <w:r w:rsidR="00B8392E" w:rsidRPr="000D24D4">
        <w:t xml:space="preserve"> </w:t>
      </w:r>
      <w:r>
        <w:t>influences on</w:t>
      </w:r>
      <w:r w:rsidR="00B8392E" w:rsidRPr="000D24D4">
        <w:t xml:space="preserve"> faith</w:t>
      </w:r>
      <w:bookmarkEnd w:id="122"/>
    </w:p>
    <w:p w14:paraId="0E953E7F" w14:textId="7537BE37" w:rsidR="00B8392E" w:rsidRDefault="00C14DD7" w:rsidP="00B8392E">
      <w:pPr>
        <w:spacing w:line="360" w:lineRule="auto"/>
        <w:jc w:val="both"/>
      </w:pPr>
      <w:r>
        <w:t>Interviews</w:t>
      </w:r>
      <w:r w:rsidR="00B8392E">
        <w:t xml:space="preserve"> supported our review </w:t>
      </w:r>
      <w:r w:rsidR="00DC4DE6">
        <w:t xml:space="preserve">findings </w:t>
      </w:r>
      <w:r w:rsidR="00B8392E">
        <w:t>that establishing ‘initial faith’ (i.e., whether engaging in collaboration is feasible, or ind</w:t>
      </w:r>
      <w:r w:rsidR="00DC4DE6">
        <w:t xml:space="preserve">eed worth the risk and effort) was </w:t>
      </w:r>
      <w:r w:rsidR="00B8392E">
        <w:t xml:space="preserve">primarily shaped by factors related to the regulatory and policy environment. Due to the timing of the fieldwork, it also identified the role of </w:t>
      </w:r>
      <w:r w:rsidR="00B02293">
        <w:t>C</w:t>
      </w:r>
      <w:r w:rsidR="00B17872">
        <w:t>ovid</w:t>
      </w:r>
      <w:r w:rsidR="00857277">
        <w:t xml:space="preserve">-19 </w:t>
      </w:r>
      <w:r w:rsidR="00B8392E">
        <w:t>in shaping the perceived difficulty of the collaborative tasks at hand.</w:t>
      </w:r>
    </w:p>
    <w:p w14:paraId="0E8B346E" w14:textId="17D93F57" w:rsidR="00B8392E" w:rsidRDefault="00B8392E" w:rsidP="00B8392E">
      <w:pPr>
        <w:spacing w:line="360" w:lineRule="auto"/>
        <w:jc w:val="both"/>
      </w:pPr>
      <w:r w:rsidRPr="00DA28A7">
        <w:t>A</w:t>
      </w:r>
      <w:r>
        <w:t xml:space="preserve"> </w:t>
      </w:r>
      <w:r w:rsidRPr="00DA28A7">
        <w:t xml:space="preserve">shift </w:t>
      </w:r>
      <w:r>
        <w:t>in thinking was</w:t>
      </w:r>
      <w:r w:rsidRPr="00DA28A7">
        <w:t xml:space="preserve"> observed over recent years in </w:t>
      </w:r>
      <w:r>
        <w:t xml:space="preserve">the </w:t>
      </w:r>
      <w:r w:rsidRPr="00DA28A7">
        <w:t xml:space="preserve">motivation and effort attributed to </w:t>
      </w:r>
      <w:r>
        <w:t>collaboration</w:t>
      </w:r>
      <w:r w:rsidRPr="00DA28A7">
        <w:rPr>
          <w:iCs/>
        </w:rPr>
        <w:t>.</w:t>
      </w:r>
      <w:r>
        <w:t xml:space="preserve"> </w:t>
      </w:r>
      <w:r>
        <w:rPr>
          <w:rFonts w:cstheme="minorHAnsi"/>
        </w:rPr>
        <w:t>The recent</w:t>
      </w:r>
      <w:r w:rsidRPr="00DA28A7">
        <w:rPr>
          <w:rFonts w:cstheme="minorHAnsi"/>
        </w:rPr>
        <w:t xml:space="preserve"> policy agenda </w:t>
      </w:r>
      <w:r>
        <w:rPr>
          <w:rFonts w:cstheme="minorHAnsi"/>
        </w:rPr>
        <w:t xml:space="preserve">in England </w:t>
      </w:r>
      <w:r w:rsidRPr="00DA28A7">
        <w:rPr>
          <w:rFonts w:cstheme="minorHAnsi"/>
        </w:rPr>
        <w:t>emphasising collaboration was brought into view</w:t>
      </w:r>
      <w:r>
        <w:rPr>
          <w:rFonts w:cstheme="minorHAnsi"/>
        </w:rPr>
        <w:t xml:space="preserve"> where </w:t>
      </w:r>
      <w:r w:rsidRPr="00DA28A7">
        <w:rPr>
          <w:rFonts w:cstheme="minorHAnsi"/>
        </w:rPr>
        <w:t xml:space="preserve">interviewees described a ‘movement’ </w:t>
      </w:r>
      <w:r w:rsidRPr="00DA28A7">
        <w:rPr>
          <w:rFonts w:eastAsia="Times New Roman" w:cstheme="minorHAnsi"/>
        </w:rPr>
        <w:t xml:space="preserve">from 2012 onwards </w:t>
      </w:r>
      <w:r w:rsidRPr="00DA28A7">
        <w:rPr>
          <w:rFonts w:cstheme="minorHAnsi"/>
        </w:rPr>
        <w:t xml:space="preserve">as a </w:t>
      </w:r>
      <w:r w:rsidRPr="00DA28A7">
        <w:rPr>
          <w:rFonts w:eastAsia="Times New Roman" w:cstheme="minorHAnsi"/>
        </w:rPr>
        <w:t>reaction to the limits of competition</w:t>
      </w:r>
      <w:r>
        <w:rPr>
          <w:rFonts w:eastAsia="Times New Roman" w:cstheme="minorHAnsi"/>
        </w:rPr>
        <w:t xml:space="preserve"> within</w:t>
      </w:r>
      <w:r w:rsidRPr="00DA28A7">
        <w:rPr>
          <w:rFonts w:eastAsia="Times New Roman" w:cstheme="minorHAnsi"/>
        </w:rPr>
        <w:t xml:space="preserve"> the Lansley reforms </w:t>
      </w:r>
      <w:r>
        <w:rPr>
          <w:rFonts w:eastAsia="Times New Roman" w:cstheme="minorHAnsi"/>
        </w:rPr>
        <w:t>as a means to driving</w:t>
      </w:r>
      <w:r w:rsidRPr="00DA28A7">
        <w:rPr>
          <w:rFonts w:eastAsia="Times New Roman" w:cstheme="minorHAnsi"/>
        </w:rPr>
        <w:t xml:space="preserve"> performance improvement. </w:t>
      </w:r>
      <w:r w:rsidRPr="00DA28A7">
        <w:t xml:space="preserve">Mindsets around competition and ‘carving out a particular niche’ had increasingly </w:t>
      </w:r>
      <w:r w:rsidR="00857277">
        <w:t xml:space="preserve">changed which had been </w:t>
      </w:r>
      <w:r w:rsidRPr="00DA28A7">
        <w:t>driven by</w:t>
      </w:r>
      <w:r w:rsidRPr="00DA28A7">
        <w:rPr>
          <w:rFonts w:eastAsia="Times New Roman" w:cstheme="minorHAnsi"/>
        </w:rPr>
        <w:t xml:space="preserve"> t</w:t>
      </w:r>
      <w:r w:rsidRPr="00DA28A7">
        <w:t>he F</w:t>
      </w:r>
      <w:r>
        <w:t xml:space="preserve">ive </w:t>
      </w:r>
      <w:r w:rsidRPr="00DA28A7">
        <w:t>Y</w:t>
      </w:r>
      <w:r>
        <w:t xml:space="preserve">ear </w:t>
      </w:r>
      <w:r w:rsidRPr="00DA28A7">
        <w:t>F</w:t>
      </w:r>
      <w:r>
        <w:t xml:space="preserve">orward </w:t>
      </w:r>
      <w:r w:rsidRPr="00DA28A7">
        <w:t>V</w:t>
      </w:r>
      <w:r>
        <w:t>iew</w:t>
      </w:r>
      <w:r w:rsidRPr="00DA28A7">
        <w:t xml:space="preserve"> agenda in incentivising people ‘to pay more interest in other parts of the system’. </w:t>
      </w:r>
    </w:p>
    <w:p w14:paraId="0D670C79" w14:textId="22F09FDB" w:rsidR="00B8392E" w:rsidRDefault="00B8392E" w:rsidP="00B8392E">
      <w:pPr>
        <w:spacing w:line="360" w:lineRule="auto"/>
        <w:ind w:left="720"/>
        <w:jc w:val="both"/>
      </w:pPr>
      <w:r>
        <w:rPr>
          <w:i/>
        </w:rPr>
        <w:t xml:space="preserve">“… </w:t>
      </w:r>
      <w:r w:rsidRPr="008650B3">
        <w:rPr>
          <w:i/>
        </w:rPr>
        <w:t>the realisation that you can’t necessarily specify and procure for healthcare became quite obvious so I think Simon Stevens came in he realised that and having come from a background of accountable care organisations internationally he’d got this view, the kind of blurring the edges a little bit about who was actually responsible for which bit of activity… But also thinking about quality at more macro level and also obviously some of the most powerful parts of the system with the ability to destabilise the NHS are the very large providers</w:t>
      </w:r>
      <w:r>
        <w:rPr>
          <w:i/>
        </w:rPr>
        <w:t>,</w:t>
      </w:r>
      <w:r w:rsidRPr="008650B3">
        <w:rPr>
          <w:i/>
        </w:rPr>
        <w:t xml:space="preserve"> so how do we rebalance that and bring those providers to the table with an incentive to population health long term</w:t>
      </w:r>
      <w:r>
        <w:rPr>
          <w:i/>
        </w:rPr>
        <w:t>?”</w:t>
      </w:r>
      <w:r w:rsidRPr="008650B3">
        <w:rPr>
          <w:i/>
        </w:rPr>
        <w:t xml:space="preserve"> </w:t>
      </w:r>
      <w:r w:rsidRPr="009C55AF">
        <w:rPr>
          <w:color w:val="000000" w:themeColor="text1"/>
        </w:rPr>
        <w:t>(02; Director; Hospital Group 1)</w:t>
      </w:r>
      <w:r>
        <w:rPr>
          <w:i/>
        </w:rPr>
        <w:t>.</w:t>
      </w:r>
    </w:p>
    <w:p w14:paraId="45562D63" w14:textId="4F491EA2" w:rsidR="00B8392E" w:rsidRDefault="00B8392E" w:rsidP="00B8392E">
      <w:pPr>
        <w:spacing w:line="360" w:lineRule="auto"/>
        <w:jc w:val="both"/>
        <w:rPr>
          <w:rFonts w:eastAsia="Times New Roman" w:cstheme="minorHAnsi"/>
        </w:rPr>
      </w:pPr>
      <w:r w:rsidRPr="00DA28A7">
        <w:t>The Vanguard programme was cited as providing investment and energy to develop leadership ideas and initiatives as well as enable opportunities to learn from organisations elsewhere.</w:t>
      </w:r>
      <w:r w:rsidRPr="00DA28A7">
        <w:rPr>
          <w:rFonts w:eastAsia="Times New Roman" w:cstheme="minorHAnsi"/>
        </w:rPr>
        <w:t xml:space="preserve"> The learning from new care models was </w:t>
      </w:r>
      <w:r>
        <w:rPr>
          <w:rFonts w:eastAsia="Times New Roman" w:cstheme="minorHAnsi"/>
        </w:rPr>
        <w:t xml:space="preserve">also </w:t>
      </w:r>
      <w:r w:rsidRPr="00DA28A7">
        <w:rPr>
          <w:rFonts w:eastAsia="Times New Roman" w:cstheme="minorHAnsi"/>
        </w:rPr>
        <w:t xml:space="preserve">connected to current thinking regarding ‘systems transformation’ and the Long Term Plan objectives for </w:t>
      </w:r>
      <w:r>
        <w:rPr>
          <w:rFonts w:eastAsia="Times New Roman" w:cstheme="minorHAnsi"/>
        </w:rPr>
        <w:t>ICSs</w:t>
      </w:r>
      <w:r w:rsidRPr="00DA28A7">
        <w:rPr>
          <w:rFonts w:eastAsia="Times New Roman" w:cstheme="minorHAnsi"/>
        </w:rPr>
        <w:t xml:space="preserve">. </w:t>
      </w:r>
    </w:p>
    <w:p w14:paraId="161807FC" w14:textId="77777777" w:rsidR="00B8392E" w:rsidRPr="008650B3" w:rsidRDefault="00B8392E" w:rsidP="00B8392E">
      <w:pPr>
        <w:spacing w:line="360" w:lineRule="auto"/>
        <w:ind w:left="720"/>
        <w:jc w:val="both"/>
        <w:rPr>
          <w:i/>
        </w:rPr>
      </w:pPr>
      <w:r>
        <w:rPr>
          <w:i/>
        </w:rPr>
        <w:t xml:space="preserve">“… </w:t>
      </w:r>
      <w:r w:rsidRPr="008650B3">
        <w:rPr>
          <w:i/>
        </w:rPr>
        <w:t xml:space="preserve">the Vanguard programme was the first way that we came together and started collaborating and I think that was great that </w:t>
      </w:r>
      <w:r>
        <w:rPr>
          <w:i/>
        </w:rPr>
        <w:t>there</w:t>
      </w:r>
      <w:r w:rsidRPr="008650B3">
        <w:rPr>
          <w:i/>
        </w:rPr>
        <w:t xml:space="preserve"> was a bit of investment to do that and there was real energy for trying to drive on with that</w:t>
      </w:r>
      <w:r>
        <w:rPr>
          <w:i/>
        </w:rPr>
        <w:t>”</w:t>
      </w:r>
      <w:r w:rsidRPr="008650B3">
        <w:rPr>
          <w:i/>
        </w:rPr>
        <w:t xml:space="preserve"> </w:t>
      </w:r>
      <w:r w:rsidRPr="009C55AF">
        <w:rPr>
          <w:color w:val="000000" w:themeColor="text1"/>
        </w:rPr>
        <w:t>(21; Director of clinical service; Merger)</w:t>
      </w:r>
      <w:r w:rsidRPr="00343E4E">
        <w:rPr>
          <w:color w:val="000000" w:themeColor="text1"/>
        </w:rPr>
        <w:t>.</w:t>
      </w:r>
    </w:p>
    <w:p w14:paraId="32F6F9EE" w14:textId="16C84B95" w:rsidR="00B8392E" w:rsidRDefault="00B8392E" w:rsidP="00B8392E">
      <w:pPr>
        <w:spacing w:line="360" w:lineRule="auto"/>
        <w:jc w:val="both"/>
      </w:pPr>
      <w:r w:rsidRPr="00DA28A7">
        <w:t xml:space="preserve">Significant </w:t>
      </w:r>
      <w:r>
        <w:t>at</w:t>
      </w:r>
      <w:r w:rsidRPr="00DA28A7">
        <w:t xml:space="preserve"> the time of doing fieldwork was the </w:t>
      </w:r>
      <w:r w:rsidR="00B02293">
        <w:rPr>
          <w:rFonts w:eastAsia="Times New Roman" w:cstheme="minorHAnsi"/>
        </w:rPr>
        <w:t>C</w:t>
      </w:r>
      <w:r w:rsidR="00B17872">
        <w:rPr>
          <w:rFonts w:eastAsia="Times New Roman" w:cstheme="minorHAnsi"/>
        </w:rPr>
        <w:t>ovid</w:t>
      </w:r>
      <w:r w:rsidR="00857277">
        <w:rPr>
          <w:rFonts w:eastAsia="Times New Roman" w:cstheme="minorHAnsi"/>
        </w:rPr>
        <w:t xml:space="preserve">-19 </w:t>
      </w:r>
      <w:r w:rsidRPr="00DA28A7">
        <w:rPr>
          <w:rFonts w:eastAsia="Times New Roman" w:cstheme="minorHAnsi"/>
        </w:rPr>
        <w:t xml:space="preserve">pandemic which was identified as being important in </w:t>
      </w:r>
      <w:r>
        <w:rPr>
          <w:rFonts w:eastAsia="Times New Roman" w:cstheme="minorHAnsi"/>
        </w:rPr>
        <w:t>driving</w:t>
      </w:r>
      <w:r w:rsidRPr="00DA28A7">
        <w:rPr>
          <w:rFonts w:eastAsia="Times New Roman" w:cstheme="minorHAnsi"/>
        </w:rPr>
        <w:t xml:space="preserve"> shared purpose and the spirit of collaboration.</w:t>
      </w:r>
      <w:r>
        <w:rPr>
          <w:rFonts w:eastAsia="Times New Roman" w:cstheme="minorHAnsi"/>
        </w:rPr>
        <w:t xml:space="preserve"> </w:t>
      </w:r>
      <w:r w:rsidR="00B02293">
        <w:rPr>
          <w:rFonts w:eastAsia="Times New Roman" w:cstheme="minorHAnsi"/>
        </w:rPr>
        <w:t>C</w:t>
      </w:r>
      <w:r w:rsidR="00B17872">
        <w:rPr>
          <w:rFonts w:eastAsia="Times New Roman" w:cstheme="minorHAnsi"/>
        </w:rPr>
        <w:t>ovid</w:t>
      </w:r>
      <w:r w:rsidR="00857277">
        <w:rPr>
          <w:rFonts w:eastAsia="Times New Roman" w:cstheme="minorHAnsi"/>
        </w:rPr>
        <w:t xml:space="preserve">-19 </w:t>
      </w:r>
      <w:r w:rsidRPr="00DA28A7">
        <w:rPr>
          <w:rFonts w:eastAsia="Times New Roman" w:cstheme="minorHAnsi"/>
        </w:rPr>
        <w:t xml:space="preserve">had facilitated collaboration </w:t>
      </w:r>
      <w:r>
        <w:rPr>
          <w:rFonts w:eastAsia="Times New Roman" w:cstheme="minorHAnsi"/>
        </w:rPr>
        <w:t>where</w:t>
      </w:r>
      <w:r w:rsidRPr="00DA28A7">
        <w:rPr>
          <w:rFonts w:eastAsia="Times New Roman" w:cstheme="minorHAnsi"/>
        </w:rPr>
        <w:t xml:space="preserve"> established ‘bureaucratic burdens’ and ‘discussions about money and capital’ </w:t>
      </w:r>
      <w:r>
        <w:rPr>
          <w:rFonts w:eastAsia="Times New Roman" w:cstheme="minorHAnsi"/>
        </w:rPr>
        <w:t>had been</w:t>
      </w:r>
      <w:r w:rsidRPr="00DA28A7">
        <w:rPr>
          <w:rFonts w:eastAsia="Times New Roman" w:cstheme="minorHAnsi"/>
        </w:rPr>
        <w:t xml:space="preserve"> removed from the agenda. </w:t>
      </w:r>
      <w:r w:rsidR="00B02293">
        <w:t>C</w:t>
      </w:r>
      <w:r w:rsidR="00B17872">
        <w:t>ovid</w:t>
      </w:r>
      <w:r w:rsidR="00857277">
        <w:t>-19</w:t>
      </w:r>
      <w:r w:rsidRPr="00DA28A7">
        <w:t xml:space="preserve"> had brokered discussions that </w:t>
      </w:r>
      <w:r>
        <w:t>‘</w:t>
      </w:r>
      <w:r w:rsidRPr="00DA28A7">
        <w:t>dispell</w:t>
      </w:r>
      <w:r>
        <w:t>ed</w:t>
      </w:r>
      <w:r w:rsidRPr="00DA28A7">
        <w:t xml:space="preserve"> myths</w:t>
      </w:r>
      <w:r>
        <w:t>’</w:t>
      </w:r>
      <w:r w:rsidRPr="00DA28A7">
        <w:t xml:space="preserve"> about other stakeholders and enabl</w:t>
      </w:r>
      <w:r>
        <w:t>ed</w:t>
      </w:r>
      <w:r w:rsidRPr="00DA28A7">
        <w:t xml:space="preserve"> people ‘to get on and do other things and think longer-term’. Patient representatives also documented </w:t>
      </w:r>
      <w:r w:rsidR="00B02293">
        <w:t>C</w:t>
      </w:r>
      <w:r w:rsidR="00B17872">
        <w:t>ovid</w:t>
      </w:r>
      <w:r w:rsidR="00857277">
        <w:t xml:space="preserve">-19 </w:t>
      </w:r>
      <w:r w:rsidRPr="00DA28A7">
        <w:t>as driving a significant increase in collaboration between their providers (34, Focus Group).</w:t>
      </w:r>
    </w:p>
    <w:p w14:paraId="47DEFFD2" w14:textId="1E004720" w:rsidR="00B8392E" w:rsidRPr="008650B3" w:rsidRDefault="00B8392E" w:rsidP="00B8392E">
      <w:pPr>
        <w:spacing w:line="360" w:lineRule="auto"/>
        <w:ind w:left="720"/>
        <w:jc w:val="both"/>
        <w:rPr>
          <w:rFonts w:eastAsia="Times New Roman" w:cstheme="minorHAnsi"/>
          <w:i/>
        </w:rPr>
      </w:pPr>
      <w:r>
        <w:rPr>
          <w:rFonts w:eastAsia="Times New Roman" w:cstheme="minorHAnsi"/>
          <w:i/>
        </w:rPr>
        <w:t xml:space="preserve"> “… </w:t>
      </w:r>
      <w:r w:rsidR="00857277">
        <w:rPr>
          <w:rFonts w:eastAsia="Times New Roman" w:cstheme="minorHAnsi"/>
          <w:i/>
        </w:rPr>
        <w:t xml:space="preserve">[during </w:t>
      </w:r>
      <w:r w:rsidR="00B02293">
        <w:rPr>
          <w:rFonts w:eastAsia="Times New Roman" w:cstheme="minorHAnsi"/>
          <w:i/>
        </w:rPr>
        <w:t>C</w:t>
      </w:r>
      <w:r w:rsidR="00B17872">
        <w:rPr>
          <w:rFonts w:eastAsia="Times New Roman" w:cstheme="minorHAnsi"/>
          <w:i/>
        </w:rPr>
        <w:t>ovid</w:t>
      </w:r>
      <w:r w:rsidR="00857277">
        <w:rPr>
          <w:rFonts w:eastAsia="Times New Roman" w:cstheme="minorHAnsi"/>
          <w:i/>
        </w:rPr>
        <w:t>-19</w:t>
      </w:r>
      <w:r>
        <w:rPr>
          <w:rFonts w:eastAsia="Times New Roman" w:cstheme="minorHAnsi"/>
          <w:i/>
        </w:rPr>
        <w:t xml:space="preserve">] </w:t>
      </w:r>
      <w:r w:rsidRPr="008650B3">
        <w:rPr>
          <w:rFonts w:eastAsia="Times New Roman" w:cstheme="minorHAnsi"/>
          <w:i/>
        </w:rPr>
        <w:t>so many people have just been in favour of the removal of bureaucracy so removing a ton of barriers to partnership working and to relationships has just been so helpful so whether that’s DTOC fines or continuing healthcare. I haven’t heard anybody sort of raise any concern or any anxiety about all of those bureaucratic burdens which were lifted and seem to have really accelerated kind of partnership working</w:t>
      </w:r>
      <w:r>
        <w:rPr>
          <w:rFonts w:eastAsia="Times New Roman" w:cstheme="minorHAnsi"/>
          <w:i/>
        </w:rPr>
        <w:t>”</w:t>
      </w:r>
      <w:r w:rsidRPr="009C55AF">
        <w:rPr>
          <w:rFonts w:eastAsia="Times New Roman" w:cstheme="minorHAnsi"/>
          <w:iCs/>
        </w:rPr>
        <w:t xml:space="preserve"> (</w:t>
      </w:r>
      <w:r>
        <w:rPr>
          <w:iCs/>
          <w:color w:val="000000" w:themeColor="text1"/>
        </w:rPr>
        <w:t>06; Provider Association</w:t>
      </w:r>
      <w:r w:rsidRPr="009C55AF">
        <w:rPr>
          <w:iCs/>
          <w:color w:val="000000" w:themeColor="text1"/>
        </w:rPr>
        <w:t>)</w:t>
      </w:r>
      <w:r>
        <w:rPr>
          <w:iCs/>
          <w:color w:val="000000" w:themeColor="text1"/>
        </w:rPr>
        <w:t>.</w:t>
      </w:r>
    </w:p>
    <w:p w14:paraId="5108E564" w14:textId="3E7068FF" w:rsidR="00B8392E" w:rsidRDefault="00B8392E" w:rsidP="00B8392E">
      <w:pPr>
        <w:spacing w:line="360" w:lineRule="auto"/>
        <w:jc w:val="both"/>
      </w:pPr>
      <w:r w:rsidRPr="00DA28A7">
        <w:rPr>
          <w:rFonts w:eastAsia="Times New Roman" w:cstheme="minorHAnsi"/>
        </w:rPr>
        <w:t xml:space="preserve">The </w:t>
      </w:r>
      <w:r w:rsidR="00B02293">
        <w:rPr>
          <w:rFonts w:eastAsia="Times New Roman" w:cstheme="minorHAnsi"/>
        </w:rPr>
        <w:t>C</w:t>
      </w:r>
      <w:r w:rsidR="00B17872">
        <w:rPr>
          <w:rFonts w:eastAsia="Times New Roman" w:cstheme="minorHAnsi"/>
        </w:rPr>
        <w:t>ovid</w:t>
      </w:r>
      <w:r w:rsidR="00857277">
        <w:rPr>
          <w:rFonts w:eastAsia="Times New Roman" w:cstheme="minorHAnsi"/>
        </w:rPr>
        <w:t xml:space="preserve">-19 </w:t>
      </w:r>
      <w:r w:rsidRPr="00DA28A7">
        <w:rPr>
          <w:rFonts w:eastAsia="Times New Roman" w:cstheme="minorHAnsi"/>
        </w:rPr>
        <w:t xml:space="preserve">experience was </w:t>
      </w:r>
      <w:r>
        <w:rPr>
          <w:rFonts w:eastAsia="Times New Roman" w:cstheme="minorHAnsi"/>
        </w:rPr>
        <w:t xml:space="preserve">attributed with driving the formalisation of the </w:t>
      </w:r>
      <w:r w:rsidRPr="00DA28A7">
        <w:rPr>
          <w:rFonts w:eastAsia="Times New Roman" w:cstheme="minorHAnsi"/>
        </w:rPr>
        <w:t xml:space="preserve">ICS </w:t>
      </w:r>
      <w:r>
        <w:rPr>
          <w:rFonts w:eastAsia="Times New Roman" w:cstheme="minorHAnsi"/>
        </w:rPr>
        <w:t xml:space="preserve">agenda </w:t>
      </w:r>
      <w:r w:rsidRPr="00DA28A7">
        <w:rPr>
          <w:rFonts w:eastAsia="Times New Roman" w:cstheme="minorHAnsi"/>
        </w:rPr>
        <w:t xml:space="preserve">in ‘facilitating or convening partners’ </w:t>
      </w:r>
      <w:r>
        <w:rPr>
          <w:rFonts w:eastAsia="Times New Roman" w:cstheme="minorHAnsi"/>
        </w:rPr>
        <w:t xml:space="preserve">with </w:t>
      </w:r>
      <w:r w:rsidRPr="00DA28A7">
        <w:rPr>
          <w:rFonts w:eastAsia="Times New Roman" w:cstheme="minorHAnsi"/>
        </w:rPr>
        <w:t>provider collaborative models</w:t>
      </w:r>
      <w:r>
        <w:rPr>
          <w:rFonts w:eastAsia="Times New Roman" w:cstheme="minorHAnsi"/>
        </w:rPr>
        <w:t xml:space="preserve"> interpreted</w:t>
      </w:r>
      <w:r w:rsidRPr="00DA28A7">
        <w:rPr>
          <w:rFonts w:eastAsia="Times New Roman" w:cstheme="minorHAnsi"/>
        </w:rPr>
        <w:t xml:space="preserve"> as a way to deliver on the priorities of integrated care systems.</w:t>
      </w:r>
      <w:r w:rsidRPr="00046027">
        <w:t xml:space="preserve"> </w:t>
      </w:r>
    </w:p>
    <w:p w14:paraId="5D551FD1" w14:textId="39305832" w:rsidR="00B8392E" w:rsidRDefault="00B8392E" w:rsidP="00B8392E">
      <w:pPr>
        <w:spacing w:line="360" w:lineRule="auto"/>
        <w:ind w:left="720"/>
        <w:jc w:val="both"/>
        <w:rPr>
          <w:rFonts w:eastAsia="Times New Roman" w:cstheme="minorHAnsi"/>
        </w:rPr>
      </w:pPr>
      <w:r>
        <w:rPr>
          <w:i/>
        </w:rPr>
        <w:t xml:space="preserve">“… </w:t>
      </w:r>
      <w:r w:rsidRPr="008650B3">
        <w:rPr>
          <w:i/>
        </w:rPr>
        <w:t xml:space="preserve">with wave one </w:t>
      </w:r>
      <w:r w:rsidR="00B02293">
        <w:rPr>
          <w:i/>
        </w:rPr>
        <w:t>C</w:t>
      </w:r>
      <w:r w:rsidR="00B17872">
        <w:rPr>
          <w:i/>
        </w:rPr>
        <w:t>ovid</w:t>
      </w:r>
      <w:r w:rsidR="00857277">
        <w:rPr>
          <w:i/>
        </w:rPr>
        <w:t>-19</w:t>
      </w:r>
      <w:r w:rsidRPr="008650B3">
        <w:rPr>
          <w:i/>
        </w:rPr>
        <w:t xml:space="preserve">, we saw a lot of people saying, "We'll work together to do something". And then it didn't quite get bad enough in our area to compel that. So things went very quickly back to the way they were. The second wave of </w:t>
      </w:r>
      <w:r w:rsidR="00B02293">
        <w:rPr>
          <w:i/>
        </w:rPr>
        <w:t>C</w:t>
      </w:r>
      <w:r w:rsidR="00B17872">
        <w:rPr>
          <w:i/>
        </w:rPr>
        <w:t>ovid</w:t>
      </w:r>
      <w:r w:rsidR="00857277">
        <w:rPr>
          <w:i/>
        </w:rPr>
        <w:t>-19</w:t>
      </w:r>
      <w:r w:rsidRPr="008650B3">
        <w:rPr>
          <w:i/>
        </w:rPr>
        <w:t>, things were much more extreme where we were. So we did manage to change the models of care. And then the legislation is trying to, I think, put walls around some of those things. They wouldn't necessarily had been there in normal time. So there'll be some difficulties in trying to mainstream that</w:t>
      </w:r>
      <w:r>
        <w:rPr>
          <w:i/>
        </w:rPr>
        <w:t xml:space="preserve">” </w:t>
      </w:r>
      <w:r w:rsidRPr="009C55AF">
        <w:rPr>
          <w:iCs/>
        </w:rPr>
        <w:t>(</w:t>
      </w:r>
      <w:r w:rsidRPr="009C55AF">
        <w:rPr>
          <w:iCs/>
          <w:color w:val="000000" w:themeColor="text1"/>
        </w:rPr>
        <w:t>02; Director; Hospital Group 1</w:t>
      </w:r>
      <w:r w:rsidRPr="009C55AF">
        <w:rPr>
          <w:iCs/>
        </w:rPr>
        <w:t>)</w:t>
      </w:r>
      <w:r>
        <w:rPr>
          <w:iCs/>
        </w:rPr>
        <w:t>.</w:t>
      </w:r>
    </w:p>
    <w:p w14:paraId="25B283BF" w14:textId="77777777" w:rsidR="00B8392E" w:rsidRDefault="00B8392E" w:rsidP="00B8392E">
      <w:pPr>
        <w:spacing w:line="360" w:lineRule="auto"/>
        <w:jc w:val="both"/>
        <w:rPr>
          <w:rFonts w:eastAsia="Times New Roman" w:cstheme="minorHAnsi"/>
        </w:rPr>
      </w:pPr>
      <w:r w:rsidRPr="00DA28A7">
        <w:rPr>
          <w:rFonts w:eastAsia="Times New Roman" w:cstheme="minorHAnsi"/>
        </w:rPr>
        <w:t xml:space="preserve">The formalisation of ICS </w:t>
      </w:r>
      <w:r>
        <w:rPr>
          <w:rFonts w:eastAsia="Times New Roman" w:cstheme="minorHAnsi"/>
        </w:rPr>
        <w:t xml:space="preserve">structures </w:t>
      </w:r>
      <w:r w:rsidRPr="00DA28A7">
        <w:rPr>
          <w:rFonts w:eastAsia="Times New Roman" w:cstheme="minorHAnsi"/>
        </w:rPr>
        <w:t xml:space="preserve">created a recognition that contexts for collaboration were arguably now ‘stronger than ever’. However, the conversion of motivation and interest </w:t>
      </w:r>
      <w:r>
        <w:rPr>
          <w:rFonts w:eastAsia="Times New Roman" w:cstheme="minorHAnsi"/>
        </w:rPr>
        <w:t xml:space="preserve">towards collaboration </w:t>
      </w:r>
      <w:r w:rsidRPr="00DA28A7">
        <w:rPr>
          <w:rFonts w:eastAsia="Times New Roman" w:cstheme="minorHAnsi"/>
        </w:rPr>
        <w:t>was</w:t>
      </w:r>
      <w:r>
        <w:rPr>
          <w:rFonts w:eastAsia="Times New Roman" w:cstheme="minorHAnsi"/>
        </w:rPr>
        <w:t xml:space="preserve"> by no means straight</w:t>
      </w:r>
      <w:r w:rsidRPr="00DA28A7">
        <w:rPr>
          <w:rFonts w:eastAsia="Times New Roman" w:cstheme="minorHAnsi"/>
        </w:rPr>
        <w:t xml:space="preserve">forward with ongoing conflict with local partners stifling momentum. </w:t>
      </w:r>
      <w:r>
        <w:rPr>
          <w:rFonts w:eastAsia="Times New Roman" w:cstheme="minorHAnsi"/>
        </w:rPr>
        <w:t xml:space="preserve">The move towards collaborative and away from competitive behaviour could be a turbulent one. </w:t>
      </w:r>
      <w:r w:rsidRPr="00DA28A7">
        <w:rPr>
          <w:rFonts w:eastAsia="Times New Roman" w:cstheme="minorHAnsi"/>
        </w:rPr>
        <w:t xml:space="preserve">Local competition </w:t>
      </w:r>
      <w:r>
        <w:rPr>
          <w:rFonts w:eastAsia="Times New Roman" w:cstheme="minorHAnsi"/>
        </w:rPr>
        <w:t>‘</w:t>
      </w:r>
      <w:r w:rsidRPr="00DA28A7">
        <w:rPr>
          <w:rFonts w:eastAsia="Times New Roman" w:cstheme="minorHAnsi"/>
        </w:rPr>
        <w:t>to be the best</w:t>
      </w:r>
      <w:r>
        <w:rPr>
          <w:rFonts w:eastAsia="Times New Roman" w:cstheme="minorHAnsi"/>
        </w:rPr>
        <w:t>’</w:t>
      </w:r>
      <w:r w:rsidRPr="00DA28A7">
        <w:rPr>
          <w:rFonts w:eastAsia="Times New Roman" w:cstheme="minorHAnsi"/>
        </w:rPr>
        <w:t xml:space="preserve"> remained a challenge</w:t>
      </w:r>
      <w:r>
        <w:rPr>
          <w:rFonts w:eastAsia="Times New Roman" w:cstheme="minorHAnsi"/>
        </w:rPr>
        <w:t>,</w:t>
      </w:r>
      <w:r w:rsidRPr="00DA28A7">
        <w:rPr>
          <w:rFonts w:eastAsia="Times New Roman" w:cstheme="minorHAnsi"/>
        </w:rPr>
        <w:t xml:space="preserve"> as was the importance of </w:t>
      </w:r>
      <w:r>
        <w:rPr>
          <w:rFonts w:eastAsia="Times New Roman" w:cstheme="minorHAnsi"/>
        </w:rPr>
        <w:t xml:space="preserve">organisational </w:t>
      </w:r>
      <w:r w:rsidRPr="00DA28A7">
        <w:rPr>
          <w:rFonts w:eastAsia="Times New Roman" w:cstheme="minorHAnsi"/>
        </w:rPr>
        <w:t xml:space="preserve">sovereignty and acknowledging existing boundaries. The power of professional status </w:t>
      </w:r>
      <w:r>
        <w:rPr>
          <w:rFonts w:eastAsia="Times New Roman" w:cstheme="minorHAnsi"/>
        </w:rPr>
        <w:t>also featured</w:t>
      </w:r>
      <w:r w:rsidRPr="00DA28A7">
        <w:rPr>
          <w:rFonts w:eastAsia="Times New Roman" w:cstheme="minorHAnsi"/>
        </w:rPr>
        <w:t xml:space="preserve"> </w:t>
      </w:r>
      <w:r>
        <w:rPr>
          <w:rFonts w:eastAsia="Times New Roman" w:cstheme="minorHAnsi"/>
        </w:rPr>
        <w:t xml:space="preserve">where encroachment on professional </w:t>
      </w:r>
      <w:r w:rsidRPr="00DA28A7">
        <w:rPr>
          <w:rFonts w:eastAsia="Times New Roman" w:cstheme="minorHAnsi"/>
        </w:rPr>
        <w:t xml:space="preserve">standing </w:t>
      </w:r>
      <w:r>
        <w:rPr>
          <w:rFonts w:eastAsia="Times New Roman" w:cstheme="minorHAnsi"/>
        </w:rPr>
        <w:t>could lead to resistance towards collaborative efforts.</w:t>
      </w:r>
    </w:p>
    <w:p w14:paraId="4C7502AA" w14:textId="77777777" w:rsidR="00B8392E" w:rsidRPr="008650B3" w:rsidRDefault="00B8392E" w:rsidP="00B8392E">
      <w:pPr>
        <w:spacing w:line="360" w:lineRule="auto"/>
        <w:ind w:left="720"/>
        <w:jc w:val="both"/>
        <w:rPr>
          <w:rFonts w:eastAsia="Times New Roman" w:cstheme="minorHAnsi"/>
          <w:i/>
        </w:rPr>
      </w:pPr>
      <w:r>
        <w:rPr>
          <w:rFonts w:cstheme="minorHAnsi"/>
          <w:i/>
          <w:color w:val="000000"/>
        </w:rPr>
        <w:t xml:space="preserve"> “</w:t>
      </w:r>
      <w:r w:rsidRPr="008650B3">
        <w:rPr>
          <w:rFonts w:cstheme="minorHAnsi"/>
          <w:i/>
          <w:color w:val="000000"/>
        </w:rPr>
        <w:t>… actually there is still very much that people want to hold onto their professional status, their standing, and where they’re at</w:t>
      </w:r>
      <w:r>
        <w:rPr>
          <w:rFonts w:cstheme="minorHAnsi"/>
          <w:i/>
          <w:color w:val="000000"/>
        </w:rPr>
        <w:t>,</w:t>
      </w:r>
      <w:r w:rsidRPr="008650B3">
        <w:rPr>
          <w:rFonts w:cstheme="minorHAnsi"/>
          <w:i/>
          <w:color w:val="000000"/>
        </w:rPr>
        <w:t xml:space="preserve"> and that it isn’t easy to maintain that vision of why you’re doing something because we’ve all got our own personal motivations for why we’re in work</w:t>
      </w:r>
      <w:r>
        <w:rPr>
          <w:rFonts w:cstheme="minorHAnsi"/>
          <w:i/>
          <w:color w:val="000000"/>
        </w:rPr>
        <w:t xml:space="preserve">” </w:t>
      </w:r>
      <w:r w:rsidRPr="009C55AF">
        <w:rPr>
          <w:color w:val="000000" w:themeColor="text1"/>
        </w:rPr>
        <w:t>(21; Director of clinical service; Merger)</w:t>
      </w:r>
      <w:r w:rsidRPr="007F1341">
        <w:rPr>
          <w:color w:val="000000" w:themeColor="text1"/>
        </w:rPr>
        <w:t>.</w:t>
      </w:r>
      <w:r w:rsidRPr="008A6558">
        <w:rPr>
          <w:color w:val="000000" w:themeColor="text1"/>
        </w:rPr>
        <w:t xml:space="preserve"> </w:t>
      </w:r>
    </w:p>
    <w:p w14:paraId="3FF40A27" w14:textId="2BDD58D7" w:rsidR="00B8392E" w:rsidRDefault="00B8392E" w:rsidP="00B8392E">
      <w:pPr>
        <w:spacing w:line="360" w:lineRule="auto"/>
        <w:jc w:val="both"/>
      </w:pPr>
      <w:r w:rsidRPr="00DA28A7">
        <w:rPr>
          <w:rFonts w:eastAsia="Times New Roman" w:cstheme="minorHAnsi"/>
        </w:rPr>
        <w:t xml:space="preserve">The </w:t>
      </w:r>
      <w:r>
        <w:rPr>
          <w:rFonts w:eastAsia="Times New Roman" w:cstheme="minorHAnsi"/>
        </w:rPr>
        <w:t xml:space="preserve">present </w:t>
      </w:r>
      <w:r w:rsidRPr="00DA28A7">
        <w:rPr>
          <w:rFonts w:eastAsia="Times New Roman" w:cstheme="minorHAnsi"/>
        </w:rPr>
        <w:t xml:space="preserve">regulatory regimes promoting competition also </w:t>
      </w:r>
      <w:r>
        <w:rPr>
          <w:rFonts w:eastAsia="Times New Roman" w:cstheme="minorHAnsi"/>
        </w:rPr>
        <w:t>featured</w:t>
      </w:r>
      <w:r w:rsidRPr="00DA28A7">
        <w:rPr>
          <w:rFonts w:eastAsia="Times New Roman" w:cstheme="minorHAnsi"/>
        </w:rPr>
        <w:t>, with documented challenges associated with working with regulators to support collaborati</w:t>
      </w:r>
      <w:r>
        <w:rPr>
          <w:rFonts w:eastAsia="Times New Roman" w:cstheme="minorHAnsi"/>
        </w:rPr>
        <w:t>on</w:t>
      </w:r>
      <w:r w:rsidRPr="00DA28A7">
        <w:rPr>
          <w:rFonts w:eastAsia="Times New Roman" w:cstheme="minorHAnsi"/>
        </w:rPr>
        <w:t>. Distrust of regulators built on experience</w:t>
      </w:r>
      <w:r w:rsidR="00C14DD7">
        <w:rPr>
          <w:rFonts w:eastAsia="Times New Roman" w:cstheme="minorHAnsi"/>
        </w:rPr>
        <w:t>s</w:t>
      </w:r>
      <w:r w:rsidRPr="00DA28A7">
        <w:rPr>
          <w:rFonts w:eastAsia="Times New Roman" w:cstheme="minorHAnsi"/>
        </w:rPr>
        <w:t xml:space="preserve"> of broken promises about financial investment. </w:t>
      </w:r>
      <w:r w:rsidR="00C14DD7">
        <w:rPr>
          <w:rFonts w:eastAsia="Times New Roman" w:cstheme="minorHAnsi"/>
        </w:rPr>
        <w:t>The l</w:t>
      </w:r>
      <w:r w:rsidRPr="00DA28A7">
        <w:rPr>
          <w:rFonts w:eastAsia="Times New Roman" w:cstheme="minorHAnsi"/>
        </w:rPr>
        <w:t>asting effects and experiences of trying to collaborate within competitive environments was also raised with the role of the C</w:t>
      </w:r>
      <w:r>
        <w:rPr>
          <w:rFonts w:eastAsia="Times New Roman" w:cstheme="minorHAnsi"/>
        </w:rPr>
        <w:t xml:space="preserve">ompetition and </w:t>
      </w:r>
      <w:r w:rsidRPr="00DA28A7">
        <w:rPr>
          <w:rFonts w:eastAsia="Times New Roman" w:cstheme="minorHAnsi"/>
        </w:rPr>
        <w:t>M</w:t>
      </w:r>
      <w:r>
        <w:rPr>
          <w:rFonts w:eastAsia="Times New Roman" w:cstheme="minorHAnsi"/>
        </w:rPr>
        <w:t>arkets Authority (CM</w:t>
      </w:r>
      <w:r w:rsidRPr="00DA28A7">
        <w:rPr>
          <w:rFonts w:eastAsia="Times New Roman" w:cstheme="minorHAnsi"/>
        </w:rPr>
        <w:t>A</w:t>
      </w:r>
      <w:r>
        <w:rPr>
          <w:rFonts w:eastAsia="Times New Roman" w:cstheme="minorHAnsi"/>
        </w:rPr>
        <w:t>)</w:t>
      </w:r>
      <w:r w:rsidRPr="00DA28A7">
        <w:rPr>
          <w:rFonts w:eastAsia="Times New Roman" w:cstheme="minorHAnsi"/>
        </w:rPr>
        <w:t xml:space="preserve"> ‘fresh in our minds’ </w:t>
      </w:r>
      <w:r w:rsidR="00C14DD7">
        <w:rPr>
          <w:rFonts w:eastAsia="Times New Roman" w:cstheme="minorHAnsi"/>
        </w:rPr>
        <w:t>as</w:t>
      </w:r>
      <w:r w:rsidRPr="00DA28A7">
        <w:rPr>
          <w:rFonts w:eastAsia="Times New Roman" w:cstheme="minorHAnsi"/>
        </w:rPr>
        <w:t xml:space="preserve"> a detrimental impact on collaboration. </w:t>
      </w:r>
    </w:p>
    <w:p w14:paraId="10363E35" w14:textId="77777777" w:rsidR="00B8392E" w:rsidRDefault="00B8392E" w:rsidP="00B8392E">
      <w:pPr>
        <w:spacing w:line="360" w:lineRule="auto"/>
        <w:ind w:left="720"/>
        <w:jc w:val="both"/>
      </w:pPr>
      <w:r>
        <w:rPr>
          <w:rFonts w:eastAsia="Times New Roman" w:cstheme="minorHAnsi"/>
          <w:i/>
        </w:rPr>
        <w:t xml:space="preserve">“… </w:t>
      </w:r>
      <w:r w:rsidRPr="008650B3">
        <w:rPr>
          <w:rFonts w:eastAsia="Times New Roman" w:cstheme="minorHAnsi"/>
          <w:i/>
        </w:rPr>
        <w:t>the reward element, I believed then, and I still do now, could be, or could have been a sufficient element to reignite interest amongst organisations and to send the, you know, a huge signal that improvement is what the centre of the NHS attach importance to, and those organisations who step forward with competence and credibility would be rewarded to take on organisations that were in difficulty. That was the proposal that I put forward, and</w:t>
      </w:r>
      <w:r>
        <w:rPr>
          <w:rFonts w:eastAsia="Times New Roman" w:cstheme="minorHAnsi"/>
          <w:i/>
        </w:rPr>
        <w:t>,</w:t>
      </w:r>
      <w:r w:rsidRPr="008650B3">
        <w:rPr>
          <w:rFonts w:eastAsia="Times New Roman" w:cstheme="minorHAnsi"/>
          <w:i/>
        </w:rPr>
        <w:t xml:space="preserve"> in the end, we weren’t supported financially in the way that I was led to believe we were going to be </w:t>
      </w:r>
      <w:r w:rsidRPr="009C55AF">
        <w:rPr>
          <w:color w:val="000000" w:themeColor="text1"/>
        </w:rPr>
        <w:t>(12; Former CEO; Alliance 1</w:t>
      </w:r>
      <w:r w:rsidRPr="009C55AF">
        <w:rPr>
          <w:rFonts w:eastAsia="Times New Roman" w:cstheme="minorHAnsi"/>
        </w:rPr>
        <w:t>).</w:t>
      </w:r>
    </w:p>
    <w:p w14:paraId="0BFD2809" w14:textId="7285F376" w:rsidR="00B8392E" w:rsidRDefault="00B8392E" w:rsidP="00B8392E">
      <w:pPr>
        <w:spacing w:line="360" w:lineRule="auto"/>
        <w:jc w:val="both"/>
        <w:rPr>
          <w:rFonts w:eastAsia="Times New Roman" w:cstheme="minorHAnsi"/>
        </w:rPr>
      </w:pPr>
      <w:r w:rsidRPr="00DA28A7">
        <w:t xml:space="preserve">Concerns were raised that as </w:t>
      </w:r>
      <w:r w:rsidR="00B02293">
        <w:t>C</w:t>
      </w:r>
      <w:r w:rsidR="00B17872">
        <w:t>ovid</w:t>
      </w:r>
      <w:r w:rsidR="00857277">
        <w:t>-19</w:t>
      </w:r>
      <w:r w:rsidRPr="00DA28A7">
        <w:t xml:space="preserve"> recedes, the regulatory barriers that were previously lifted would be put back in place stifling momentum.</w:t>
      </w:r>
    </w:p>
    <w:p w14:paraId="09F59E44" w14:textId="011AA33E" w:rsidR="00B8392E" w:rsidRPr="009C55AF" w:rsidRDefault="00B8392E" w:rsidP="00B8392E">
      <w:pPr>
        <w:pStyle w:val="Quote"/>
        <w:ind w:left="709" w:right="-46"/>
        <w:jc w:val="both"/>
        <w:rPr>
          <w:color w:val="000000" w:themeColor="text1"/>
        </w:rPr>
      </w:pPr>
      <w:r w:rsidRPr="009C55AF">
        <w:rPr>
          <w:color w:val="000000" w:themeColor="text1"/>
        </w:rPr>
        <w:t xml:space="preserve">“… so the worry I suppose post </w:t>
      </w:r>
      <w:r w:rsidR="00B02293">
        <w:rPr>
          <w:color w:val="000000" w:themeColor="text1"/>
        </w:rPr>
        <w:t>C</w:t>
      </w:r>
      <w:r w:rsidR="00B17872">
        <w:rPr>
          <w:color w:val="000000" w:themeColor="text1"/>
        </w:rPr>
        <w:t>ovid</w:t>
      </w:r>
      <w:r w:rsidR="00857277">
        <w:rPr>
          <w:color w:val="000000" w:themeColor="text1"/>
        </w:rPr>
        <w:t>-19</w:t>
      </w:r>
      <w:r w:rsidRPr="009C55AF">
        <w:rPr>
          <w:color w:val="000000" w:themeColor="text1"/>
        </w:rPr>
        <w:t xml:space="preserve"> is some of that coming back and those barriers going up again really” </w:t>
      </w:r>
      <w:r w:rsidRPr="009C55AF">
        <w:rPr>
          <w:i w:val="0"/>
          <w:iCs w:val="0"/>
          <w:color w:val="000000" w:themeColor="text1"/>
        </w:rPr>
        <w:t>(06; NHS Providers; Range).</w:t>
      </w:r>
    </w:p>
    <w:p w14:paraId="2EC544A3" w14:textId="3D34B385" w:rsidR="00B8392E" w:rsidRDefault="00B8392E" w:rsidP="00B8392E">
      <w:pPr>
        <w:spacing w:line="360" w:lineRule="auto"/>
        <w:jc w:val="both"/>
      </w:pPr>
      <w:r w:rsidRPr="00825781">
        <w:t xml:space="preserve"> </w:t>
      </w:r>
      <w:r w:rsidRPr="00DA28A7">
        <w:t>Regulatory perspectives reflected on the role inspections</w:t>
      </w:r>
      <w:r>
        <w:t xml:space="preserve"> had</w:t>
      </w:r>
      <w:r w:rsidRPr="00DA28A7">
        <w:t xml:space="preserve"> in helping organisations ‘keep focused’ and </w:t>
      </w:r>
      <w:r>
        <w:t xml:space="preserve">to </w:t>
      </w:r>
      <w:r w:rsidRPr="00DA28A7">
        <w:t>provide a benchmark for progress</w:t>
      </w:r>
      <w:r>
        <w:t xml:space="preserve"> in the turnaround of organisational performance</w:t>
      </w:r>
      <w:r w:rsidRPr="00DA28A7">
        <w:t>. However, it remained unclear what the CQC role would be within the ICS landscape</w:t>
      </w:r>
      <w:r w:rsidR="00C14DD7">
        <w:t xml:space="preserve"> in holding</w:t>
      </w:r>
      <w:r w:rsidRPr="00DA28A7">
        <w:t xml:space="preserve"> </w:t>
      </w:r>
      <w:r w:rsidR="00C14DD7">
        <w:t>organisations</w:t>
      </w:r>
      <w:r w:rsidRPr="00DA28A7">
        <w:t xml:space="preserve"> and system</w:t>
      </w:r>
      <w:r w:rsidR="00C14DD7">
        <w:t>s to account for performance</w:t>
      </w:r>
      <w:r w:rsidRPr="00DA28A7">
        <w:t xml:space="preserve">. While moving to </w:t>
      </w:r>
      <w:r>
        <w:t>‘</w:t>
      </w:r>
      <w:r w:rsidRPr="00DA28A7">
        <w:t>system by default</w:t>
      </w:r>
      <w:r>
        <w:t>’</w:t>
      </w:r>
      <w:r w:rsidRPr="00DA28A7">
        <w:t xml:space="preserve"> was being encouraged by the centre, </w:t>
      </w:r>
      <w:r>
        <w:t>c</w:t>
      </w:r>
      <w:r w:rsidRPr="00DA28A7">
        <w:t xml:space="preserve">oncerns </w:t>
      </w:r>
      <w:r w:rsidR="00C14DD7">
        <w:t xml:space="preserve">were </w:t>
      </w:r>
      <w:r>
        <w:t xml:space="preserve">raised </w:t>
      </w:r>
      <w:r w:rsidRPr="00DA28A7">
        <w:t xml:space="preserve">about whether CQC </w:t>
      </w:r>
      <w:r>
        <w:t xml:space="preserve">had the systems and processes in place to oversee the agenda. </w:t>
      </w:r>
    </w:p>
    <w:p w14:paraId="60E6E1F4" w14:textId="46F937A5" w:rsidR="00B8392E" w:rsidRPr="00D073E9" w:rsidRDefault="00B8392E" w:rsidP="00B8392E">
      <w:pPr>
        <w:spacing w:line="360" w:lineRule="auto"/>
        <w:ind w:left="720"/>
        <w:jc w:val="both"/>
        <w:rPr>
          <w:i/>
        </w:rPr>
      </w:pPr>
      <w:r>
        <w:rPr>
          <w:i/>
        </w:rPr>
        <w:t>“</w:t>
      </w:r>
      <w:r w:rsidRPr="00D073E9">
        <w:rPr>
          <w:i/>
        </w:rPr>
        <w:t xml:space="preserve">I think that’s an area where we would encourage regulators to kind of take a slightly different view of, you know, </w:t>
      </w:r>
      <w:r>
        <w:rPr>
          <w:i/>
        </w:rPr>
        <w:t>‘</w:t>
      </w:r>
      <w:r w:rsidRPr="00D073E9">
        <w:rPr>
          <w:i/>
        </w:rPr>
        <w:t>what is performance in a system and how do you measure that?</w:t>
      </w:r>
      <w:r>
        <w:rPr>
          <w:i/>
        </w:rPr>
        <w:t>’</w:t>
      </w:r>
      <w:r w:rsidRPr="00D073E9">
        <w:rPr>
          <w:i/>
        </w:rPr>
        <w:t xml:space="preserve">  And then</w:t>
      </w:r>
      <w:r>
        <w:rPr>
          <w:i/>
        </w:rPr>
        <w:t>,</w:t>
      </w:r>
      <w:r w:rsidRPr="00D073E9">
        <w:rPr>
          <w:i/>
        </w:rPr>
        <w:t xml:space="preserve"> there’s a wider question of, you know, </w:t>
      </w:r>
      <w:r>
        <w:rPr>
          <w:i/>
        </w:rPr>
        <w:t>‘</w:t>
      </w:r>
      <w:r w:rsidRPr="00D073E9">
        <w:rPr>
          <w:i/>
        </w:rPr>
        <w:t>does CQC have their remit to performance manage a system, regulate a system?</w:t>
      </w:r>
      <w:r>
        <w:rPr>
          <w:i/>
        </w:rPr>
        <w:t>’</w:t>
      </w:r>
      <w:r w:rsidRPr="00D073E9">
        <w:rPr>
          <w:i/>
        </w:rPr>
        <w:t xml:space="preserve">  Not really</w:t>
      </w:r>
      <w:r>
        <w:rPr>
          <w:i/>
        </w:rPr>
        <w:t>,</w:t>
      </w:r>
      <w:r w:rsidRPr="00D073E9">
        <w:rPr>
          <w:i/>
        </w:rPr>
        <w:t xml:space="preserve"> and does NHSEI have a framework in place to performance manage a system?  Maybe not quite yet, so I think there’s quite a lot of work still to be done there</w:t>
      </w:r>
      <w:r>
        <w:rPr>
          <w:i/>
        </w:rPr>
        <w:t xml:space="preserve">” </w:t>
      </w:r>
      <w:r w:rsidRPr="009C55AF">
        <w:rPr>
          <w:iCs/>
        </w:rPr>
        <w:t>(</w:t>
      </w:r>
      <w:r>
        <w:rPr>
          <w:iCs/>
          <w:color w:val="000000" w:themeColor="text1"/>
        </w:rPr>
        <w:t>06b; Provider Association</w:t>
      </w:r>
      <w:r w:rsidRPr="009C55AF">
        <w:rPr>
          <w:iCs/>
          <w:color w:val="000000" w:themeColor="text1"/>
        </w:rPr>
        <w:t>).</w:t>
      </w:r>
    </w:p>
    <w:p w14:paraId="14772516" w14:textId="0520AC12" w:rsidR="00B8392E" w:rsidRPr="003A52C2" w:rsidRDefault="00B8392E" w:rsidP="00B8392E">
      <w:pPr>
        <w:spacing w:line="360" w:lineRule="auto"/>
        <w:ind w:left="720"/>
        <w:jc w:val="both"/>
        <w:rPr>
          <w:i/>
        </w:rPr>
      </w:pPr>
      <w:r>
        <w:rPr>
          <w:i/>
        </w:rPr>
        <w:t xml:space="preserve"> “</w:t>
      </w:r>
      <w:r w:rsidRPr="003A52C2">
        <w:rPr>
          <w:i/>
        </w:rPr>
        <w:t>One of the challenges for us is to be able to get enough information of good quality data upfront to try and make a targeted assessment. If we’re looking at a risk based assessment. you need good quality data. At the moment the systems are not designed so that we can access that in a sort of real-time manner</w:t>
      </w:r>
      <w:r>
        <w:rPr>
          <w:i/>
        </w:rPr>
        <w:t>”</w:t>
      </w:r>
      <w:r w:rsidRPr="003A52C2">
        <w:rPr>
          <w:i/>
        </w:rPr>
        <w:t xml:space="preserve"> </w:t>
      </w:r>
      <w:r w:rsidR="00C14DD7">
        <w:rPr>
          <w:iCs/>
        </w:rPr>
        <w:t>(8; Regional Inspectorate Lead</w:t>
      </w:r>
      <w:r w:rsidRPr="009C55AF">
        <w:rPr>
          <w:iCs/>
        </w:rPr>
        <w:t>)</w:t>
      </w:r>
      <w:r>
        <w:rPr>
          <w:iCs/>
        </w:rPr>
        <w:t>.</w:t>
      </w:r>
    </w:p>
    <w:p w14:paraId="39D66F7F" w14:textId="7A583E43" w:rsidR="00B8392E" w:rsidRDefault="00B8392E" w:rsidP="00B8392E">
      <w:pPr>
        <w:spacing w:line="360" w:lineRule="auto"/>
        <w:jc w:val="both"/>
      </w:pPr>
      <w:r w:rsidRPr="00DA28A7">
        <w:t xml:space="preserve">Improved collaboration between </w:t>
      </w:r>
      <w:r>
        <w:t>CQC and</w:t>
      </w:r>
      <w:r w:rsidRPr="00DA28A7">
        <w:t xml:space="preserve"> NHS Engl</w:t>
      </w:r>
      <w:r w:rsidR="007A430A">
        <w:t>and/</w:t>
      </w:r>
      <w:r>
        <w:t>Improvement</w:t>
      </w:r>
      <w:r w:rsidR="007A430A">
        <w:t xml:space="preserve"> </w:t>
      </w:r>
      <w:r w:rsidR="00B17872">
        <w:t>was</w:t>
      </w:r>
      <w:r w:rsidR="007A430A">
        <w:t xml:space="preserve"> called for:</w:t>
      </w:r>
    </w:p>
    <w:p w14:paraId="72801EF2" w14:textId="4CB7AE77" w:rsidR="00B8392E" w:rsidRDefault="00B8392E" w:rsidP="00B8392E">
      <w:pPr>
        <w:spacing w:line="360" w:lineRule="auto"/>
        <w:ind w:left="720"/>
        <w:jc w:val="both"/>
      </w:pPr>
      <w:r>
        <w:rPr>
          <w:i/>
        </w:rPr>
        <w:t>“</w:t>
      </w:r>
      <w:r w:rsidRPr="003A52C2">
        <w:rPr>
          <w:i/>
        </w:rPr>
        <w:t xml:space="preserve">I think </w:t>
      </w:r>
      <w:r w:rsidR="00B02293">
        <w:rPr>
          <w:i/>
        </w:rPr>
        <w:t>C</w:t>
      </w:r>
      <w:r w:rsidR="00B17872">
        <w:rPr>
          <w:i/>
        </w:rPr>
        <w:t>ovid</w:t>
      </w:r>
      <w:r w:rsidR="00857277">
        <w:rPr>
          <w:i/>
        </w:rPr>
        <w:t>-19</w:t>
      </w:r>
      <w:r w:rsidRPr="003A52C2">
        <w:rPr>
          <w:i/>
        </w:rPr>
        <w:t xml:space="preserve"> has shown that actually lots of communities have benefitted from the systems that are in place and the mutual aid that’s happened.  The provider collaborations that have actually sprung up from </w:t>
      </w:r>
      <w:r w:rsidR="00B02293">
        <w:rPr>
          <w:i/>
        </w:rPr>
        <w:t>C</w:t>
      </w:r>
      <w:r w:rsidR="00B17872">
        <w:rPr>
          <w:i/>
        </w:rPr>
        <w:t>ovid</w:t>
      </w:r>
      <w:r w:rsidR="00857277">
        <w:rPr>
          <w:i/>
        </w:rPr>
        <w:t>-19</w:t>
      </w:r>
      <w:r w:rsidRPr="003A52C2">
        <w:rPr>
          <w:i/>
        </w:rPr>
        <w:t xml:space="preserve"> in particular have been legion and really interesting actually but at the moment there is a massive mismatch and I think, I think there has been a lack of desire from NHS England mainly and NHS Improvement and others to have a real conversation about what we want, they’ve just wanted to push through an approach and basically without, you know, we’ve got real incremental policy change without understanding the cumulative impact of all of these changes</w:t>
      </w:r>
      <w:r>
        <w:rPr>
          <w:i/>
        </w:rPr>
        <w:t>”</w:t>
      </w:r>
      <w:r w:rsidRPr="003A52C2">
        <w:rPr>
          <w:i/>
        </w:rPr>
        <w:t xml:space="preserve"> </w:t>
      </w:r>
      <w:r w:rsidR="00C14DD7">
        <w:rPr>
          <w:color w:val="000000" w:themeColor="text1"/>
        </w:rPr>
        <w:t>(11; Policy executive</w:t>
      </w:r>
      <w:r w:rsidRPr="009C55AF">
        <w:rPr>
          <w:color w:val="000000" w:themeColor="text1"/>
        </w:rPr>
        <w:t>).</w:t>
      </w:r>
    </w:p>
    <w:p w14:paraId="38301284" w14:textId="77777777" w:rsidR="00B8392E" w:rsidRDefault="00B8392E" w:rsidP="00B8392E">
      <w:pPr>
        <w:spacing w:line="360" w:lineRule="auto"/>
        <w:jc w:val="both"/>
      </w:pPr>
      <w:r>
        <w:t>That said, positives regarding collaboration were mentioned within the trajectories for performance improvement. The</w:t>
      </w:r>
      <w:r w:rsidRPr="00DA28A7">
        <w:t xml:space="preserve"> removal of contracting </w:t>
      </w:r>
      <w:r>
        <w:t>mechanisms across NHS contracts</w:t>
      </w:r>
      <w:r w:rsidRPr="00DA28A7">
        <w:t xml:space="preserve"> could </w:t>
      </w:r>
      <w:r>
        <w:t>lead to</w:t>
      </w:r>
      <w:r w:rsidRPr="00DA28A7">
        <w:t xml:space="preserve"> </w:t>
      </w:r>
      <w:r>
        <w:t>more innovative models of care with an increased focus on social value, as could the moves to global budgeting.</w:t>
      </w:r>
      <w:r w:rsidRPr="00CD2072">
        <w:t xml:space="preserve"> </w:t>
      </w:r>
      <w:r>
        <w:t>Recent c</w:t>
      </w:r>
      <w:r w:rsidRPr="00CD2072">
        <w:t xml:space="preserve">hanges </w:t>
      </w:r>
      <w:r>
        <w:t>to performance risk ratings, with a</w:t>
      </w:r>
      <w:r w:rsidRPr="00CD2072">
        <w:t xml:space="preserve"> move away from waiting time performance standards to prioritising equal needs</w:t>
      </w:r>
      <w:r>
        <w:t>,</w:t>
      </w:r>
      <w:r w:rsidRPr="00CD2072">
        <w:t xml:space="preserve"> </w:t>
      </w:r>
      <w:r>
        <w:t xml:space="preserve">also </w:t>
      </w:r>
      <w:r w:rsidRPr="00CD2072">
        <w:t xml:space="preserve">presented opportunities for more creative solutions </w:t>
      </w:r>
      <w:r>
        <w:t xml:space="preserve">to </w:t>
      </w:r>
      <w:r w:rsidRPr="00CD2072">
        <w:t xml:space="preserve">engage the </w:t>
      </w:r>
      <w:r>
        <w:t>workforce across boundaries.</w:t>
      </w:r>
    </w:p>
    <w:p w14:paraId="56A55600" w14:textId="77777777" w:rsidR="00B8392E" w:rsidRPr="00DA28A7" w:rsidRDefault="00B8392E" w:rsidP="00525BE0">
      <w:pPr>
        <w:spacing w:line="360" w:lineRule="auto"/>
        <w:jc w:val="both"/>
      </w:pPr>
    </w:p>
    <w:p w14:paraId="594E6404" w14:textId="77777777" w:rsidR="007873A7" w:rsidRPr="00DA28A7" w:rsidRDefault="007873A7" w:rsidP="00525BE0">
      <w:pPr>
        <w:pStyle w:val="Heading2"/>
        <w:spacing w:after="240" w:line="360" w:lineRule="auto"/>
        <w:jc w:val="both"/>
      </w:pPr>
      <w:bookmarkStart w:id="123" w:name="_Toc85066464"/>
      <w:r>
        <w:t>The presence of c</w:t>
      </w:r>
      <w:r w:rsidRPr="00DA28A7">
        <w:t>onflict</w:t>
      </w:r>
      <w:bookmarkEnd w:id="123"/>
    </w:p>
    <w:p w14:paraId="2F5FC917" w14:textId="54978C06" w:rsidR="007873A7" w:rsidRDefault="007873A7" w:rsidP="00525BE0">
      <w:pPr>
        <w:spacing w:line="360" w:lineRule="auto"/>
        <w:jc w:val="both"/>
        <w:rPr>
          <w:iCs/>
        </w:rPr>
      </w:pPr>
      <w:r w:rsidRPr="00DA28A7">
        <w:t xml:space="preserve">Conflict had the potential to </w:t>
      </w:r>
      <w:r w:rsidR="004B3A7B">
        <w:t>reduce trust and faith by</w:t>
      </w:r>
      <w:r w:rsidR="00EA2A12">
        <w:rPr>
          <w:iCs/>
        </w:rPr>
        <w:t xml:space="preserve"> sap</w:t>
      </w:r>
      <w:r w:rsidR="004B3A7B">
        <w:rPr>
          <w:iCs/>
        </w:rPr>
        <w:t>ping</w:t>
      </w:r>
      <w:r w:rsidRPr="00DA28A7">
        <w:rPr>
          <w:iCs/>
        </w:rPr>
        <w:t xml:space="preserve"> </w:t>
      </w:r>
      <w:r>
        <w:rPr>
          <w:iCs/>
        </w:rPr>
        <w:t xml:space="preserve">the </w:t>
      </w:r>
      <w:r w:rsidRPr="00DA28A7">
        <w:rPr>
          <w:iCs/>
        </w:rPr>
        <w:t xml:space="preserve">energy </w:t>
      </w:r>
      <w:r w:rsidR="004B3A7B">
        <w:rPr>
          <w:iCs/>
        </w:rPr>
        <w:t xml:space="preserve">and momentum </w:t>
      </w:r>
      <w:r>
        <w:rPr>
          <w:iCs/>
        </w:rPr>
        <w:t>needed for collaborat</w:t>
      </w:r>
      <w:r w:rsidR="00EA2A12">
        <w:rPr>
          <w:iCs/>
        </w:rPr>
        <w:t>ion</w:t>
      </w:r>
      <w:r w:rsidRPr="00DA28A7">
        <w:rPr>
          <w:iCs/>
        </w:rPr>
        <w:t>.</w:t>
      </w:r>
      <w:r w:rsidRPr="00DA28A7">
        <w:t xml:space="preserve"> </w:t>
      </w:r>
    </w:p>
    <w:p w14:paraId="08B256D1" w14:textId="09625672" w:rsidR="007873A7" w:rsidRDefault="007873A7" w:rsidP="00525BE0">
      <w:pPr>
        <w:spacing w:line="360" w:lineRule="auto"/>
        <w:ind w:left="720"/>
        <w:jc w:val="both"/>
      </w:pPr>
      <w:r>
        <w:rPr>
          <w:i/>
        </w:rPr>
        <w:t>“</w:t>
      </w:r>
      <w:r w:rsidRPr="00974380">
        <w:rPr>
          <w:i/>
        </w:rPr>
        <w:t>…everybody sits around a table in partnership, you don’t recognise the conflict in the room if you’re not familiar with the players in the room. But the conflict then gets played outside of the room, in corridor conversations and email conversations etc.</w:t>
      </w:r>
      <w:r w:rsidRPr="008A6558">
        <w:rPr>
          <w:i/>
          <w:iCs/>
          <w:color w:val="000000" w:themeColor="text1"/>
        </w:rPr>
        <w:t>”</w:t>
      </w:r>
      <w:r>
        <w:rPr>
          <w:i/>
          <w:iCs/>
          <w:color w:val="000000" w:themeColor="text1"/>
        </w:rPr>
        <w:t xml:space="preserve"> </w:t>
      </w:r>
      <w:r>
        <w:rPr>
          <w:color w:val="000000" w:themeColor="text1"/>
        </w:rPr>
        <w:t>(</w:t>
      </w:r>
      <w:r w:rsidRPr="008A6558">
        <w:rPr>
          <w:rFonts w:cstheme="minorHAnsi"/>
          <w:color w:val="000000" w:themeColor="text1"/>
        </w:rPr>
        <w:t>10; Exec Nurse; Alliance 1</w:t>
      </w:r>
      <w:r>
        <w:rPr>
          <w:rFonts w:cstheme="minorHAnsi"/>
          <w:color w:val="000000" w:themeColor="text1"/>
        </w:rPr>
        <w:t>).</w:t>
      </w:r>
    </w:p>
    <w:p w14:paraId="3CB95323" w14:textId="703AB884" w:rsidR="007873A7" w:rsidRDefault="007873A7" w:rsidP="00525BE0">
      <w:pPr>
        <w:spacing w:line="360" w:lineRule="auto"/>
        <w:jc w:val="both"/>
      </w:pPr>
      <w:r w:rsidRPr="00DA28A7">
        <w:t xml:space="preserve">The formation of ICSs </w:t>
      </w:r>
      <w:r>
        <w:t xml:space="preserve">and its enforced changes to existing ways of working </w:t>
      </w:r>
      <w:r w:rsidR="000B6B84">
        <w:t xml:space="preserve">were </w:t>
      </w:r>
      <w:r w:rsidR="00C81DF2">
        <w:t>predicted</w:t>
      </w:r>
      <w:r w:rsidR="000B6B84">
        <w:t xml:space="preserve"> to lead to conflict</w:t>
      </w:r>
      <w:r w:rsidRPr="00DA28A7">
        <w:t xml:space="preserve">. </w:t>
      </w:r>
      <w:r>
        <w:t>While</w:t>
      </w:r>
      <w:r w:rsidRPr="00DA28A7">
        <w:t xml:space="preserve"> early formations of ICSs were locally generated, </w:t>
      </w:r>
      <w:r>
        <w:t xml:space="preserve">the </w:t>
      </w:r>
      <w:r w:rsidRPr="00DA28A7">
        <w:t>latest ICS incarnations moving to greater formalisation</w:t>
      </w:r>
      <w:r w:rsidR="00C81DF2">
        <w:t xml:space="preserve"> </w:t>
      </w:r>
      <w:r w:rsidRPr="00DA28A7">
        <w:t>raised concerns as a centralised approach</w:t>
      </w:r>
      <w:r>
        <w:t xml:space="preserve">. </w:t>
      </w:r>
      <w:r w:rsidR="00C81DF2">
        <w:t>C</w:t>
      </w:r>
      <w:r w:rsidRPr="00DA28A7">
        <w:t>onflict</w:t>
      </w:r>
      <w:r w:rsidR="004917F0">
        <w:t>s</w:t>
      </w:r>
      <w:r w:rsidRPr="00DA28A7">
        <w:t xml:space="preserve"> in </w:t>
      </w:r>
      <w:r w:rsidR="004917F0">
        <w:t>the potential for ICS structures to be</w:t>
      </w:r>
      <w:r w:rsidRPr="00DA28A7">
        <w:t xml:space="preserve"> NHS hospital </w:t>
      </w:r>
      <w:r>
        <w:t>provider focused</w:t>
      </w:r>
      <w:r w:rsidR="00C81DF2">
        <w:t xml:space="preserve"> at the expense of other providers</w:t>
      </w:r>
      <w:r w:rsidR="004917F0">
        <w:t xml:space="preserve"> also featured</w:t>
      </w:r>
      <w:r>
        <w:t>:</w:t>
      </w:r>
    </w:p>
    <w:p w14:paraId="2CB73CEF" w14:textId="519508CF" w:rsidR="007873A7" w:rsidRDefault="007873A7" w:rsidP="00525BE0">
      <w:pPr>
        <w:spacing w:line="360" w:lineRule="auto"/>
        <w:ind w:left="720"/>
        <w:jc w:val="both"/>
      </w:pPr>
      <w:r>
        <w:rPr>
          <w:i/>
        </w:rPr>
        <w:t>“</w:t>
      </w:r>
      <w:r w:rsidRPr="00DE1677">
        <w:rPr>
          <w:i/>
        </w:rPr>
        <w:t>I think providers are kind of getting themselves in…I guess, aligned, to various degrees, to kind of deliver on these agendas, even in some of the most difficult places.... I think in terms of the more fragmented providers – mental health, primary care, that’s going to be a more difficult journey in terms of jockeying for position and influence, because the table is still not big enough for everybody. That’s where the tensions arise</w:t>
      </w:r>
      <w:r>
        <w:rPr>
          <w:i/>
        </w:rPr>
        <w:t>”</w:t>
      </w:r>
      <w:r w:rsidRPr="00DE1677">
        <w:rPr>
          <w:i/>
        </w:rPr>
        <w:t xml:space="preserve"> </w:t>
      </w:r>
      <w:r w:rsidR="004B3A7B">
        <w:rPr>
          <w:iCs/>
        </w:rPr>
        <w:t>(27; Private sector rep</w:t>
      </w:r>
      <w:r w:rsidRPr="009C55AF">
        <w:rPr>
          <w:iCs/>
        </w:rPr>
        <w:t>).</w:t>
      </w:r>
    </w:p>
    <w:p w14:paraId="0CA960CA" w14:textId="4154F222" w:rsidR="007873A7" w:rsidRDefault="007873A7" w:rsidP="00525BE0">
      <w:pPr>
        <w:spacing w:line="360" w:lineRule="auto"/>
        <w:jc w:val="both"/>
      </w:pPr>
      <w:r w:rsidRPr="00DA28A7">
        <w:t xml:space="preserve">Conflicts </w:t>
      </w:r>
      <w:r w:rsidR="00C81DF2">
        <w:t xml:space="preserve">were </w:t>
      </w:r>
      <w:r w:rsidRPr="00DA28A7">
        <w:t xml:space="preserve">raised in response to the demands placed on providers as a result of </w:t>
      </w:r>
      <w:r w:rsidR="00B02293">
        <w:t>C</w:t>
      </w:r>
      <w:r w:rsidR="00127B34">
        <w:t>ovid</w:t>
      </w:r>
      <w:r w:rsidR="00857277">
        <w:t>-19</w:t>
      </w:r>
      <w:r w:rsidRPr="00DA28A7">
        <w:t xml:space="preserve">. </w:t>
      </w:r>
      <w:r w:rsidR="004917F0">
        <w:t>The role of</w:t>
      </w:r>
      <w:r>
        <w:t xml:space="preserve"> the</w:t>
      </w:r>
      <w:r w:rsidRPr="00276FA7">
        <w:t xml:space="preserve"> </w:t>
      </w:r>
      <w:r>
        <w:t xml:space="preserve">private sector was described as </w:t>
      </w:r>
      <w:r w:rsidR="004917F0">
        <w:t xml:space="preserve">being </w:t>
      </w:r>
      <w:r>
        <w:t>h</w:t>
      </w:r>
      <w:r w:rsidRPr="00276FA7">
        <w:t xml:space="preserve">elpful </w:t>
      </w:r>
      <w:r>
        <w:t>during</w:t>
      </w:r>
      <w:r w:rsidRPr="00276FA7">
        <w:t xml:space="preserve"> the initial </w:t>
      </w:r>
      <w:r w:rsidR="00B02293">
        <w:t>C</w:t>
      </w:r>
      <w:r w:rsidR="00127B34">
        <w:t>ovid</w:t>
      </w:r>
      <w:r w:rsidR="00857277">
        <w:t>-19</w:t>
      </w:r>
      <w:r>
        <w:t xml:space="preserve"> </w:t>
      </w:r>
      <w:r w:rsidRPr="00276FA7">
        <w:t>r</w:t>
      </w:r>
      <w:r>
        <w:t xml:space="preserve">esponse, </w:t>
      </w:r>
      <w:r w:rsidR="004917F0">
        <w:t xml:space="preserve">yet </w:t>
      </w:r>
      <w:r>
        <w:t>different</w:t>
      </w:r>
      <w:r w:rsidRPr="00276FA7">
        <w:t xml:space="preserve"> interests and motivations </w:t>
      </w:r>
      <w:r w:rsidR="004917F0">
        <w:t>between the public and</w:t>
      </w:r>
      <w:r>
        <w:t xml:space="preserve"> private sector continued to</w:t>
      </w:r>
      <w:r w:rsidRPr="00276FA7">
        <w:t xml:space="preserve"> </w:t>
      </w:r>
      <w:r w:rsidR="004917F0">
        <w:t>be played out</w:t>
      </w:r>
      <w:r w:rsidRPr="00276FA7">
        <w:t xml:space="preserve">. </w:t>
      </w:r>
    </w:p>
    <w:p w14:paraId="494C6FDC" w14:textId="4DDACF41" w:rsidR="00B8392E" w:rsidRDefault="007873A7" w:rsidP="00B8392E">
      <w:pPr>
        <w:spacing w:line="360" w:lineRule="auto"/>
        <w:ind w:left="720"/>
        <w:jc w:val="both"/>
        <w:rPr>
          <w:iCs/>
        </w:rPr>
      </w:pPr>
      <w:r>
        <w:rPr>
          <w:i/>
        </w:rPr>
        <w:t>“</w:t>
      </w:r>
      <w:r w:rsidRPr="00C23A4A">
        <w:rPr>
          <w:i/>
        </w:rPr>
        <w:t>You have to work with the private sector in a completely different kind of financial system, and there’s no question that it would… I mean, why would it come in with the NHS on that? It can help the NHS kind of, I guess, deal with some of its backlog, but only through using our resource, what I would call NHS staff to do those procedures</w:t>
      </w:r>
      <w:r>
        <w:rPr>
          <w:i/>
        </w:rPr>
        <w:t xml:space="preserve">” </w:t>
      </w:r>
      <w:r w:rsidRPr="009C55AF">
        <w:rPr>
          <w:iCs/>
        </w:rPr>
        <w:t>(27; Private sector rep; Range).</w:t>
      </w:r>
    </w:p>
    <w:p w14:paraId="5E4DD4A4" w14:textId="77777777" w:rsidR="00B8392E" w:rsidRPr="00B8392E" w:rsidRDefault="00B8392E" w:rsidP="00B8392E">
      <w:pPr>
        <w:spacing w:line="360" w:lineRule="auto"/>
        <w:ind w:left="720"/>
        <w:jc w:val="both"/>
        <w:rPr>
          <w:iCs/>
        </w:rPr>
      </w:pPr>
    </w:p>
    <w:p w14:paraId="76037246" w14:textId="504D874D" w:rsidR="007873A7" w:rsidRDefault="007873A7" w:rsidP="00525BE0">
      <w:pPr>
        <w:pStyle w:val="Heading2"/>
        <w:spacing w:after="240" w:line="360" w:lineRule="auto"/>
        <w:jc w:val="both"/>
      </w:pPr>
      <w:bookmarkStart w:id="124" w:name="_Toc85066465"/>
      <w:r>
        <w:t>Building c</w:t>
      </w:r>
      <w:r w:rsidRPr="00DA28A7">
        <w:t>onfidence</w:t>
      </w:r>
      <w:bookmarkEnd w:id="124"/>
    </w:p>
    <w:p w14:paraId="7D43E1B6" w14:textId="59D0157A" w:rsidR="007873A7" w:rsidRDefault="007873A7" w:rsidP="00525BE0">
      <w:pPr>
        <w:spacing w:line="360" w:lineRule="auto"/>
        <w:jc w:val="both"/>
      </w:pPr>
      <w:r w:rsidRPr="00DA28A7">
        <w:t xml:space="preserve">Formalisation and the fostering of collaborative behaviour through contracts </w:t>
      </w:r>
      <w:r>
        <w:t xml:space="preserve">and regulatory requirements </w:t>
      </w:r>
      <w:r w:rsidRPr="00DA28A7">
        <w:t xml:space="preserve">was highlighted. </w:t>
      </w:r>
      <w:r w:rsidRPr="00B37C70">
        <w:t xml:space="preserve">Interviewees were largely sceptical of the notion of mandated collaboration. </w:t>
      </w:r>
      <w:r w:rsidRPr="00DA28A7">
        <w:t xml:space="preserve">To avoid bureaucratic burden </w:t>
      </w:r>
      <w:r>
        <w:t xml:space="preserve">but also maintain assurance processes, an alliance approach that encouraged </w:t>
      </w:r>
      <w:r w:rsidRPr="00DA28A7">
        <w:t>compact way</w:t>
      </w:r>
      <w:r>
        <w:t>s</w:t>
      </w:r>
      <w:r w:rsidRPr="00DA28A7">
        <w:t xml:space="preserve"> of working </w:t>
      </w:r>
      <w:r>
        <w:t>with organising</w:t>
      </w:r>
      <w:r w:rsidRPr="00DA28A7">
        <w:t xml:space="preserve"> principles</w:t>
      </w:r>
      <w:r>
        <w:t xml:space="preserve"> and supporting contracts being encouraged. </w:t>
      </w:r>
      <w:r w:rsidRPr="00DA28A7">
        <w:t xml:space="preserve">Memoranda of understanding (MoU) were typically used </w:t>
      </w:r>
      <w:r>
        <w:t>to operationalise group and alliances</w:t>
      </w:r>
      <w:r w:rsidRPr="00DA28A7">
        <w:t xml:space="preserve"> </w:t>
      </w:r>
      <w:r>
        <w:t xml:space="preserve">as a means to support collaborative working. These set out </w:t>
      </w:r>
      <w:r w:rsidRPr="00DA28A7">
        <w:rPr>
          <w:iCs/>
        </w:rPr>
        <w:t>deci</w:t>
      </w:r>
      <w:r>
        <w:rPr>
          <w:iCs/>
        </w:rPr>
        <w:t xml:space="preserve">sions, </w:t>
      </w:r>
      <w:r w:rsidRPr="00DA28A7">
        <w:rPr>
          <w:iCs/>
        </w:rPr>
        <w:t>approve business cases</w:t>
      </w:r>
      <w:r>
        <w:rPr>
          <w:iCs/>
        </w:rPr>
        <w:t xml:space="preserve">, </w:t>
      </w:r>
      <w:r w:rsidRPr="00A252CC">
        <w:rPr>
          <w:iCs/>
        </w:rPr>
        <w:t>and creat</w:t>
      </w:r>
      <w:r>
        <w:rPr>
          <w:iCs/>
        </w:rPr>
        <w:t xml:space="preserve">e </w:t>
      </w:r>
      <w:r w:rsidRPr="00A252CC">
        <w:rPr>
          <w:iCs/>
        </w:rPr>
        <w:t>committee</w:t>
      </w:r>
      <w:r>
        <w:rPr>
          <w:iCs/>
        </w:rPr>
        <w:t>s</w:t>
      </w:r>
      <w:r w:rsidRPr="00A252CC">
        <w:rPr>
          <w:iCs/>
        </w:rPr>
        <w:t xml:space="preserve"> in common</w:t>
      </w:r>
      <w:r>
        <w:rPr>
          <w:iCs/>
        </w:rPr>
        <w:t xml:space="preserve"> where required,</w:t>
      </w:r>
      <w:r w:rsidRPr="00DA28A7">
        <w:rPr>
          <w:iCs/>
        </w:rPr>
        <w:t xml:space="preserve"> </w:t>
      </w:r>
      <w:r>
        <w:rPr>
          <w:iCs/>
        </w:rPr>
        <w:t xml:space="preserve">as </w:t>
      </w:r>
      <w:r w:rsidR="004917F0">
        <w:rPr>
          <w:iCs/>
        </w:rPr>
        <w:t xml:space="preserve">an option </w:t>
      </w:r>
      <w:r w:rsidRPr="00DA28A7">
        <w:rPr>
          <w:iCs/>
        </w:rPr>
        <w:t xml:space="preserve">to </w:t>
      </w:r>
      <w:r>
        <w:rPr>
          <w:iCs/>
        </w:rPr>
        <w:t>build in</w:t>
      </w:r>
      <w:r w:rsidRPr="00DA28A7">
        <w:rPr>
          <w:iCs/>
        </w:rPr>
        <w:t xml:space="preserve"> governance </w:t>
      </w:r>
      <w:r>
        <w:rPr>
          <w:iCs/>
        </w:rPr>
        <w:t xml:space="preserve">and </w:t>
      </w:r>
      <w:r w:rsidRPr="00DA28A7">
        <w:rPr>
          <w:iCs/>
        </w:rPr>
        <w:t>give confidence</w:t>
      </w:r>
      <w:r>
        <w:rPr>
          <w:iCs/>
        </w:rPr>
        <w:t xml:space="preserve"> that structures were in place for different eventualities.</w:t>
      </w:r>
    </w:p>
    <w:p w14:paraId="3036EDBE" w14:textId="77777777" w:rsidR="007873A7" w:rsidRDefault="007873A7" w:rsidP="00525BE0">
      <w:pPr>
        <w:spacing w:line="360" w:lineRule="auto"/>
        <w:ind w:left="720"/>
        <w:jc w:val="both"/>
      </w:pPr>
      <w:r>
        <w:rPr>
          <w:i/>
        </w:rPr>
        <w:t xml:space="preserve">“… </w:t>
      </w:r>
      <w:r w:rsidRPr="003210F2">
        <w:rPr>
          <w:i/>
        </w:rPr>
        <w:t xml:space="preserve">the way the MOU set it out is the decisions are still the preserve of the Trust boards but I suppose what the committee in common does is it allows us to get to the point where you’ve got the Chairs and Chief Executives all recommending the same course of action or the same decision to the </w:t>
      </w:r>
      <w:r>
        <w:rPr>
          <w:i/>
        </w:rPr>
        <w:t>[partnership]</w:t>
      </w:r>
      <w:r w:rsidRPr="003210F2">
        <w:rPr>
          <w:i/>
        </w:rPr>
        <w:t xml:space="preserve"> boards, and so in practice unless we make a real hash of it the committee in common recommends something then it tends to get agreed, so they sort of do make some decisions</w:t>
      </w:r>
      <w:r>
        <w:rPr>
          <w:i/>
        </w:rPr>
        <w:t>”</w:t>
      </w:r>
      <w:r w:rsidRPr="003210F2">
        <w:rPr>
          <w:i/>
        </w:rPr>
        <w:t xml:space="preserve"> </w:t>
      </w:r>
      <w:r w:rsidRPr="009C55AF">
        <w:rPr>
          <w:color w:val="000000" w:themeColor="text1"/>
        </w:rPr>
        <w:t>(19; Director; Alliance 2)</w:t>
      </w:r>
      <w:r>
        <w:rPr>
          <w:i/>
        </w:rPr>
        <w:t>.</w:t>
      </w:r>
    </w:p>
    <w:p w14:paraId="464B57C8" w14:textId="0E268DAC" w:rsidR="007873A7" w:rsidRDefault="007873A7" w:rsidP="00525BE0">
      <w:pPr>
        <w:spacing w:line="360" w:lineRule="auto"/>
        <w:jc w:val="both"/>
      </w:pPr>
      <w:r>
        <w:t>The formalisation and mandated nature of the current ICS agenda raised a number of implications regarding the confidence surrounding collaboration. At one level, the ICS agenda was seen as driving leader behaviours</w:t>
      </w:r>
      <w:r w:rsidRPr="00DA28A7">
        <w:t xml:space="preserve"> </w:t>
      </w:r>
      <w:r>
        <w:t>to ‘</w:t>
      </w:r>
      <w:r w:rsidRPr="00DA28A7">
        <w:t>get real collaboration</w:t>
      </w:r>
      <w:r>
        <w:t>’</w:t>
      </w:r>
      <w:r w:rsidRPr="00DA28A7">
        <w:t xml:space="preserve"> going.</w:t>
      </w:r>
      <w:r>
        <w:t xml:space="preserve"> But limits to the mandated nature of collaboration were also raised. </w:t>
      </w:r>
    </w:p>
    <w:p w14:paraId="5373719E" w14:textId="77777777" w:rsidR="007873A7" w:rsidRDefault="007873A7" w:rsidP="00525BE0">
      <w:pPr>
        <w:spacing w:line="360" w:lineRule="auto"/>
        <w:ind w:left="720"/>
        <w:jc w:val="both"/>
      </w:pPr>
      <w:r>
        <w:rPr>
          <w:i/>
        </w:rPr>
        <w:t xml:space="preserve">“… </w:t>
      </w:r>
      <w:r w:rsidRPr="00D073E9">
        <w:rPr>
          <w:i/>
        </w:rPr>
        <w:t>we’re only really starting to see some of that changing now system regulation so the leaders probably weren’t strong enough to get real collaboration going until fairly recently I think and even in some cases people are doing that because they kind of have to and not necessarily because they want</w:t>
      </w:r>
      <w:r>
        <w:rPr>
          <w:i/>
        </w:rPr>
        <w:t xml:space="preserve"> to…” </w:t>
      </w:r>
      <w:r w:rsidRPr="009C55AF">
        <w:rPr>
          <w:color w:val="000000" w:themeColor="text1"/>
        </w:rPr>
        <w:t>(02; Director; Hospital Group 1).</w:t>
      </w:r>
    </w:p>
    <w:p w14:paraId="0EDA8BB3" w14:textId="77777777" w:rsidR="007873A7" w:rsidRDefault="007873A7" w:rsidP="00525BE0">
      <w:pPr>
        <w:spacing w:line="360" w:lineRule="auto"/>
        <w:jc w:val="both"/>
      </w:pPr>
      <w:r>
        <w:t xml:space="preserve">Lack of clarity regarding the accountabilities associated with the </w:t>
      </w:r>
      <w:r w:rsidRPr="00DA28A7">
        <w:t xml:space="preserve">ICS framework </w:t>
      </w:r>
      <w:r>
        <w:t xml:space="preserve">was creating ‘quite </w:t>
      </w:r>
      <w:r w:rsidRPr="00DA28A7">
        <w:t>a bit of anxiety</w:t>
      </w:r>
      <w:r>
        <w:t xml:space="preserve">’ regarding what the eventual landscape would look like. </w:t>
      </w:r>
      <w:r w:rsidRPr="00DA28A7">
        <w:t>While the emphasis and energy was in place to promote collaboration and system working, the arrangement</w:t>
      </w:r>
      <w:r>
        <w:t>s</w:t>
      </w:r>
      <w:r w:rsidRPr="00DA28A7">
        <w:t xml:space="preserve"> ha</w:t>
      </w:r>
      <w:r>
        <w:t>d no statutory underpinning which lowered confidence between partners.</w:t>
      </w:r>
    </w:p>
    <w:p w14:paraId="0E0BD23C" w14:textId="0FF98C16" w:rsidR="007873A7" w:rsidRPr="00DC6CC9" w:rsidRDefault="007873A7" w:rsidP="00DC6CC9">
      <w:pPr>
        <w:spacing w:line="360" w:lineRule="auto"/>
        <w:ind w:left="720"/>
        <w:jc w:val="both"/>
        <w:rPr>
          <w:color w:val="000000" w:themeColor="text1"/>
        </w:rPr>
      </w:pPr>
      <w:r>
        <w:rPr>
          <w:i/>
        </w:rPr>
        <w:t xml:space="preserve">“… </w:t>
      </w:r>
      <w:r w:rsidRPr="00D073E9">
        <w:rPr>
          <w:i/>
        </w:rPr>
        <w:t>we are asking organisations to works in systems, we’ve set the systems up and we’ve got ICSs and STPs across the country, they have no statutory underpinning whatsoever, they have office holders who have no formal role in law, they carry no liabilities</w:t>
      </w:r>
      <w:r>
        <w:rPr>
          <w:i/>
        </w:rPr>
        <w:t>”</w:t>
      </w:r>
      <w:r w:rsidRPr="00D073E9">
        <w:rPr>
          <w:i/>
        </w:rPr>
        <w:t xml:space="preserve"> </w:t>
      </w:r>
      <w:r w:rsidRPr="009C55AF">
        <w:rPr>
          <w:color w:val="000000" w:themeColor="text1"/>
        </w:rPr>
        <w:t>(11; Policy Exec; Range).</w:t>
      </w:r>
    </w:p>
    <w:p w14:paraId="1CEED74E" w14:textId="12CABBDE" w:rsidR="007873A7" w:rsidRDefault="007873A7" w:rsidP="004917F0">
      <w:pPr>
        <w:pStyle w:val="Heading2"/>
        <w:spacing w:line="360" w:lineRule="auto"/>
        <w:jc w:val="both"/>
      </w:pPr>
      <w:bookmarkStart w:id="125" w:name="_Toc85066466"/>
      <w:r w:rsidRPr="00391205">
        <w:t>Concluding summary</w:t>
      </w:r>
      <w:bookmarkEnd w:id="125"/>
    </w:p>
    <w:p w14:paraId="5D4D569B" w14:textId="2206D7BF" w:rsidR="004917F0" w:rsidRDefault="004917F0" w:rsidP="004917F0">
      <w:pPr>
        <w:spacing w:line="360" w:lineRule="auto"/>
        <w:jc w:val="both"/>
      </w:pPr>
      <w:r>
        <w:t xml:space="preserve">Our interviews </w:t>
      </w:r>
      <w:r w:rsidR="007873A7">
        <w:t xml:space="preserve">provide a range of insights into </w:t>
      </w:r>
      <w:r w:rsidR="007873A7" w:rsidRPr="00173388">
        <w:t xml:space="preserve">how </w:t>
      </w:r>
      <w:r w:rsidR="007873A7">
        <w:t>the</w:t>
      </w:r>
      <w:r w:rsidR="007873A7" w:rsidRPr="00173388">
        <w:t xml:space="preserve"> stakeholders </w:t>
      </w:r>
      <w:r w:rsidR="007873A7">
        <w:t>understand the functioning</w:t>
      </w:r>
      <w:r w:rsidR="007873A7" w:rsidRPr="00173388">
        <w:t xml:space="preserve"> of int</w:t>
      </w:r>
      <w:r w:rsidR="007873A7">
        <w:t>er organisational collaboration</w:t>
      </w:r>
      <w:r>
        <w:t xml:space="preserve"> between NHS providers</w:t>
      </w:r>
      <w:r w:rsidR="007873A7">
        <w:t xml:space="preserve">. </w:t>
      </w:r>
      <w:r>
        <w:t xml:space="preserve">To build and sustain trust was connected to the leadership skills and behaviours of authenticity, empathy, </w:t>
      </w:r>
      <w:r w:rsidR="00726443">
        <w:t>visibility,</w:t>
      </w:r>
      <w:r>
        <w:t xml:space="preserve"> and generosity. A commitment to place based approaches also features, along with the importance of stakeholder engagement, data analysis, and project management. </w:t>
      </w:r>
    </w:p>
    <w:p w14:paraId="5F4FD353" w14:textId="09E16947" w:rsidR="007873A7" w:rsidRDefault="004917F0" w:rsidP="00525BE0">
      <w:pPr>
        <w:spacing w:line="360" w:lineRule="auto"/>
        <w:jc w:val="both"/>
      </w:pPr>
      <w:r>
        <w:t>Our findings show</w:t>
      </w:r>
      <w:r w:rsidR="007873A7">
        <w:t xml:space="preserve"> how a delicate balance is required for building faith in any IOC. The presence of energising leadership </w:t>
      </w:r>
      <w:r>
        <w:t xml:space="preserve">that </w:t>
      </w:r>
      <w:r w:rsidR="007873A7">
        <w:t xml:space="preserve">engages receptive </w:t>
      </w:r>
      <w:r w:rsidR="00726443">
        <w:t>groups and</w:t>
      </w:r>
      <w:r w:rsidR="007873A7">
        <w:t xml:space="preserve"> inspires and builds momentum is tempered by an awareness of the stark capacity issues facing current NHS contexts. To navigate challenging contexts, and a potentially overwhelming agenda, the findings draw attention to the importance of priority setting, where perceptions of progress characterised by quick wins or the use of visual data can build faith, however increasing task complexity is likely to reduce faith when multiple professional, financial, local government and political consti</w:t>
      </w:r>
      <w:r>
        <w:t xml:space="preserve">tuency boundaries are affected. </w:t>
      </w:r>
      <w:r w:rsidR="007873A7">
        <w:t xml:space="preserve">The findings </w:t>
      </w:r>
      <w:r w:rsidR="00726443">
        <w:t>raise</w:t>
      </w:r>
      <w:r w:rsidR="007873A7">
        <w:t xml:space="preserve"> i</w:t>
      </w:r>
      <w:r>
        <w:t xml:space="preserve">mportant implications for ICSs where </w:t>
      </w:r>
      <w:r w:rsidR="00726443">
        <w:t>place-based</w:t>
      </w:r>
      <w:r w:rsidR="007873A7">
        <w:t xml:space="preserve"> approaches to population health </w:t>
      </w:r>
      <w:r>
        <w:t>are</w:t>
      </w:r>
      <w:r w:rsidR="007873A7">
        <w:t xml:space="preserve"> supported, but increasing formalisation has the potential to reduce faith as energy and momentum is taken out of other collaborative activities and placed into </w:t>
      </w:r>
      <w:r>
        <w:t>potentially</w:t>
      </w:r>
      <w:r w:rsidR="007873A7">
        <w:t xml:space="preserve"> hierarchical performance management structures. </w:t>
      </w:r>
      <w:r>
        <w:t>Finally, our findings also show how a delicate balance i</w:t>
      </w:r>
      <w:r w:rsidR="007873A7">
        <w:t xml:space="preserve">s needed in relation conflicts arising within collaborations. In support of our review, interviews also stress the need for confidence, particularly those that encourage compact ways of working and memoranda of understanding raising important implications about the mandated requirements of ICS arrangements. </w:t>
      </w:r>
    </w:p>
    <w:p w14:paraId="146B0526" w14:textId="77777777" w:rsidR="007873A7" w:rsidRDefault="007873A7" w:rsidP="00525BE0">
      <w:pPr>
        <w:spacing w:line="360" w:lineRule="auto"/>
        <w:jc w:val="both"/>
      </w:pPr>
    </w:p>
    <w:p w14:paraId="68B14F28" w14:textId="77777777" w:rsidR="007873A7" w:rsidRDefault="007873A7" w:rsidP="00525BE0">
      <w:pPr>
        <w:spacing w:line="360" w:lineRule="auto"/>
        <w:jc w:val="both"/>
      </w:pPr>
    </w:p>
    <w:p w14:paraId="75368EE4" w14:textId="77777777" w:rsidR="007873A7" w:rsidRDefault="007873A7" w:rsidP="00525BE0">
      <w:pPr>
        <w:spacing w:line="360" w:lineRule="auto"/>
        <w:jc w:val="both"/>
      </w:pPr>
    </w:p>
    <w:p w14:paraId="4914A71B" w14:textId="77777777" w:rsidR="007873A7" w:rsidRDefault="007873A7" w:rsidP="00525BE0">
      <w:pPr>
        <w:spacing w:line="360" w:lineRule="auto"/>
        <w:jc w:val="both"/>
      </w:pPr>
    </w:p>
    <w:p w14:paraId="385B8E67" w14:textId="77777777" w:rsidR="007873A7" w:rsidRDefault="007873A7" w:rsidP="00525BE0">
      <w:pPr>
        <w:spacing w:line="360" w:lineRule="auto"/>
        <w:jc w:val="both"/>
      </w:pPr>
    </w:p>
    <w:p w14:paraId="2B72C5DC" w14:textId="77777777" w:rsidR="007873A7" w:rsidRDefault="007873A7" w:rsidP="00525BE0">
      <w:pPr>
        <w:spacing w:line="360" w:lineRule="auto"/>
        <w:jc w:val="both"/>
      </w:pPr>
    </w:p>
    <w:p w14:paraId="6D1D447D" w14:textId="77777777" w:rsidR="007873A7" w:rsidRDefault="007873A7" w:rsidP="00525BE0">
      <w:pPr>
        <w:spacing w:line="360" w:lineRule="auto"/>
        <w:jc w:val="both"/>
      </w:pPr>
    </w:p>
    <w:p w14:paraId="16D958C3" w14:textId="77777777" w:rsidR="007873A7" w:rsidRDefault="007873A7" w:rsidP="00525BE0">
      <w:pPr>
        <w:spacing w:line="360" w:lineRule="auto"/>
        <w:jc w:val="both"/>
      </w:pPr>
    </w:p>
    <w:p w14:paraId="265D7007" w14:textId="77777777" w:rsidR="003C21AC" w:rsidRDefault="003C21AC" w:rsidP="00525BE0">
      <w:pPr>
        <w:spacing w:line="360" w:lineRule="auto"/>
        <w:jc w:val="both"/>
        <w:sectPr w:rsidR="003C21AC">
          <w:pgSz w:w="11906" w:h="16838"/>
          <w:pgMar w:top="1440" w:right="1440" w:bottom="1440" w:left="1440" w:header="708" w:footer="708" w:gutter="0"/>
          <w:cols w:space="708"/>
          <w:docGrid w:linePitch="360"/>
        </w:sectPr>
      </w:pPr>
    </w:p>
    <w:p w14:paraId="592E2BCF" w14:textId="259429E7" w:rsidR="007873A7" w:rsidRDefault="007873A7" w:rsidP="007F428C">
      <w:pPr>
        <w:pStyle w:val="Heading1"/>
        <w:spacing w:line="480" w:lineRule="auto"/>
        <w:jc w:val="both"/>
      </w:pPr>
      <w:bookmarkStart w:id="126" w:name="_Toc85066467"/>
      <w:r w:rsidRPr="00090B8F">
        <w:t xml:space="preserve">Chapter 6: </w:t>
      </w:r>
      <w:r w:rsidR="002D59BD">
        <w:t>How do</w:t>
      </w:r>
      <w:r>
        <w:t xml:space="preserve"> inter-organisational collaborations drive performance improvements</w:t>
      </w:r>
      <w:r w:rsidR="002D59BD">
        <w:t>?</w:t>
      </w:r>
      <w:bookmarkEnd w:id="126"/>
    </w:p>
    <w:p w14:paraId="2F13E06A" w14:textId="27908EED" w:rsidR="007873A7" w:rsidRDefault="007873A7" w:rsidP="00525BE0">
      <w:pPr>
        <w:spacing w:line="360" w:lineRule="auto"/>
        <w:jc w:val="both"/>
      </w:pPr>
      <w:r w:rsidRPr="003D71B1">
        <w:t xml:space="preserve">The purpose of this chapter is to </w:t>
      </w:r>
      <w:r>
        <w:t>generate</w:t>
      </w:r>
      <w:r w:rsidRPr="003D71B1">
        <w:t xml:space="preserve"> new insights into the nature of collaborative </w:t>
      </w:r>
      <w:r>
        <w:t>performance</w:t>
      </w:r>
      <w:r w:rsidRPr="003D71B1">
        <w:t>.</w:t>
      </w:r>
      <w:r>
        <w:t xml:space="preserve"> Few contributions to date have delved deeply into mechanisms </w:t>
      </w:r>
      <w:r w:rsidRPr="004C1897">
        <w:t>how the benefits of collaboration are realised</w:t>
      </w:r>
      <w:r>
        <w:t>.</w:t>
      </w:r>
      <w:r w:rsidRPr="003D71B1">
        <w:t xml:space="preserve"> </w:t>
      </w:r>
      <w:r>
        <w:t>To do so, the chapter analyses stakeholder interview</w:t>
      </w:r>
      <w:r w:rsidR="004917F0">
        <w:t xml:space="preserve"> and focus group</w:t>
      </w:r>
      <w:r>
        <w:t xml:space="preserve"> data to better understand collaborative performance mechanisms as they occur, and their outcomes. A theory gleaning approach is employed where the </w:t>
      </w:r>
      <w:r w:rsidRPr="00103C73">
        <w:t xml:space="preserve">collaborative performance </w:t>
      </w:r>
      <w:r>
        <w:t>framework put forward by Dickinson and Sullivan (</w:t>
      </w:r>
      <w:r w:rsidR="002F6840">
        <w:t>48</w:t>
      </w:r>
      <w:r>
        <w:t xml:space="preserve">) is combined with a realist methodology. The chapter concludes arguing that through the analysis and application of collaborative performance, a series of interlinked, testable mechanisms can be identified with the potential for further refinement by future research. </w:t>
      </w:r>
    </w:p>
    <w:p w14:paraId="28951B60" w14:textId="77777777" w:rsidR="007873A7" w:rsidRDefault="007873A7" w:rsidP="00525BE0">
      <w:pPr>
        <w:pStyle w:val="Heading2"/>
        <w:spacing w:line="360" w:lineRule="auto"/>
        <w:jc w:val="both"/>
      </w:pPr>
      <w:bookmarkStart w:id="127" w:name="_Toc85066468"/>
      <w:r w:rsidRPr="003D71B1">
        <w:t>Background</w:t>
      </w:r>
      <w:bookmarkEnd w:id="127"/>
    </w:p>
    <w:p w14:paraId="7B47F5AF" w14:textId="5D4B945E" w:rsidR="007873A7" w:rsidRPr="00B66C86" w:rsidRDefault="007873A7" w:rsidP="00525BE0">
      <w:pPr>
        <w:spacing w:line="360" w:lineRule="auto"/>
        <w:jc w:val="both"/>
      </w:pPr>
      <w:r w:rsidRPr="00B66C86">
        <w:t xml:space="preserve">The literature on collaboration </w:t>
      </w:r>
      <w:r>
        <w:t xml:space="preserve">and networks </w:t>
      </w:r>
      <w:r w:rsidRPr="00B66C86">
        <w:t xml:space="preserve">highlights </w:t>
      </w:r>
      <w:r>
        <w:t xml:space="preserve">notable </w:t>
      </w:r>
      <w:r w:rsidRPr="00B66C86">
        <w:t xml:space="preserve">ambiguities and uncertainties about what collaborative arrangements </w:t>
      </w:r>
      <w:r w:rsidR="002F6840">
        <w:t>achieve</w:t>
      </w:r>
      <w:r w:rsidRPr="00B66C86">
        <w:t>. Guarneros-Meza et al (</w:t>
      </w:r>
      <w:r w:rsidR="002F6840">
        <w:t>53</w:t>
      </w:r>
      <w:r w:rsidRPr="00B66C86">
        <w:t xml:space="preserve">) for example note how interpretations of what constitutes a desirable public service outcome, and the dimensions that make up its performance, </w:t>
      </w:r>
      <w:r>
        <w:t>is likely to be</w:t>
      </w:r>
      <w:r w:rsidRPr="00B66C86">
        <w:t xml:space="preserve"> shaped by pragmatic, political, and social factors which can differ between contexts and among actors. The performance of collaboration can involve contextual, functional, and behavioural variables that includes: </w:t>
      </w:r>
    </w:p>
    <w:p w14:paraId="12A9232D" w14:textId="77777777" w:rsidR="007873A7" w:rsidRPr="00B66C86" w:rsidRDefault="007873A7" w:rsidP="00525BE0">
      <w:pPr>
        <w:pStyle w:val="ListParagraph"/>
        <w:numPr>
          <w:ilvl w:val="0"/>
          <w:numId w:val="19"/>
        </w:numPr>
        <w:spacing w:line="360" w:lineRule="auto"/>
        <w:jc w:val="both"/>
      </w:pPr>
      <w:r w:rsidRPr="00B66C86">
        <w:t>A focus on management styles and their relationship with outputs and process outcomes</w:t>
      </w:r>
      <w:r>
        <w:t>.</w:t>
      </w:r>
    </w:p>
    <w:p w14:paraId="7DB73EB3" w14:textId="77777777" w:rsidR="007873A7" w:rsidRPr="00B66C86" w:rsidRDefault="007873A7" w:rsidP="00525BE0">
      <w:pPr>
        <w:pStyle w:val="ListParagraph"/>
        <w:numPr>
          <w:ilvl w:val="0"/>
          <w:numId w:val="19"/>
        </w:numPr>
        <w:spacing w:line="360" w:lineRule="auto"/>
        <w:jc w:val="both"/>
      </w:pPr>
      <w:r w:rsidRPr="00B66C86">
        <w:t>A focus on how structure and context encompass resource opportunities and constraints i.e., the external environment (climate and turbulence) and previous legacies of hierarchic</w:t>
      </w:r>
      <w:r>
        <w:t>al</w:t>
      </w:r>
      <w:r w:rsidRPr="00B66C86">
        <w:t xml:space="preserve"> governmental arrangements. </w:t>
      </w:r>
    </w:p>
    <w:p w14:paraId="79ED528F" w14:textId="77777777" w:rsidR="007873A7" w:rsidRPr="00B66C86" w:rsidRDefault="007873A7" w:rsidP="00525BE0">
      <w:pPr>
        <w:pStyle w:val="ListParagraph"/>
        <w:numPr>
          <w:ilvl w:val="0"/>
          <w:numId w:val="19"/>
        </w:numPr>
        <w:spacing w:line="360" w:lineRule="auto"/>
        <w:jc w:val="both"/>
      </w:pPr>
      <w:r w:rsidRPr="00B66C86">
        <w:t xml:space="preserve">The role of cultural efficacy </w:t>
      </w:r>
      <w:r>
        <w:t>w</w:t>
      </w:r>
      <w:r w:rsidRPr="00B66C86">
        <w:t>ithin the external environment and context defined as the overarching discourses and rituals</w:t>
      </w:r>
      <w:r>
        <w:t>.</w:t>
      </w:r>
    </w:p>
    <w:p w14:paraId="208529C4" w14:textId="081E5D35" w:rsidR="007873A7" w:rsidRPr="00B66C86" w:rsidRDefault="007873A7" w:rsidP="00525BE0">
      <w:pPr>
        <w:spacing w:line="360" w:lineRule="auto"/>
        <w:jc w:val="both"/>
      </w:pPr>
      <w:r w:rsidRPr="00B66C86">
        <w:t>Given the multifactorial nature of any collaborative endeavour</w:t>
      </w:r>
      <w:r w:rsidR="003D6A4E">
        <w:t>,</w:t>
      </w:r>
      <w:r w:rsidRPr="00B66C86">
        <w:t xml:space="preserve"> Salignac </w:t>
      </w:r>
      <w:r w:rsidR="003D6A4E">
        <w:t>(65</w:t>
      </w:r>
      <w:r w:rsidRPr="00B66C86">
        <w:t>)</w:t>
      </w:r>
      <w:r w:rsidR="003D6A4E">
        <w:t xml:space="preserve"> note that</w:t>
      </w:r>
      <w:r w:rsidRPr="00B66C86">
        <w:t xml:space="preserve"> caution is therefore needed in making claims about performance</w:t>
      </w:r>
      <w:r>
        <w:t xml:space="preserve"> improvement</w:t>
      </w:r>
      <w:r w:rsidRPr="00B66C86">
        <w:t xml:space="preserve">. </w:t>
      </w:r>
      <w:r>
        <w:t>T</w:t>
      </w:r>
      <w:r w:rsidRPr="00B66C86">
        <w:t>he development standards and goals ‘may not reflect what the collaborative ultimately intends to or actually does achiev</w:t>
      </w:r>
      <w:r>
        <w:t xml:space="preserve">e’ </w:t>
      </w:r>
      <w:r>
        <w:fldChar w:fldCharType="begin" w:fldLock="1"/>
      </w:r>
      <w:r w:rsidR="00EA4B53">
        <w:instrText>ADDIN CSL_CITATION {"citationItems":[{"id":"ITEM-1","itemData":{"DOI":"10.1111/puar.12888","ISSN":"15406210","abstract":"Collaboration has become the predominant approach to solving complex public problems. This choice, however, often is not driven by demonstrated effectiveness. Collaboration is instead chosen in the hope that a networked arrangement will be more effective than individual organizations working on the issue alone. Questions regarding collaborative effectiveness persist and constitute a significant challenge facing both public management practitioners and public administration scholars. In light of the case study in this issue of Public Administration Review by Maurits Waardenburg and colleagues, this article reviews the current thinking on the measurement of collaborative performance and discusses steps that professionals can take to evaluate the effectiveness of their collaborative endeavors.","author":[{"dropping-particle":"","family":"Silvia","given":"Chris","non-dropping-particle":"","parse-names":false,"suffix":""}],"container-title":"Public Administration Review","id":"ITEM-1","issue":"3","issued":{"date-parts":[["2018"]]},"page":"472-478","title":"Evaluating Collaboration: The Solution to One Problem Often Causes Another","type":"article-journal","volume":"78"},"uris":["http://www.mendeley.com/documents/?uuid=32722cea-a714-431d-b0f3-6b8d0ce5bd97"]}],"mendeley":{"formattedCitation":"&lt;sup&gt;51&lt;/sup&gt;","plainTextFormattedCitation":"51","previouslyFormattedCitation":"&lt;sup&gt;51&lt;/sup&gt;"},"properties":{"noteIndex":0},"schema":"https://github.com/citation-style-language/schema/raw/master/csl-citation.json"}</w:instrText>
      </w:r>
      <w:r>
        <w:fldChar w:fldCharType="separate"/>
      </w:r>
      <w:r w:rsidR="00E25884" w:rsidRPr="00E25884">
        <w:rPr>
          <w:noProof/>
          <w:vertAlign w:val="superscript"/>
        </w:rPr>
        <w:t>51</w:t>
      </w:r>
      <w:r>
        <w:fldChar w:fldCharType="end"/>
      </w:r>
      <w:r w:rsidRPr="00B66C86">
        <w:t xml:space="preserve">. </w:t>
      </w:r>
      <w:r>
        <w:t>A</w:t>
      </w:r>
      <w:r w:rsidRPr="00B66C86">
        <w:t xml:space="preserve"> more realistic view of collaboration </w:t>
      </w:r>
      <w:r>
        <w:t>is required that better</w:t>
      </w:r>
      <w:r w:rsidRPr="00B66C86">
        <w:t xml:space="preserve"> depicts “the interactive adaptation of perceptions and performance goals” over time (</w:t>
      </w:r>
      <w:r w:rsidR="003D6A4E">
        <w:t>51</w:t>
      </w:r>
      <w:r w:rsidRPr="00B66C86">
        <w:t xml:space="preserve">). </w:t>
      </w:r>
    </w:p>
    <w:p w14:paraId="2FA01ABF" w14:textId="218E4E71" w:rsidR="007873A7" w:rsidRPr="00B66C86" w:rsidRDefault="007873A7" w:rsidP="00525BE0">
      <w:pPr>
        <w:spacing w:line="360" w:lineRule="auto"/>
        <w:jc w:val="both"/>
      </w:pPr>
      <w:r w:rsidRPr="00B66C86">
        <w:t xml:space="preserve">This chapter argues that by adopting a realist understanding </w:t>
      </w:r>
      <w:r>
        <w:t xml:space="preserve">of </w:t>
      </w:r>
      <w:r w:rsidRPr="00B66C86">
        <w:t xml:space="preserve">collaborative performance we may help to </w:t>
      </w:r>
      <w:r>
        <w:t>address</w:t>
      </w:r>
      <w:r w:rsidRPr="00B66C86">
        <w:t xml:space="preserve"> some of these challenges. A realist understanding of mechanisms helps us to break down the various elements that </w:t>
      </w:r>
      <w:r>
        <w:t>generate</w:t>
      </w:r>
      <w:r w:rsidRPr="00B66C86">
        <w:t xml:space="preserve"> improved performance. By mechanisms, we mean changes to people’s attitudes and behaviours,</w:t>
      </w:r>
      <w:r>
        <w:t xml:space="preserve"> and/</w:t>
      </w:r>
      <w:r w:rsidRPr="00B66C86">
        <w:t xml:space="preserve">or </w:t>
      </w:r>
      <w:r>
        <w:t xml:space="preserve">changes to availability or allocation of </w:t>
      </w:r>
      <w:r w:rsidRPr="00B66C86">
        <w:t xml:space="preserve">resources introduced by collaboration, that can drive benefits to more </w:t>
      </w:r>
      <w:r>
        <w:t>long-term</w:t>
      </w:r>
      <w:r w:rsidRPr="00B66C86">
        <w:t xml:space="preserve"> outcomes such as improvements in care quality, safety, </w:t>
      </w:r>
      <w:r>
        <w:t>productivity, and experience</w:t>
      </w:r>
      <w:r w:rsidRPr="00B66C86">
        <w:t xml:space="preserve"> </w:t>
      </w:r>
      <w:r w:rsidRPr="00B66C86">
        <w:fldChar w:fldCharType="begin" w:fldLock="1"/>
      </w:r>
      <w:r w:rsidR="00EA4B53">
        <w:instrText>ADDIN CSL_CITATION {"citationItems":[{"id":"ITEM-1","itemData":{"DOI":"10.1186/s13012-015-0237-x","ISBN":"1301201502","ISSN":"17485908","PMID":"25885787","abstract":"Background: The idea that underlying, generative mechanisms give rise to causal regularities has become a guiding principle across many social and natural science disciplines. A specific form of this enquiry, realist evaluation is gaining momentum in the evaluation of complex social interventions. It focuses on 'what works, how, in which conditions and for whom' using context, mechanism and outcome configurations as opposed to asking whether an intervention 'works'. Realist evaluation can be difficult to codify and requires considerable researcher reflection and creativity. As such there is often confusion when operationalising the method in practice. This article aims to clarify and further develop the concept of mechanism in realist evaluation and in doing so aid the learning of those operationalising the methodology. Discussion: Using a social science illustration, we argue that disaggregating the concept of mechanism into its constituent parts helps to understand the difference between the resources offered by the intervention and the ways in which this changes the reasoning of participants. This in turn helps to distinguish between a context and mechanism. The notion of mechanisms 'firing' in social science research is explored, with discussions surrounding how this may stifle researchers' realist thinking. We underline the importance of conceptualising mechanisms as operating on a continuum, rather than as an 'on/off' switch. Summary: The discussions in this article will hopefully progress and operationalise realist methods. This development is likely to occur due to the infancy of the methodology and its recent increased profile and use in social science research. The arguments we present have been tested and are explained throughout the article using a social science illustration, evidencing their usability and value.","author":[{"dropping-particle":"","family":"Dalkin","given":"Sonia Michelle","non-dropping-particle":"","parse-names":false,"suffix":""},{"dropping-particle":"","family":"Greenhalgh","given":"Joanne","non-dropping-particle":"","parse-names":false,"suffix":""},{"dropping-particle":"","family":"Jones","given":"Diana","non-dropping-particle":"","parse-names":false,"suffix":""},{"dropping-particle":"","family":"Cunningham","given":"Bill","non-dropping-particle":"","parse-names":false,"suffix":""},{"dropping-particle":"","family":"Lhussier","given":"Monique","non-dropping-particle":"","parse-names":false,"suffix":""}],"container-title":"Implementation Science","id":"ITEM-1","issue":"1","issued":{"date-parts":[["2015"]]},"page":"1-7","publisher":"???","title":"What's in a mechanism? Development of a key concept in realist evaluation","type":"article-journal","volume":"10"},"uris":["http://www.mendeley.com/documents/?uuid=61dad5b7-e703-44f9-ba9f-f82e65154089"]}],"mendeley":{"formattedCitation":"&lt;sup&gt;131&lt;/sup&gt;","plainTextFormattedCitation":"131","previouslyFormattedCitation":"&lt;sup&gt;131&lt;/sup&gt;"},"properties":{"noteIndex":0},"schema":"https://github.com/citation-style-language/schema/raw/master/csl-citation.json"}</w:instrText>
      </w:r>
      <w:r w:rsidRPr="00B66C86">
        <w:fldChar w:fldCharType="separate"/>
      </w:r>
      <w:r w:rsidR="00E25884" w:rsidRPr="00E25884">
        <w:rPr>
          <w:noProof/>
          <w:vertAlign w:val="superscript"/>
        </w:rPr>
        <w:t>131</w:t>
      </w:r>
      <w:r w:rsidRPr="00B66C86">
        <w:fldChar w:fldCharType="end"/>
      </w:r>
      <w:r w:rsidRPr="00B66C86">
        <w:t xml:space="preserve">. </w:t>
      </w:r>
    </w:p>
    <w:p w14:paraId="2C2EE35C" w14:textId="0FEA6E42" w:rsidR="007873A7" w:rsidRPr="00B66C86" w:rsidRDefault="007873A7" w:rsidP="00525BE0">
      <w:pPr>
        <w:spacing w:line="360" w:lineRule="auto"/>
        <w:jc w:val="both"/>
      </w:pPr>
      <w:r w:rsidRPr="00B66C86">
        <w:t xml:space="preserve">Up to now our approach has been to incorporate Partnership Synergy Theory as a high-level middle-range theory to help us understand how collaborative behaviour (or ‘synergy’) links in to the ‘black box’ of collaborative performance. To further understand and generate </w:t>
      </w:r>
      <w:r>
        <w:t>a greater depth of understanding in relation to</w:t>
      </w:r>
      <w:r w:rsidRPr="00B66C86">
        <w:t xml:space="preserve"> collaborative performance, </w:t>
      </w:r>
      <w:r>
        <w:t>the chapter will</w:t>
      </w:r>
      <w:r w:rsidRPr="00B66C86">
        <w:t xml:space="preserve"> </w:t>
      </w:r>
      <w:r>
        <w:t>draw on</w:t>
      </w:r>
      <w:r w:rsidRPr="00B66C86">
        <w:t xml:space="preserve"> a framework by Dickinson and Sullivan (</w:t>
      </w:r>
      <w:r w:rsidR="003D6A4E">
        <w:t>48</w:t>
      </w:r>
      <w:r w:rsidRPr="00B66C86">
        <w:t xml:space="preserve">) to act as a Middle Range Theory to </w:t>
      </w:r>
      <w:r>
        <w:t>better</w:t>
      </w:r>
      <w:r w:rsidRPr="00B66C86">
        <w:t xml:space="preserve"> understand the dimensions of collaborative performance mechanisms. These authors argue that much of how we understand collaborative performance in health and social care has been couched in ‘techno-bureaucratic’ understandings of collaboration, where a focus on efficiency and effectiveness arising from collaboration has been at the expense of analysing the performative and sociocultural dimensions that guide collaborative efforts.</w:t>
      </w:r>
    </w:p>
    <w:p w14:paraId="1DD50F53" w14:textId="7159A8EE" w:rsidR="007873A7" w:rsidRDefault="007873A7" w:rsidP="00525BE0">
      <w:pPr>
        <w:spacing w:line="360" w:lineRule="auto"/>
        <w:jc w:val="both"/>
      </w:pPr>
      <w:r w:rsidRPr="003D71B1">
        <w:t>Dickinson and Sullivan (</w:t>
      </w:r>
      <w:r w:rsidR="003D6A4E">
        <w:t>48</w:t>
      </w:r>
      <w:r w:rsidRPr="003D71B1">
        <w:t xml:space="preserve">) adapt McKenzie’s (2002) dimensions of performance </w:t>
      </w:r>
      <w:r>
        <w:t xml:space="preserve">into the domains of </w:t>
      </w:r>
      <w:r w:rsidRPr="003D71B1">
        <w:t xml:space="preserve">organisational efficiency, technological effectiveness, and cultural efficacy </w:t>
      </w:r>
      <w:r>
        <w:fldChar w:fldCharType="begin" w:fldLock="1"/>
      </w:r>
      <w:r w:rsidR="00EA4B53">
        <w:instrText>ADDIN CSL_CITATION {"citationItems":[{"id":"ITEM-1","itemData":{"ISBN":"1134538626","author":[{"dropping-particle":"","family":"McKenzie","given":"Jon","non-dropping-particle":"","parse-names":false,"suffix":""}],"id":"ITEM-1","issued":{"date-parts":[["2002"]]},"publisher":"Routledge","title":"Perform or else: From discipline to performance","type":"book"},"uris":["http://www.mendeley.com/documents/?uuid=8288f753-b44e-4ba9-bfc5-82db27ca316a"]}],"mendeley":{"formattedCitation":"&lt;sup&gt;216&lt;/sup&gt;","plainTextFormattedCitation":"216","previouslyFormattedCitation":"&lt;sup&gt;216&lt;/sup&gt;"},"properties":{"noteIndex":0},"schema":"https://github.com/citation-style-language/schema/raw/master/csl-citation.json"}</w:instrText>
      </w:r>
      <w:r>
        <w:fldChar w:fldCharType="separate"/>
      </w:r>
      <w:r w:rsidR="00E25884" w:rsidRPr="00E25884">
        <w:rPr>
          <w:noProof/>
          <w:vertAlign w:val="superscript"/>
        </w:rPr>
        <w:t>216</w:t>
      </w:r>
      <w:r>
        <w:fldChar w:fldCharType="end"/>
      </w:r>
      <w:r w:rsidR="007F428C">
        <w:t xml:space="preserve"> (table 8)</w:t>
      </w:r>
      <w:r>
        <w:t xml:space="preserve"> which are defined in the following ways: </w:t>
      </w:r>
    </w:p>
    <w:p w14:paraId="11B9A0E5" w14:textId="77777777" w:rsidR="007873A7" w:rsidRDefault="007873A7" w:rsidP="00525BE0">
      <w:pPr>
        <w:pStyle w:val="ListParagraph"/>
        <w:numPr>
          <w:ilvl w:val="0"/>
          <w:numId w:val="20"/>
        </w:numPr>
        <w:spacing w:line="360" w:lineRule="auto"/>
        <w:jc w:val="both"/>
      </w:pPr>
      <w:r w:rsidRPr="003D71B1">
        <w:t xml:space="preserve">Cultural Efficacy </w:t>
      </w:r>
      <w:r>
        <w:t>refers to</w:t>
      </w:r>
      <w:r w:rsidRPr="003D71B1">
        <w:t xml:space="preserve"> “</w:t>
      </w:r>
      <w:r w:rsidRPr="0084462C">
        <w:rPr>
          <w:i/>
          <w:iCs/>
        </w:rPr>
        <w:t>an expression of staged or ritualized representations or enactments of particular social and cultural traditions</w:t>
      </w:r>
      <w:r w:rsidRPr="003D71B1">
        <w:t xml:space="preserve">” </w:t>
      </w:r>
    </w:p>
    <w:p w14:paraId="195E3E72" w14:textId="77777777" w:rsidR="007873A7" w:rsidRDefault="007873A7" w:rsidP="00525BE0">
      <w:pPr>
        <w:pStyle w:val="ListParagraph"/>
        <w:numPr>
          <w:ilvl w:val="0"/>
          <w:numId w:val="20"/>
        </w:numPr>
        <w:spacing w:line="360" w:lineRule="auto"/>
        <w:jc w:val="both"/>
      </w:pPr>
      <w:r w:rsidRPr="003D71B1">
        <w:t>Technological Effectiveness relates to how “</w:t>
      </w:r>
      <w:r w:rsidRPr="0084462C">
        <w:rPr>
          <w:i/>
          <w:iCs/>
        </w:rPr>
        <w:t>technological advancements can enhance the performance of everyday objects</w:t>
      </w:r>
      <w:r w:rsidRPr="003D71B1">
        <w:t>”</w:t>
      </w:r>
      <w:r>
        <w:t>;</w:t>
      </w:r>
      <w:r w:rsidRPr="003D71B1">
        <w:t xml:space="preserve"> and </w:t>
      </w:r>
    </w:p>
    <w:p w14:paraId="1D156322" w14:textId="3A21CB5A" w:rsidR="007873A7" w:rsidRPr="003D71B1" w:rsidRDefault="007873A7" w:rsidP="00525BE0">
      <w:pPr>
        <w:pStyle w:val="ListParagraph"/>
        <w:numPr>
          <w:ilvl w:val="0"/>
          <w:numId w:val="20"/>
        </w:numPr>
        <w:spacing w:line="360" w:lineRule="auto"/>
        <w:jc w:val="both"/>
      </w:pPr>
      <w:r w:rsidRPr="003D71B1">
        <w:t>Organisational Efficiency focuses on common understandings of organisational performance, “</w:t>
      </w:r>
      <w:r w:rsidRPr="0084462C">
        <w:rPr>
          <w:i/>
          <w:iCs/>
        </w:rPr>
        <w:t>achieving more for less by employing tools of performance improvement</w:t>
      </w:r>
      <w:r w:rsidRPr="003D71B1">
        <w:t xml:space="preserve">” </w:t>
      </w:r>
    </w:p>
    <w:p w14:paraId="5888C214" w14:textId="64BF7230" w:rsidR="007873A7" w:rsidRPr="003D71B1" w:rsidRDefault="007873A7" w:rsidP="00525BE0">
      <w:pPr>
        <w:pStyle w:val="Caption"/>
        <w:spacing w:line="360" w:lineRule="auto"/>
        <w:jc w:val="both"/>
      </w:pPr>
      <w:bookmarkStart w:id="128" w:name="_Toc106181512"/>
      <w:r w:rsidRPr="003D71B1">
        <w:t xml:space="preserve">Table </w:t>
      </w:r>
      <w:r w:rsidR="008802A5">
        <w:fldChar w:fldCharType="begin"/>
      </w:r>
      <w:r w:rsidR="008802A5">
        <w:instrText xml:space="preserve"> SEQ Table \* ARABIC </w:instrText>
      </w:r>
      <w:r w:rsidR="008802A5">
        <w:fldChar w:fldCharType="separate"/>
      </w:r>
      <w:r w:rsidR="007F428C">
        <w:rPr>
          <w:noProof/>
        </w:rPr>
        <w:t>8</w:t>
      </w:r>
      <w:r w:rsidR="008802A5">
        <w:rPr>
          <w:noProof/>
        </w:rPr>
        <w:fldChar w:fldCharType="end"/>
      </w:r>
      <w:r w:rsidRPr="003D71B1">
        <w:t>. Domains of collaborative performance</w:t>
      </w:r>
      <w:r>
        <w:t xml:space="preserve"> (</w:t>
      </w:r>
      <w:r w:rsidRPr="003D71B1">
        <w:fldChar w:fldCharType="begin" w:fldLock="1"/>
      </w:r>
      <w:r w:rsidR="00EA4B53">
        <w:instrText>ADDIN CSL_CITATION {"citationItems":[{"id":"ITEM-1","itemData":{"DOI":"10.1111/padm.12048","ISSN":"14679299","abstract":"Much of what has been written about collaboration treats it instrumentally as a means-ends tool of improvement. However, despite considerable collaborative activity there is little evidence that clearly links collaboration to improvements in service-user outcomes or reduced inequalities. In this article we draw on literature from critical public policy and governance studies to recast collaboration as an expression of cultural performance associated with a rather different set of values and measures. We argue that understanding collaboration in the round means that we need to pay attention to all dimensions of performance including cultural performance. We argue that this in turn helps to explain the persistent appeal of collaboration amongst policy makers and practitioners. © 2013 John Wiley &amp; Sons Ltd.","author":[{"dropping-particle":"","family":"Dickinson","given":"Helen","non-dropping-particle":"","parse-names":false,"suffix":""},{"dropping-particle":"","family":"Sullivan","given":"Helen","non-dropping-particle":"","parse-names":false,"suffix":""}],"container-title":"Public Administration","id":"ITEM-1","issue":"1","issued":{"date-parts":[["2014"]]},"page":"161-177","title":"Towards a general theory of collaborative performance: The importance of efficacy and agency","type":"article-journal","volume":"92"},"uris":["http://www.mendeley.com/documents/?uuid=4634c9cd-08ce-43d3-8271-9a9e3d4a1850"]}],"mendeley":{"formattedCitation":"&lt;sup&gt;48&lt;/sup&gt;","manualFormatting":"Dickinson &amp; Sullivan (2014)","plainTextFormattedCitation":"48","previouslyFormattedCitation":"&lt;sup&gt;48&lt;/sup&gt;"},"properties":{"noteIndex":0},"schema":"https://github.com/citation-style-language/schema/raw/master/csl-citation.json"}</w:instrText>
      </w:r>
      <w:r w:rsidRPr="003D71B1">
        <w:fldChar w:fldCharType="separate"/>
      </w:r>
      <w:r w:rsidRPr="003D71B1">
        <w:rPr>
          <w:noProof/>
        </w:rPr>
        <w:t>Dickinson &amp; Sullivan (2014)</w:t>
      </w:r>
      <w:r w:rsidRPr="003D71B1">
        <w:fldChar w:fldCharType="end"/>
      </w:r>
      <w:r w:rsidRPr="003D71B1">
        <w:t>.</w:t>
      </w:r>
      <w:bookmarkEnd w:id="128"/>
    </w:p>
    <w:tbl>
      <w:tblPr>
        <w:tblStyle w:val="TableGrid"/>
        <w:tblW w:w="0" w:type="auto"/>
        <w:tblLook w:val="04A0" w:firstRow="1" w:lastRow="0" w:firstColumn="1" w:lastColumn="0" w:noHBand="0" w:noVBand="1"/>
      </w:tblPr>
      <w:tblGrid>
        <w:gridCol w:w="3005"/>
        <w:gridCol w:w="3005"/>
        <w:gridCol w:w="3006"/>
      </w:tblGrid>
      <w:tr w:rsidR="007873A7" w:rsidRPr="003D71B1" w14:paraId="50964016" w14:textId="77777777" w:rsidTr="007873A7">
        <w:tc>
          <w:tcPr>
            <w:tcW w:w="3005" w:type="dxa"/>
          </w:tcPr>
          <w:p w14:paraId="118A51FC" w14:textId="77777777" w:rsidR="007873A7" w:rsidRPr="003D71B1" w:rsidRDefault="007873A7" w:rsidP="00525BE0">
            <w:pPr>
              <w:jc w:val="both"/>
            </w:pPr>
            <w:r w:rsidRPr="003D71B1">
              <w:t>Organisational efficiency</w:t>
            </w:r>
          </w:p>
        </w:tc>
        <w:tc>
          <w:tcPr>
            <w:tcW w:w="3005" w:type="dxa"/>
          </w:tcPr>
          <w:p w14:paraId="0277E66D" w14:textId="77777777" w:rsidR="007873A7" w:rsidRPr="003D71B1" w:rsidRDefault="007873A7" w:rsidP="00525BE0">
            <w:pPr>
              <w:jc w:val="both"/>
            </w:pPr>
            <w:r w:rsidRPr="003D71B1">
              <w:t>Technological effectiveness</w:t>
            </w:r>
          </w:p>
        </w:tc>
        <w:tc>
          <w:tcPr>
            <w:tcW w:w="3006" w:type="dxa"/>
          </w:tcPr>
          <w:p w14:paraId="4CCF87B6" w14:textId="77777777" w:rsidR="007873A7" w:rsidRPr="003D71B1" w:rsidRDefault="007873A7" w:rsidP="00525BE0">
            <w:pPr>
              <w:jc w:val="both"/>
            </w:pPr>
            <w:r w:rsidRPr="003D71B1">
              <w:t>Cultural efficacy</w:t>
            </w:r>
          </w:p>
        </w:tc>
      </w:tr>
      <w:tr w:rsidR="007873A7" w:rsidRPr="003D71B1" w14:paraId="437A4EBC" w14:textId="77777777" w:rsidTr="007873A7">
        <w:trPr>
          <w:trHeight w:val="557"/>
        </w:trPr>
        <w:tc>
          <w:tcPr>
            <w:tcW w:w="3005" w:type="dxa"/>
          </w:tcPr>
          <w:p w14:paraId="2F257D36" w14:textId="77777777" w:rsidR="007873A7" w:rsidRDefault="007873A7" w:rsidP="00525BE0">
            <w:pPr>
              <w:pStyle w:val="ListParagraph"/>
              <w:numPr>
                <w:ilvl w:val="0"/>
                <w:numId w:val="10"/>
              </w:numPr>
              <w:spacing w:after="0" w:line="276" w:lineRule="auto"/>
              <w:jc w:val="both"/>
            </w:pPr>
            <w:r w:rsidRPr="005B3DE0">
              <w:t>What different forms of collaboration exist and how do their features differ from one another?</w:t>
            </w:r>
          </w:p>
          <w:p w14:paraId="4C4145B3" w14:textId="77777777" w:rsidR="007873A7" w:rsidRDefault="007873A7" w:rsidP="00525BE0">
            <w:pPr>
              <w:pStyle w:val="ListParagraph"/>
              <w:numPr>
                <w:ilvl w:val="0"/>
                <w:numId w:val="10"/>
              </w:numPr>
              <w:spacing w:after="0" w:line="276" w:lineRule="auto"/>
              <w:jc w:val="both"/>
            </w:pPr>
            <w:r w:rsidRPr="005B3DE0">
              <w:t>Does collaboration lead to improved services? What measures demonstrate this?</w:t>
            </w:r>
          </w:p>
          <w:p w14:paraId="7F1BCFFF" w14:textId="77777777" w:rsidR="007873A7" w:rsidRDefault="007873A7" w:rsidP="00525BE0">
            <w:pPr>
              <w:pStyle w:val="ListParagraph"/>
              <w:numPr>
                <w:ilvl w:val="0"/>
                <w:numId w:val="10"/>
              </w:numPr>
              <w:spacing w:after="0" w:line="276" w:lineRule="auto"/>
              <w:jc w:val="both"/>
            </w:pPr>
            <w:r w:rsidRPr="005B3DE0">
              <w:t>If collaboration does improve services and outcomes, which features of these collaborations produce these impacts?</w:t>
            </w:r>
          </w:p>
          <w:p w14:paraId="69076005" w14:textId="77777777" w:rsidR="007873A7" w:rsidRPr="005B3DE0" w:rsidRDefault="007873A7" w:rsidP="00525BE0">
            <w:pPr>
              <w:pStyle w:val="ListParagraph"/>
              <w:numPr>
                <w:ilvl w:val="0"/>
                <w:numId w:val="10"/>
              </w:numPr>
              <w:spacing w:after="0" w:line="276" w:lineRule="auto"/>
              <w:jc w:val="both"/>
            </w:pPr>
            <w:r w:rsidRPr="005B3DE0">
              <w:t>Is collaboration cost-effective compared to other forms of arrangements?</w:t>
            </w:r>
          </w:p>
        </w:tc>
        <w:tc>
          <w:tcPr>
            <w:tcW w:w="3005" w:type="dxa"/>
          </w:tcPr>
          <w:p w14:paraId="5AFB9FB8" w14:textId="77777777" w:rsidR="007873A7" w:rsidRDefault="007873A7" w:rsidP="00525BE0">
            <w:pPr>
              <w:pStyle w:val="ListParagraph"/>
              <w:numPr>
                <w:ilvl w:val="0"/>
                <w:numId w:val="10"/>
              </w:numPr>
              <w:spacing w:after="0" w:line="276" w:lineRule="auto"/>
              <w:jc w:val="both"/>
            </w:pPr>
            <w:r w:rsidRPr="005B3DE0">
              <w:t>What types of technology are being used?</w:t>
            </w:r>
          </w:p>
          <w:p w14:paraId="022B3202" w14:textId="77777777" w:rsidR="007873A7" w:rsidRDefault="007873A7" w:rsidP="00525BE0">
            <w:pPr>
              <w:pStyle w:val="ListParagraph"/>
              <w:numPr>
                <w:ilvl w:val="0"/>
                <w:numId w:val="10"/>
              </w:numPr>
              <w:spacing w:after="0" w:line="276" w:lineRule="auto"/>
              <w:jc w:val="both"/>
            </w:pPr>
            <w:r w:rsidRPr="005B3DE0">
              <w:t>To what degree do technologies manage to execute their prescribed tasks?</w:t>
            </w:r>
          </w:p>
          <w:p w14:paraId="4E2A3A3D" w14:textId="77777777" w:rsidR="007873A7" w:rsidRPr="005B3DE0" w:rsidRDefault="007873A7" w:rsidP="00525BE0">
            <w:pPr>
              <w:pStyle w:val="ListParagraph"/>
              <w:numPr>
                <w:ilvl w:val="0"/>
                <w:numId w:val="10"/>
              </w:numPr>
              <w:spacing w:after="0" w:line="276" w:lineRule="auto"/>
              <w:jc w:val="both"/>
            </w:pPr>
            <w:r w:rsidRPr="005B3DE0">
              <w:t>What negotiations and compromises are made between possible technology performances?</w:t>
            </w:r>
          </w:p>
        </w:tc>
        <w:tc>
          <w:tcPr>
            <w:tcW w:w="3006" w:type="dxa"/>
          </w:tcPr>
          <w:p w14:paraId="450902E4" w14:textId="77777777" w:rsidR="007873A7" w:rsidRDefault="007873A7" w:rsidP="00525BE0">
            <w:pPr>
              <w:pStyle w:val="ListParagraph"/>
              <w:numPr>
                <w:ilvl w:val="0"/>
                <w:numId w:val="10"/>
              </w:numPr>
              <w:spacing w:after="0" w:line="276" w:lineRule="auto"/>
              <w:jc w:val="both"/>
            </w:pPr>
            <w:r w:rsidRPr="005B3DE0">
              <w:t>What discourses of collaboration are present and what performative work do discourses do?</w:t>
            </w:r>
          </w:p>
          <w:p w14:paraId="05C0AF50" w14:textId="77777777" w:rsidR="007873A7" w:rsidRDefault="007873A7" w:rsidP="00525BE0">
            <w:pPr>
              <w:pStyle w:val="ListParagraph"/>
              <w:numPr>
                <w:ilvl w:val="0"/>
                <w:numId w:val="10"/>
              </w:numPr>
              <w:spacing w:after="0" w:line="276" w:lineRule="auto"/>
              <w:jc w:val="both"/>
            </w:pPr>
            <w:r w:rsidRPr="005B3DE0">
              <w:t>How is the performance of collaboration designed/structured?</w:t>
            </w:r>
          </w:p>
          <w:p w14:paraId="4C12324E" w14:textId="77777777" w:rsidR="007873A7" w:rsidRDefault="007873A7" w:rsidP="00525BE0">
            <w:pPr>
              <w:pStyle w:val="ListParagraph"/>
              <w:numPr>
                <w:ilvl w:val="0"/>
                <w:numId w:val="10"/>
              </w:numPr>
              <w:spacing w:after="0" w:line="276" w:lineRule="auto"/>
              <w:jc w:val="both"/>
            </w:pPr>
            <w:r w:rsidRPr="005B3DE0">
              <w:t>How do actors perform a collaborative self?</w:t>
            </w:r>
          </w:p>
          <w:p w14:paraId="7120B48C" w14:textId="77777777" w:rsidR="007873A7" w:rsidRDefault="007873A7" w:rsidP="00525BE0">
            <w:pPr>
              <w:pStyle w:val="ListParagraph"/>
              <w:numPr>
                <w:ilvl w:val="0"/>
                <w:numId w:val="10"/>
              </w:numPr>
              <w:spacing w:after="0" w:line="276" w:lineRule="auto"/>
              <w:jc w:val="both"/>
            </w:pPr>
            <w:r w:rsidRPr="005B3DE0">
              <w:t>What are the affective dimensions of discourses and performances?</w:t>
            </w:r>
          </w:p>
          <w:p w14:paraId="0EBB5360" w14:textId="77777777" w:rsidR="007873A7" w:rsidRPr="005B3DE0" w:rsidRDefault="007873A7" w:rsidP="00525BE0">
            <w:pPr>
              <w:pStyle w:val="ListParagraph"/>
              <w:numPr>
                <w:ilvl w:val="0"/>
                <w:numId w:val="10"/>
              </w:numPr>
              <w:spacing w:after="0" w:line="276" w:lineRule="auto"/>
              <w:jc w:val="both"/>
            </w:pPr>
            <w:r w:rsidRPr="005B3DE0">
              <w:t>What kinds of metaphors and symbols are present?</w:t>
            </w:r>
          </w:p>
        </w:tc>
      </w:tr>
    </w:tbl>
    <w:p w14:paraId="462B595D" w14:textId="77777777" w:rsidR="007873A7" w:rsidRDefault="007873A7" w:rsidP="00525BE0">
      <w:pPr>
        <w:spacing w:line="360" w:lineRule="auto"/>
        <w:jc w:val="both"/>
      </w:pPr>
    </w:p>
    <w:p w14:paraId="0810212D" w14:textId="4CE19357" w:rsidR="007873A7" w:rsidRDefault="007873A7" w:rsidP="00525BE0">
      <w:pPr>
        <w:spacing w:line="360" w:lineRule="auto"/>
        <w:jc w:val="both"/>
      </w:pPr>
      <w:r w:rsidRPr="003D71B1">
        <w:t xml:space="preserve">The following sections will present how the domains of cultural efficacy, </w:t>
      </w:r>
      <w:r>
        <w:t xml:space="preserve">technological </w:t>
      </w:r>
      <w:r w:rsidRPr="003D71B1">
        <w:t xml:space="preserve">effectiveness, and </w:t>
      </w:r>
      <w:r>
        <w:t xml:space="preserve">organisational </w:t>
      </w:r>
      <w:r w:rsidRPr="003D71B1">
        <w:t>efficiency</w:t>
      </w:r>
      <w:r>
        <w:t xml:space="preserve"> were reflected in the accounts of the stakeholders involved in our research. While Dickinson &amp; Sullivan (</w:t>
      </w:r>
      <w:r w:rsidR="003D6A4E">
        <w:t>48</w:t>
      </w:r>
      <w:r>
        <w:t xml:space="preserve">) outline several areas within their framework (table 9), our particular interest here is in those characteristics that could most suitably align with mechanisms that are realist in nature. In our reframing, cultural efficacy becomes ‘an understanding of how actors’ cultural efficacy (i.e., behaviours, attitudes, symbols, practices, identity and emotions) may change in a manner that could feasibly drive improvements in safety and quality of care further down the causal chain. </w:t>
      </w:r>
      <w:r w:rsidR="003D6A4E">
        <w:t>C</w:t>
      </w:r>
      <w:r w:rsidR="003D6A4E" w:rsidRPr="003D6A4E">
        <w:t xml:space="preserve">ultural efficacy </w:t>
      </w:r>
      <w:r w:rsidR="003D6A4E">
        <w:t xml:space="preserve">also refers to </w:t>
      </w:r>
      <w:r w:rsidRPr="00F27C0F">
        <w:t>changes</w:t>
      </w:r>
      <w:r>
        <w:t xml:space="preserve"> </w:t>
      </w:r>
      <w:r w:rsidR="003D6A4E">
        <w:t xml:space="preserve">in </w:t>
      </w:r>
      <w:r>
        <w:t>“</w:t>
      </w:r>
      <w:r w:rsidRPr="009C55AF">
        <w:rPr>
          <w:i/>
          <w:iCs/>
        </w:rPr>
        <w:t>values, ideas, and practices that may become challenged by collaboration</w:t>
      </w:r>
      <w:r>
        <w:t xml:space="preserve">” as well as signposting that </w:t>
      </w:r>
      <w:r w:rsidRPr="00574F0E">
        <w:t>“</w:t>
      </w:r>
      <w:r w:rsidRPr="009C55AF">
        <w:rPr>
          <w:i/>
          <w:iCs/>
        </w:rPr>
        <w:t>how [actors] feel about collaboration in general, or collaboration with different institutions, has implications for what we do in practice and how we might go about this</w:t>
      </w:r>
      <w:r>
        <w:t xml:space="preserve">”. </w:t>
      </w:r>
    </w:p>
    <w:p w14:paraId="2FD2C8C8" w14:textId="05FBC629" w:rsidR="007873A7" w:rsidRDefault="007873A7" w:rsidP="00525BE0">
      <w:pPr>
        <w:spacing w:line="360" w:lineRule="auto"/>
        <w:jc w:val="both"/>
      </w:pPr>
      <w:r>
        <w:t>Our understanding of organisational efficiency draws particularly on the question “</w:t>
      </w:r>
      <w:r w:rsidRPr="009C55AF">
        <w:rPr>
          <w:i/>
          <w:iCs/>
        </w:rPr>
        <w:t>If collaboration does improve services and outcomes, which features of these collaborations produce these impacts?</w:t>
      </w:r>
      <w:r w:rsidRPr="00F27C0F">
        <w:t>”</w:t>
      </w:r>
      <w:r w:rsidRPr="009C55AF">
        <w:rPr>
          <w:i/>
          <w:iCs/>
        </w:rPr>
        <w:t>.</w:t>
      </w:r>
      <w:r>
        <w:t xml:space="preserve"> And, for technological effectiveness, we add to the concept by Dickinson and Sullivan by drawing on the definition</w:t>
      </w:r>
      <w:r w:rsidRPr="00813707">
        <w:t xml:space="preserve"> </w:t>
      </w:r>
      <w:r>
        <w:t>of technology by the Oxford Dictionary as ‘</w:t>
      </w:r>
      <w:r w:rsidRPr="00D14F5C">
        <w:t>the application of scientific knowledge for practical purposes</w:t>
      </w:r>
      <w:r>
        <w:t xml:space="preserve">’. This expands the notion of technology from machines and information technology to include aspects such as the sharing of knowledge, </w:t>
      </w:r>
      <w:r w:rsidRPr="00DD08A0">
        <w:t>experience, evidence, or expertise</w:t>
      </w:r>
      <w:r>
        <w:t xml:space="preserve"> that was previously unbeknownst from one organisation to another. This relates directly to knowledge mobilisation across boundaries attained from research and development efforts </w:t>
      </w:r>
      <w:r>
        <w:fldChar w:fldCharType="begin" w:fldLock="1"/>
      </w:r>
      <w:r w:rsidR="00EA4B53">
        <w:instrText>ADDIN CSL_CITATION {"citationItems":[{"id":"ITEM-1","itemData":{"ISSN":"2050-4357","author":[{"dropping-particle":"","family":"Rycroft-Malone","given":"Jo","non-dropping-particle":"","parse-names":false,"suffix":""},{"dropping-particle":"","family":"Burton","given":"Christopher","non-dropping-particle":"","parse-names":false,"suffix":""},{"dropping-particle":"","family":"Wilkinson","given":"Joyce E","non-dropping-particle":"","parse-names":false,"suffix":""},{"dropping-particle":"","family":"Harvey","given":"Gill","non-dropping-particle":"","parse-names":false,"suffix":""},{"dropping-particle":"","family":"McCormack","given":"Brendan","non-dropping-particle":"","parse-names":false,"suffix":""},{"dropping-particle":"","family":"Baker","given":"Richard","non-dropping-particle":"","parse-names":false,"suffix":""},{"dropping-particle":"","family":"Dopson","given":"Sue","non-dropping-particle":"","parse-names":false,"suffix":""},{"dropping-particle":"","family":"Graham","given":"Ian","non-dropping-particle":"","parse-names":false,"suffix":""},{"dropping-particle":"","family":"Staniszewska","given":"Sophie","non-dropping-particle":"","parse-names":false,"suffix":""},{"dropping-particle":"","family":"Thompson","given":"Carl","non-dropping-particle":"","parse-names":false,"suffix":""}],"container-title":"Health services and delivery research","id":"ITEM-1","issue":"44","issued":{"date-parts":[["2015"]]},"publisher":"NIHR Health Technology Assessment Programme","title":"Collective action for knowledge moblisation: a realist evaluation of the collaborations for leadership in applied Health Research and care","type":"article-journal","volume":"3"},"uris":["http://www.mendeley.com/documents/?uuid=8e0fa1e4-7a94-4082-9878-491674b40474"]},{"id":"ITEM-2","itemData":{"DOI":"10.1111/1467-9299.00322","ISSN":"00333298","abstract":"The National Health Service (NHS) in England and Wales has embarked upon a radical and far-reaching programme of change and reform. However, to date the results of organizational quality and service improvement initiatives in the public sector have been mixed, if not to say disappointing, with anticipated gains often failing to materialize or to be sustained in the longer term. This paper draws on the authors' recent extensive research into one of the principal methodologies for bringing about the sought after step change in the quality of health care in England and Wales. It explores how private sector knowledge management (KM) concepts and practices might contribute to the further development of public sector quality improvement initiatives in general and to the reform of the NHS in particular. Our analysis suggests there have been a number of problems and challenges in practice, not least a considerable naïvety around the issue of knowledge transfer and 'knowledge into practice' within health care organizations. We suggest four broad areas for possible development which also have important implications for other public sector organizations.","author":[{"dropping-particle":"","family":"Bate","given":"S. P.","non-dropping-particle":"","parse-names":false,"suffix":""},{"dropping-particle":"","family":"Robert","given":"G.","non-dropping-particle":"","parse-names":false,"suffix":""}],"container-title":"Public Administration","id":"ITEM-2","issue":"4","issued":{"date-parts":[["2002"]]},"page":"643-663","title":"Knowledge management and communities of practice in the private sector: Lessons for modernizing the national health service in England and Wales","type":"article-journal","volume":"80"},"uris":["http://www.mendeley.com/documents/?uuid=7c3bcbd8-ed69-49dc-8311-3d988887b5e3"]}],"mendeley":{"formattedCitation":"&lt;sup&gt;217,218&lt;/sup&gt;","plainTextFormattedCitation":"217,218","previouslyFormattedCitation":"&lt;sup&gt;217,218&lt;/sup&gt;"},"properties":{"noteIndex":0},"schema":"https://github.com/citation-style-language/schema/raw/master/csl-citation.json"}</w:instrText>
      </w:r>
      <w:r>
        <w:fldChar w:fldCharType="separate"/>
      </w:r>
      <w:r w:rsidR="00E25884" w:rsidRPr="00E25884">
        <w:rPr>
          <w:noProof/>
          <w:vertAlign w:val="superscript"/>
        </w:rPr>
        <w:t>217,218</w:t>
      </w:r>
      <w:r>
        <w:fldChar w:fldCharType="end"/>
      </w:r>
      <w:r>
        <w:t xml:space="preserve">. </w:t>
      </w:r>
    </w:p>
    <w:p w14:paraId="446D7BB2" w14:textId="77777777" w:rsidR="007873A7" w:rsidRPr="003D71B1" w:rsidRDefault="007873A7" w:rsidP="00525BE0">
      <w:pPr>
        <w:pStyle w:val="Heading2"/>
        <w:spacing w:line="360" w:lineRule="auto"/>
        <w:jc w:val="both"/>
      </w:pPr>
      <w:bookmarkStart w:id="129" w:name="_Toc85066469"/>
      <w:r w:rsidRPr="005B3DE0">
        <w:t>Analysing intermediate performance mechanisms and outcomes</w:t>
      </w:r>
      <w:bookmarkEnd w:id="129"/>
    </w:p>
    <w:p w14:paraId="372F29BD" w14:textId="77777777" w:rsidR="007873A7" w:rsidRPr="003D71B1" w:rsidRDefault="007873A7" w:rsidP="00525BE0">
      <w:pPr>
        <w:pStyle w:val="Heading3"/>
        <w:jc w:val="both"/>
      </w:pPr>
      <w:bookmarkStart w:id="130" w:name="_Toc85066470"/>
      <w:r w:rsidRPr="005B3DE0">
        <w:t>Cultural Efficacy</w:t>
      </w:r>
      <w:bookmarkEnd w:id="130"/>
    </w:p>
    <w:p w14:paraId="27611BD7" w14:textId="77777777" w:rsidR="007873A7" w:rsidRPr="00243375" w:rsidRDefault="007873A7" w:rsidP="00525BE0">
      <w:pPr>
        <w:spacing w:line="360" w:lineRule="auto"/>
        <w:jc w:val="both"/>
      </w:pPr>
      <w:r w:rsidRPr="00243375">
        <w:t xml:space="preserve">The mechanisms identified within the </w:t>
      </w:r>
      <w:r>
        <w:t>collaborative performance domain of</w:t>
      </w:r>
      <w:r w:rsidRPr="00243375">
        <w:t xml:space="preserve"> cultural efficacy included improved communication, improved coordination, the translation of improvement strategies, the improvement of organisational reputation, and the ability to work across sectors.</w:t>
      </w:r>
    </w:p>
    <w:p w14:paraId="5375DB53" w14:textId="04DE5A7C" w:rsidR="007873A7" w:rsidRPr="00243375" w:rsidRDefault="007873A7" w:rsidP="00525BE0">
      <w:pPr>
        <w:spacing w:line="360" w:lineRule="auto"/>
        <w:jc w:val="both"/>
      </w:pPr>
      <w:r w:rsidRPr="00243375">
        <w:t xml:space="preserve">Enhanced communication channels within local systems </w:t>
      </w:r>
      <w:r w:rsidR="003D6A4E" w:rsidRPr="00243375">
        <w:t>were</w:t>
      </w:r>
      <w:r w:rsidRPr="00243375">
        <w:t xml:space="preserve"> identified in focus group discussions. Patient representatives captured how improved communication had the ability to improve patient flow and enable sharing of knowledge between organisations:</w:t>
      </w:r>
    </w:p>
    <w:p w14:paraId="6B6BDF48" w14:textId="32F2999F" w:rsidR="007873A7" w:rsidRPr="00243375" w:rsidRDefault="007873A7" w:rsidP="00525BE0">
      <w:pPr>
        <w:spacing w:line="360" w:lineRule="auto"/>
        <w:ind w:left="720"/>
        <w:jc w:val="both"/>
        <w:rPr>
          <w:i/>
          <w:iCs/>
        </w:rPr>
      </w:pPr>
      <w:r w:rsidRPr="00243375">
        <w:rPr>
          <w:i/>
          <w:iCs/>
        </w:rPr>
        <w:t xml:space="preserve">“On one occasion my x-ray results were not available at [Provider] because the communication between where I had the scan done and the main hospital didn’t exist. So, it is about communication and that’s the nub I think of </w:t>
      </w:r>
      <w:r w:rsidR="004F5562">
        <w:rPr>
          <w:i/>
          <w:iCs/>
        </w:rPr>
        <w:t>partnerships.” (31, Focus group</w:t>
      </w:r>
      <w:r w:rsidRPr="00243375">
        <w:rPr>
          <w:i/>
          <w:iCs/>
        </w:rPr>
        <w:t>)</w:t>
      </w:r>
    </w:p>
    <w:p w14:paraId="2461CF15" w14:textId="77777777" w:rsidR="007873A7" w:rsidRPr="00243375" w:rsidRDefault="007873A7" w:rsidP="00525BE0">
      <w:pPr>
        <w:spacing w:line="360" w:lineRule="auto"/>
        <w:jc w:val="both"/>
      </w:pPr>
      <w:r w:rsidRPr="00243375">
        <w:t>Those leading collaborations described how improved communication enabled the translation and diffusion of improvement approaches between collaborative partners. Some key benefits of collaboration were based on ability to create the conditions to learn from other organisation</w:t>
      </w:r>
      <w:r>
        <w:t>s</w:t>
      </w:r>
      <w:r w:rsidRPr="00243375">
        <w:t xml:space="preserve"> and professions about how to improve services. Collaboration created conditions ‘to get to kno</w:t>
      </w:r>
      <w:r>
        <w:t>w each other and work together’, with t</w:t>
      </w:r>
      <w:r w:rsidRPr="00243375">
        <w:t xml:space="preserve">he sharing of results and </w:t>
      </w:r>
      <w:r>
        <w:t>learning from each other creating</w:t>
      </w:r>
      <w:r w:rsidRPr="00243375">
        <w:t xml:space="preserve"> conditions conducive to ‘quality improvement for everyone’:</w:t>
      </w:r>
    </w:p>
    <w:p w14:paraId="57523145" w14:textId="77777777" w:rsidR="007873A7" w:rsidRPr="00243375" w:rsidRDefault="007873A7" w:rsidP="00525BE0">
      <w:pPr>
        <w:spacing w:line="360" w:lineRule="auto"/>
        <w:ind w:left="720"/>
        <w:jc w:val="both"/>
        <w:rPr>
          <w:i/>
          <w:iCs/>
        </w:rPr>
      </w:pPr>
      <w:r w:rsidRPr="00243375">
        <w:rPr>
          <w:i/>
          <w:iCs/>
        </w:rPr>
        <w:t>“… collaboration as opposed to like shaming everybody into improving … has been about if you all sit down and look at what you’re doing with patients of certain conditions on a regular basis you’ll level up, because you’ll start to learn from each other” (02; Director; Hospital Group 1)</w:t>
      </w:r>
    </w:p>
    <w:p w14:paraId="0738F957" w14:textId="628D0B00" w:rsidR="007873A7" w:rsidRPr="00243375" w:rsidRDefault="007873A7" w:rsidP="00525BE0">
      <w:pPr>
        <w:spacing w:line="360" w:lineRule="auto"/>
        <w:jc w:val="both"/>
        <w:rPr>
          <w:i/>
          <w:iCs/>
        </w:rPr>
      </w:pPr>
      <w:r w:rsidRPr="00243375">
        <w:t xml:space="preserve">Collaborating across boundaries made it possible to leverage new connections to drive greater delivery of services. For example, collaboration in response to </w:t>
      </w:r>
      <w:r w:rsidR="00B02293">
        <w:t>C</w:t>
      </w:r>
      <w:r w:rsidR="00C41618">
        <w:t>ovid</w:t>
      </w:r>
      <w:r w:rsidR="004F5562">
        <w:t>-</w:t>
      </w:r>
      <w:r w:rsidR="00857277">
        <w:t>19</w:t>
      </w:r>
      <w:r w:rsidR="004F5562">
        <w:t xml:space="preserve"> </w:t>
      </w:r>
      <w:r w:rsidRPr="00243375">
        <w:t>was attributed with facilitating</w:t>
      </w:r>
      <w:r w:rsidRPr="00243375">
        <w:rPr>
          <w:iCs/>
        </w:rPr>
        <w:t xml:space="preserve"> the vaccine rollout within localities:</w:t>
      </w:r>
    </w:p>
    <w:p w14:paraId="2FC226D8" w14:textId="77777777" w:rsidR="007873A7" w:rsidRPr="00243375" w:rsidRDefault="007873A7" w:rsidP="00525BE0">
      <w:pPr>
        <w:spacing w:line="360" w:lineRule="auto"/>
        <w:ind w:left="720"/>
        <w:jc w:val="both"/>
      </w:pPr>
      <w:r>
        <w:rPr>
          <w:i/>
          <w:iCs/>
        </w:rPr>
        <w:t xml:space="preserve">“… </w:t>
      </w:r>
      <w:r w:rsidRPr="00243375">
        <w:rPr>
          <w:i/>
          <w:iCs/>
        </w:rPr>
        <w:t>we have been hugely successful in getting to the marginalised communities. It’s been because of the relationships that we’ve had with those social value organisations, you know, CVS as the umbrella organisation, we’ve been able to vaccinate people who, you know, who many other localities have found it really, really difficult</w:t>
      </w:r>
      <w:r w:rsidRPr="00243375">
        <w:t>” (22</w:t>
      </w:r>
      <w:r>
        <w:t>; CEO; Alliance 1</w:t>
      </w:r>
      <w:r w:rsidRPr="00243375">
        <w:t>)</w:t>
      </w:r>
      <w:r>
        <w:t>.</w:t>
      </w:r>
    </w:p>
    <w:p w14:paraId="4658F4B3" w14:textId="77777777" w:rsidR="007873A7" w:rsidRPr="005652E8" w:rsidRDefault="007873A7" w:rsidP="00525BE0">
      <w:pPr>
        <w:spacing w:line="360" w:lineRule="auto"/>
        <w:jc w:val="both"/>
      </w:pPr>
      <w:r w:rsidRPr="005652E8">
        <w:t>The knowledge translation underpinning approaches to the turnaround of challenged organisations was also raised. Interviews reflected on the ability of collaboration to support the translation of best practice:</w:t>
      </w:r>
    </w:p>
    <w:p w14:paraId="5DB054C3" w14:textId="77777777" w:rsidR="007873A7" w:rsidRPr="005652E8" w:rsidRDefault="007873A7" w:rsidP="00525BE0">
      <w:pPr>
        <w:spacing w:line="360" w:lineRule="auto"/>
        <w:ind w:left="720"/>
        <w:jc w:val="both"/>
      </w:pPr>
      <w:r w:rsidRPr="005652E8">
        <w:rPr>
          <w:i/>
        </w:rPr>
        <w:t>“… [if it was possible] to codify what the good organisations were able to achieve, then it ought to be possible to move that into an organisation that was struggling and show them the sort of ingredients that could be mixed to make things better”</w:t>
      </w:r>
      <w:r w:rsidRPr="005652E8">
        <w:t xml:space="preserve"> (12; CEO; Alliance 1).</w:t>
      </w:r>
    </w:p>
    <w:p w14:paraId="50B09F98" w14:textId="77777777" w:rsidR="007873A7" w:rsidRPr="005652E8" w:rsidRDefault="007873A7" w:rsidP="00525BE0">
      <w:pPr>
        <w:spacing w:line="360" w:lineRule="auto"/>
        <w:jc w:val="both"/>
      </w:pPr>
      <w:r w:rsidRPr="005652E8">
        <w:t xml:space="preserve">Established methods and learning from academia were connected to having a wide range of benefits in relation to better care, financial sustainability, and improvements in staff wellbeing, morale and engagement. Leaders described the improvement strategy that they were sharing through their collaboration </w:t>
      </w:r>
      <w:r>
        <w:t>as</w:t>
      </w:r>
      <w:r w:rsidRPr="005652E8">
        <w:t xml:space="preserve"> rooted in organisational development:</w:t>
      </w:r>
    </w:p>
    <w:p w14:paraId="22E7737F" w14:textId="77777777" w:rsidR="007873A7" w:rsidRPr="005652E8" w:rsidRDefault="007873A7" w:rsidP="00525BE0">
      <w:pPr>
        <w:spacing w:line="360" w:lineRule="auto"/>
        <w:ind w:left="720"/>
        <w:jc w:val="both"/>
        <w:rPr>
          <w:i/>
          <w:iCs/>
        </w:rPr>
      </w:pPr>
      <w:r w:rsidRPr="005652E8">
        <w:rPr>
          <w:i/>
          <w:iCs/>
        </w:rPr>
        <w:t>“So, we use in our Trust the Athena team journey approach of Professor Michael West […] one of the things that he’s promoted was these Athena team journeys […] which is basically understanding the basics of what are people’s roles, what’s the vision of the team, how do you work together, how do you debate together, and how do you continue changing, and establishing a team within a team (21; Director of Clinical Service; Merger 2).</w:t>
      </w:r>
    </w:p>
    <w:p w14:paraId="24468A7B" w14:textId="77777777" w:rsidR="007873A7" w:rsidRPr="005652E8" w:rsidRDefault="007873A7" w:rsidP="00525BE0">
      <w:pPr>
        <w:spacing w:line="360" w:lineRule="auto"/>
        <w:jc w:val="both"/>
      </w:pPr>
      <w:r w:rsidRPr="005652E8">
        <w:t>Others turned to different sources for their improvement strategy. As such, private sector consultancies also featured in shaping the leadership approaches being undertaken to achieve organisational turnaround:</w:t>
      </w:r>
    </w:p>
    <w:p w14:paraId="413B6521" w14:textId="77777777" w:rsidR="007873A7" w:rsidRPr="005652E8" w:rsidRDefault="007873A7" w:rsidP="00525BE0">
      <w:pPr>
        <w:spacing w:line="360" w:lineRule="auto"/>
        <w:ind w:left="720"/>
        <w:jc w:val="both"/>
        <w:rPr>
          <w:i/>
          <w:iCs/>
        </w:rPr>
      </w:pPr>
      <w:r w:rsidRPr="005652E8">
        <w:rPr>
          <w:i/>
          <w:iCs/>
        </w:rPr>
        <w:t>“And it was about a £2.5 million investment with [consultancy firm] and that launched what we call our Patient First Improvement Programme and that’s been our absolute... our navigation tool since then and it’ has changed the way that we lead, manage, set our objectives” (18; CEO; Hospital Group 3).</w:t>
      </w:r>
    </w:p>
    <w:p w14:paraId="1EA371AA" w14:textId="77777777" w:rsidR="007873A7" w:rsidRPr="005652E8" w:rsidRDefault="007873A7" w:rsidP="00525BE0">
      <w:pPr>
        <w:spacing w:line="360" w:lineRule="auto"/>
        <w:jc w:val="both"/>
      </w:pPr>
      <w:r w:rsidRPr="005652E8">
        <w:t>A faith in quality improvement methodologies was highlighted as a case in point, where established tools and techniques could demonstrate and communicate improvements being made to different audiences, exemplifying how a change in cultural efficacy could take place through collaboration:</w:t>
      </w:r>
    </w:p>
    <w:p w14:paraId="2E8A719F" w14:textId="7155A57F" w:rsidR="007873A7" w:rsidRDefault="007873A7" w:rsidP="008604E3">
      <w:pPr>
        <w:spacing w:line="360" w:lineRule="auto"/>
        <w:ind w:left="720"/>
        <w:jc w:val="both"/>
      </w:pPr>
      <w:r w:rsidRPr="005652E8">
        <w:rPr>
          <w:i/>
        </w:rPr>
        <w:t>“… we took.. the breakthrough series model for improvement out into that organisation, and it is thriving, […] And what we were saying was, “Tell us how you’d like to do this,” and then showing them the outcomes from that. So PDSAs, tests of change, it’s just their language now, it's just the way they do things.”</w:t>
      </w:r>
      <w:r w:rsidRPr="005652E8">
        <w:t xml:space="preserve"> (10; Exec nurse; Alliance 1).</w:t>
      </w:r>
      <w:r w:rsidR="008604E3">
        <w:t xml:space="preserve"> </w:t>
      </w:r>
    </w:p>
    <w:p w14:paraId="10359D88" w14:textId="77777777" w:rsidR="007873A7" w:rsidRPr="003D71B1" w:rsidRDefault="007873A7" w:rsidP="00525BE0">
      <w:pPr>
        <w:spacing w:line="360" w:lineRule="auto"/>
        <w:jc w:val="both"/>
      </w:pPr>
      <w:r w:rsidRPr="003D71B1">
        <w:t>Alongside the communication and translation of methods and information, interviewees connected collaborative performance with the competitive advantages for organisations involved. There were both reputational and financial advances for engaging with collaboration:</w:t>
      </w:r>
    </w:p>
    <w:p w14:paraId="73E929CB" w14:textId="77777777" w:rsidR="007873A7" w:rsidRPr="00163F12" w:rsidRDefault="007873A7" w:rsidP="00525BE0">
      <w:pPr>
        <w:spacing w:line="360" w:lineRule="auto"/>
        <w:ind w:left="720"/>
        <w:jc w:val="both"/>
      </w:pPr>
      <w:r w:rsidRPr="00403AD9">
        <w:t xml:space="preserve"> “</w:t>
      </w:r>
      <w:r w:rsidRPr="00F34B9C">
        <w:rPr>
          <w:i/>
          <w:iCs/>
        </w:rPr>
        <w:t xml:space="preserve">…two organisations... You know, they recognised that there was something in it for them as it were. So [Provider] were, “Well, if we pull this off it’s good reputationally and we get a load of cash…” </w:t>
      </w:r>
      <w:r w:rsidRPr="00403AD9">
        <w:t>(03; Director of Improvement; Hospital Group 2)</w:t>
      </w:r>
      <w:r>
        <w:t>.</w:t>
      </w:r>
    </w:p>
    <w:p w14:paraId="52F54436" w14:textId="77777777" w:rsidR="007873A7" w:rsidRPr="00360254" w:rsidRDefault="007873A7" w:rsidP="00525BE0">
      <w:pPr>
        <w:spacing w:line="360" w:lineRule="auto"/>
        <w:jc w:val="both"/>
      </w:pPr>
      <w:r w:rsidRPr="00360254">
        <w:t>Collaboration brought competitive advantages with measures of esteem associated with the visibility and recognition gained from the wider health system. This was particularly the case for mergers, where the increase organisational size could enhance the organisation</w:t>
      </w:r>
      <w:r>
        <w:t xml:space="preserve">’s </w:t>
      </w:r>
      <w:r w:rsidRPr="00360254">
        <w:t>statu</w:t>
      </w:r>
      <w:r>
        <w:t>s</w:t>
      </w:r>
      <w:r w:rsidRPr="00360254">
        <w:t xml:space="preserve"> as measured by league tables:</w:t>
      </w:r>
    </w:p>
    <w:p w14:paraId="2646A203" w14:textId="77777777" w:rsidR="007873A7" w:rsidRPr="00163F12" w:rsidRDefault="007873A7" w:rsidP="00525BE0">
      <w:pPr>
        <w:spacing w:line="360" w:lineRule="auto"/>
        <w:ind w:left="720"/>
        <w:jc w:val="both"/>
      </w:pPr>
      <w:r w:rsidRPr="00403AD9">
        <w:t>“</w:t>
      </w:r>
      <w:r w:rsidRPr="00403AD9">
        <w:rPr>
          <w:i/>
          <w:iCs/>
        </w:rPr>
        <w:t xml:space="preserve">…because I think we do have a particular view about, “What’s the size of your organisation?  Are you in the top 10 or the top 15?  Where are you ranking in this?” We rank everything, don’t we?  There’s a league table for everything.” </w:t>
      </w:r>
      <w:r w:rsidRPr="00403AD9">
        <w:t>(20; Director; Merger 2)</w:t>
      </w:r>
    </w:p>
    <w:p w14:paraId="7EC2111F" w14:textId="77777777" w:rsidR="007873A7" w:rsidRPr="003D71B1" w:rsidRDefault="007873A7" w:rsidP="00525BE0">
      <w:pPr>
        <w:spacing w:line="360" w:lineRule="auto"/>
        <w:jc w:val="both"/>
      </w:pPr>
      <w:r w:rsidRPr="003D71B1">
        <w:t xml:space="preserve">Increases in organisational size enabled improved reputations </w:t>
      </w:r>
      <w:r>
        <w:t>and</w:t>
      </w:r>
      <w:r w:rsidRPr="003D71B1">
        <w:t xml:space="preserve"> the potential to increase </w:t>
      </w:r>
      <w:r>
        <w:t>influence over the local health economy</w:t>
      </w:r>
      <w:r w:rsidRPr="003D71B1">
        <w:t>. This was particularly reflected by interviewees from larger types of collaboration:</w:t>
      </w:r>
    </w:p>
    <w:p w14:paraId="0A8A75A3" w14:textId="78E018C5" w:rsidR="007873A7" w:rsidRDefault="007873A7" w:rsidP="008604E3">
      <w:pPr>
        <w:pStyle w:val="Quote"/>
        <w:ind w:left="720"/>
        <w:jc w:val="both"/>
      </w:pPr>
      <w:r w:rsidRPr="003D71B1">
        <w:t>“So, in the NHS we’ve got groups and they are big and a bit like us, and now we’ve developed an association of groups because actually, ’we’re big and important and we want to influence’.” (20; Director; Merger 2)</w:t>
      </w:r>
    </w:p>
    <w:p w14:paraId="7CCFA330" w14:textId="77777777" w:rsidR="007873A7" w:rsidRPr="003D71B1" w:rsidRDefault="007873A7" w:rsidP="00525BE0">
      <w:pPr>
        <w:spacing w:line="360" w:lineRule="auto"/>
        <w:jc w:val="both"/>
      </w:pPr>
      <w:r>
        <w:t xml:space="preserve">This mechanism of improved reputation had the potential to drive workforce improvements by attracting better staff. </w:t>
      </w:r>
      <w:r w:rsidRPr="003D71B1">
        <w:t xml:space="preserve">The reputation attached </w:t>
      </w:r>
      <w:r>
        <w:t>to</w:t>
      </w:r>
      <w:r w:rsidRPr="003D71B1">
        <w:t xml:space="preserve"> being a poor performing organisation was</w:t>
      </w:r>
      <w:r>
        <w:t xml:space="preserve"> also considered as important in</w:t>
      </w:r>
      <w:r w:rsidRPr="003D71B1">
        <w:t xml:space="preserve"> </w:t>
      </w:r>
      <w:r>
        <w:t>driving the need to collaborate within contexts of organisational turnaround</w:t>
      </w:r>
      <w:r w:rsidRPr="003D71B1">
        <w:t>:</w:t>
      </w:r>
    </w:p>
    <w:p w14:paraId="44B45263" w14:textId="77777777" w:rsidR="007873A7" w:rsidRDefault="007873A7" w:rsidP="00525BE0">
      <w:pPr>
        <w:pStyle w:val="Quote"/>
        <w:ind w:left="720"/>
        <w:jc w:val="both"/>
      </w:pPr>
      <w:r w:rsidRPr="003D71B1">
        <w:t>“</w:t>
      </w:r>
      <w:r>
        <w:t xml:space="preserve">… </w:t>
      </w:r>
      <w:r w:rsidRPr="003D71B1">
        <w:t>so they [the partner] recognised for themselves the fact that they’d normalised such poor standards, and that if they continued to do that, patients would suffer, and their reputation would suffer. And so they very quickly got on board with the improvement journey.” (10; Exec Nurse; Alliance 1)</w:t>
      </w:r>
    </w:p>
    <w:p w14:paraId="54C973CF" w14:textId="6141ED69" w:rsidR="007873A7" w:rsidRDefault="007873A7" w:rsidP="00525BE0">
      <w:pPr>
        <w:spacing w:line="360" w:lineRule="auto"/>
        <w:jc w:val="both"/>
      </w:pPr>
      <w:r w:rsidRPr="005652E8">
        <w:t>Demonstrable improvements in</w:t>
      </w:r>
      <w:r>
        <w:t xml:space="preserve"> </w:t>
      </w:r>
      <w:r w:rsidRPr="005652E8">
        <w:t xml:space="preserve">CQC ratings had </w:t>
      </w:r>
      <w:r w:rsidR="00A21013" w:rsidRPr="005652E8">
        <w:t>a</w:t>
      </w:r>
      <w:r w:rsidRPr="005652E8">
        <w:t xml:space="preserve"> </w:t>
      </w:r>
      <w:r w:rsidR="004F5562">
        <w:t>reputational</w:t>
      </w:r>
      <w:r w:rsidRPr="005652E8">
        <w:t xml:space="preserve"> impact on those leading collaboration</w:t>
      </w:r>
      <w:r>
        <w:t xml:space="preserve"> in providing</w:t>
      </w:r>
      <w:r w:rsidRPr="005652E8">
        <w:t xml:space="preserve"> reassurance</w:t>
      </w:r>
      <w:r>
        <w:t>s</w:t>
      </w:r>
      <w:r w:rsidRPr="005652E8">
        <w:t xml:space="preserve"> regarding their approach to performance improvement:</w:t>
      </w:r>
    </w:p>
    <w:p w14:paraId="4F6CAFDA" w14:textId="77777777" w:rsidR="007873A7" w:rsidRPr="00280711" w:rsidRDefault="007873A7" w:rsidP="00525BE0">
      <w:pPr>
        <w:spacing w:line="360" w:lineRule="auto"/>
        <w:ind w:left="720"/>
        <w:jc w:val="both"/>
      </w:pPr>
      <w:r>
        <w:t>“</w:t>
      </w:r>
      <w:r w:rsidRPr="00BE224A">
        <w:rPr>
          <w:i/>
          <w:iCs/>
        </w:rPr>
        <w:t>So you know, it’s…it just feels good to me that … by the time I left the organisation, for whatever you might judge the CQC for, it was able to report that services were now ‘Good’ across x. And you know, for me that was just a reassurance that we had done the right thing</w:t>
      </w:r>
      <w:r w:rsidRPr="003D71B1">
        <w:t>.</w:t>
      </w:r>
      <w:r>
        <w:t>”</w:t>
      </w:r>
      <w:r w:rsidRPr="003D71B1">
        <w:t xml:space="preserve"> (12</w:t>
      </w:r>
      <w:r>
        <w:t>; CEO; Alliance 1</w:t>
      </w:r>
      <w:r w:rsidRPr="003D71B1">
        <w:t>)</w:t>
      </w:r>
    </w:p>
    <w:p w14:paraId="17A32E5E" w14:textId="77777777" w:rsidR="007873A7" w:rsidRDefault="007873A7" w:rsidP="00525BE0">
      <w:pPr>
        <w:spacing w:line="360" w:lineRule="auto"/>
        <w:jc w:val="both"/>
      </w:pPr>
      <w:r>
        <w:t>C</w:t>
      </w:r>
      <w:r w:rsidRPr="003D71B1">
        <w:t xml:space="preserve">ollaborative performance </w:t>
      </w:r>
      <w:r>
        <w:t xml:space="preserve">also </w:t>
      </w:r>
      <w:r w:rsidRPr="003D71B1">
        <w:t xml:space="preserve">had symbolic qualities in delivering </w:t>
      </w:r>
      <w:r>
        <w:t>assurances that health and social care</w:t>
      </w:r>
      <w:r w:rsidRPr="003D71B1">
        <w:t xml:space="preserve"> system</w:t>
      </w:r>
      <w:r>
        <w:t>s were working as intended. Seeking out inter-organisational</w:t>
      </w:r>
      <w:r w:rsidRPr="00377BD2">
        <w:t xml:space="preserve"> collaboration</w:t>
      </w:r>
      <w:r>
        <w:t>s</w:t>
      </w:r>
      <w:r w:rsidRPr="00377BD2">
        <w:t xml:space="preserve"> </w:t>
      </w:r>
      <w:r>
        <w:t>provided</w:t>
      </w:r>
      <w:r w:rsidRPr="00377BD2">
        <w:t xml:space="preserve"> </w:t>
      </w:r>
      <w:r>
        <w:t>a means</w:t>
      </w:r>
      <w:r w:rsidRPr="00377BD2">
        <w:t xml:space="preserve"> </w:t>
      </w:r>
      <w:r>
        <w:t>of</w:t>
      </w:r>
      <w:r w:rsidRPr="00377BD2">
        <w:t xml:space="preserve"> avoid</w:t>
      </w:r>
      <w:r>
        <w:t>ing</w:t>
      </w:r>
      <w:r w:rsidRPr="00377BD2">
        <w:t xml:space="preserve"> other forms of enforced collaboration which could undermine continuation of services from the organisation’s perspective</w:t>
      </w:r>
      <w:r>
        <w:t>:</w:t>
      </w:r>
    </w:p>
    <w:p w14:paraId="6A367C66" w14:textId="77777777" w:rsidR="007873A7" w:rsidRDefault="007873A7" w:rsidP="00525BE0">
      <w:pPr>
        <w:spacing w:line="360" w:lineRule="auto"/>
        <w:ind w:left="720"/>
        <w:jc w:val="both"/>
      </w:pPr>
      <w:r w:rsidDel="00377BD2">
        <w:t xml:space="preserve"> </w:t>
      </w:r>
      <w:r w:rsidRPr="009C55AF">
        <w:rPr>
          <w:i/>
        </w:rPr>
        <w:t>“… the consultation document says it’s going to be loads better for patients and staff that may or may not have been true or it may not be delivered. But, actually, the real outcome was to improve confidence in the child protection system in this struggling Trust. And to carry on as a champion for children by making sure we don’t get merged in the specialist trust”</w:t>
      </w:r>
      <w:r w:rsidRPr="00972CFB">
        <w:t xml:space="preserve"> </w:t>
      </w:r>
      <w:r>
        <w:t>(</w:t>
      </w:r>
      <w:r w:rsidRPr="008A6558">
        <w:rPr>
          <w:color w:val="000000" w:themeColor="text1"/>
        </w:rPr>
        <w:t>01; Non-Exec Director; Range</w:t>
      </w:r>
      <w:r w:rsidRPr="00996023">
        <w:t>)</w:t>
      </w:r>
      <w:r>
        <w:t>.</w:t>
      </w:r>
    </w:p>
    <w:p w14:paraId="474F545C" w14:textId="77777777" w:rsidR="007873A7" w:rsidRDefault="007873A7" w:rsidP="00525BE0">
      <w:pPr>
        <w:spacing w:line="360" w:lineRule="auto"/>
        <w:ind w:left="720"/>
        <w:jc w:val="both"/>
      </w:pPr>
    </w:p>
    <w:p w14:paraId="49641833" w14:textId="77777777" w:rsidR="007873A7" w:rsidRPr="003D71B1" w:rsidRDefault="007873A7" w:rsidP="00525BE0">
      <w:pPr>
        <w:pStyle w:val="Heading3"/>
        <w:jc w:val="both"/>
      </w:pPr>
      <w:bookmarkStart w:id="131" w:name="_Toc85066471"/>
      <w:r w:rsidRPr="005B3DE0">
        <w:t>Organisational Efficiency</w:t>
      </w:r>
      <w:bookmarkEnd w:id="131"/>
    </w:p>
    <w:p w14:paraId="20014102" w14:textId="773A3B85" w:rsidR="007873A7" w:rsidRPr="003D71B1" w:rsidRDefault="007873A7" w:rsidP="00525BE0">
      <w:pPr>
        <w:spacing w:line="360" w:lineRule="auto"/>
        <w:jc w:val="both"/>
      </w:pPr>
      <w:r w:rsidRPr="003D71B1">
        <w:t xml:space="preserve">Organisational efficiency was captured in a range of accounts </w:t>
      </w:r>
      <w:r>
        <w:t>recounting</w:t>
      </w:r>
      <w:r w:rsidRPr="003D71B1">
        <w:t xml:space="preserve"> cost savings and resource constraints driving collaborative behaviour. Stabilising financial performance enabled </w:t>
      </w:r>
      <w:r>
        <w:t xml:space="preserve">cost savings, </w:t>
      </w:r>
      <w:r w:rsidRPr="003D71B1">
        <w:t>workforce changes, and were deemed to improve outcomes by concentrating services in different places. Achiev</w:t>
      </w:r>
      <w:r>
        <w:t>ing</w:t>
      </w:r>
      <w:r w:rsidRPr="003D71B1">
        <w:t xml:space="preserve"> economies of scale across a geographical area</w:t>
      </w:r>
      <w:r>
        <w:t xml:space="preserve">, as well as </w:t>
      </w:r>
      <w:r w:rsidRPr="003D71B1">
        <w:t>standardisation occurring across boundaries to a specification and scale, with respect to HR, clinical</w:t>
      </w:r>
      <w:r w:rsidR="004F5562">
        <w:t xml:space="preserve"> pathways, and corporate functions </w:t>
      </w:r>
      <w:r>
        <w:t>also featured as performance improvements.</w:t>
      </w:r>
    </w:p>
    <w:p w14:paraId="6B27B374" w14:textId="633B33E8" w:rsidR="007873A7" w:rsidRDefault="007873A7" w:rsidP="00525BE0">
      <w:pPr>
        <w:pStyle w:val="Quote"/>
        <w:jc w:val="both"/>
        <w:rPr>
          <w:i w:val="0"/>
          <w:iCs w:val="0"/>
        </w:rPr>
      </w:pPr>
      <w:r w:rsidRPr="00217FD1">
        <w:rPr>
          <w:i w:val="0"/>
          <w:iCs w:val="0"/>
        </w:rPr>
        <w:t>Collaboration brought opportunities to improve workforce coordination and configuration of services</w:t>
      </w:r>
      <w:r w:rsidR="00FB2045">
        <w:rPr>
          <w:i w:val="0"/>
          <w:iCs w:val="0"/>
        </w:rPr>
        <w:t xml:space="preserve"> through reducing </w:t>
      </w:r>
      <w:r w:rsidRPr="00217FD1">
        <w:rPr>
          <w:i w:val="0"/>
          <w:iCs w:val="0"/>
        </w:rPr>
        <w:t>duplication of effort and reallocating resources more appropriately</w:t>
      </w:r>
      <w:r>
        <w:rPr>
          <w:i w:val="0"/>
          <w:iCs w:val="0"/>
        </w:rPr>
        <w:t>:</w:t>
      </w:r>
    </w:p>
    <w:p w14:paraId="6D1C5F26" w14:textId="77777777" w:rsidR="007873A7" w:rsidRPr="003D71B1" w:rsidRDefault="007873A7" w:rsidP="00525BE0">
      <w:pPr>
        <w:pStyle w:val="Quote"/>
        <w:ind w:left="720"/>
        <w:jc w:val="both"/>
      </w:pPr>
      <w:r w:rsidRPr="003D71B1">
        <w:t>“… [it’s] much easier where we have a shared critical care service that gives opportunities for colleagues to work in different places and gives us the opportunity to use our assets differently.” (23; CEO; Alliance 2)</w:t>
      </w:r>
    </w:p>
    <w:p w14:paraId="747B384D" w14:textId="77777777" w:rsidR="007873A7" w:rsidRDefault="007873A7" w:rsidP="00525BE0">
      <w:pPr>
        <w:pStyle w:val="Quote"/>
        <w:ind w:left="720"/>
        <w:jc w:val="both"/>
      </w:pPr>
      <w:r>
        <w:t xml:space="preserve">“… </w:t>
      </w:r>
      <w:r w:rsidRPr="0098444A">
        <w:t>collaborating together makes it more possible for your patients to access that service at the specification it needs to be delivered even if it’s not necessarily in your unit, you know, down the road or whatever. And then that will open up obviously access to more specialised or better facilities for patients but also kind of help to sustain the quality at a higher level’ (</w:t>
      </w:r>
      <w:r w:rsidRPr="0014404D">
        <w:rPr>
          <w:color w:val="000000" w:themeColor="text1"/>
        </w:rPr>
        <w:t>02; Director; Hospital Group 1</w:t>
      </w:r>
      <w:r w:rsidRPr="0098444A">
        <w:t>)</w:t>
      </w:r>
    </w:p>
    <w:p w14:paraId="362BD9C9" w14:textId="090B4490" w:rsidR="007873A7" w:rsidRDefault="007873A7" w:rsidP="00525BE0">
      <w:pPr>
        <w:pStyle w:val="Quote"/>
        <w:jc w:val="both"/>
        <w:rPr>
          <w:i w:val="0"/>
          <w:iCs w:val="0"/>
        </w:rPr>
      </w:pPr>
      <w:r w:rsidRPr="00CE4E3B">
        <w:rPr>
          <w:i w:val="0"/>
          <w:iCs w:val="0"/>
        </w:rPr>
        <w:t xml:space="preserve">The ability to move staff around more easily when collaborating was also noted </w:t>
      </w:r>
      <w:r w:rsidR="00FB2045">
        <w:rPr>
          <w:i w:val="0"/>
          <w:iCs w:val="0"/>
        </w:rPr>
        <w:t>as enabling</w:t>
      </w:r>
      <w:r w:rsidRPr="00CE4E3B">
        <w:rPr>
          <w:i w:val="0"/>
          <w:iCs w:val="0"/>
        </w:rPr>
        <w:t xml:space="preserve"> access to additional workforce </w:t>
      </w:r>
      <w:r w:rsidR="00FB2045">
        <w:rPr>
          <w:i w:val="0"/>
          <w:iCs w:val="0"/>
        </w:rPr>
        <w:t>capacity</w:t>
      </w:r>
      <w:r w:rsidRPr="00CE4E3B">
        <w:rPr>
          <w:i w:val="0"/>
          <w:iCs w:val="0"/>
        </w:rPr>
        <w:t>. Examples of ‘redirecting resources’ enabled by greater coordination were widely noted</w:t>
      </w:r>
      <w:r w:rsidR="00FB2045">
        <w:rPr>
          <w:i w:val="0"/>
          <w:iCs w:val="0"/>
        </w:rPr>
        <w:t xml:space="preserve"> by those leadings IOCs</w:t>
      </w:r>
      <w:r w:rsidRPr="00CE4E3B">
        <w:rPr>
          <w:i w:val="0"/>
          <w:iCs w:val="0"/>
        </w:rPr>
        <w:t xml:space="preserve">: </w:t>
      </w:r>
    </w:p>
    <w:p w14:paraId="4B4EB894" w14:textId="77777777" w:rsidR="007873A7" w:rsidRPr="00526AD9" w:rsidRDefault="007873A7" w:rsidP="00525BE0">
      <w:pPr>
        <w:pStyle w:val="Quote"/>
        <w:ind w:left="720"/>
        <w:jc w:val="both"/>
        <w:rPr>
          <w:lang w:eastAsia="en-GB"/>
        </w:rPr>
      </w:pPr>
      <w:r w:rsidRPr="003D71B1">
        <w:rPr>
          <w:lang w:eastAsia="en-GB"/>
        </w:rPr>
        <w:t>“…when we were trying to seek solutions to some of the thorny issues, so</w:t>
      </w:r>
      <w:r>
        <w:rPr>
          <w:lang w:eastAsia="en-GB"/>
        </w:rPr>
        <w:t>,</w:t>
      </w:r>
      <w:r w:rsidRPr="003D71B1">
        <w:rPr>
          <w:lang w:eastAsia="en-GB"/>
        </w:rPr>
        <w:t xml:space="preserve"> workforce being one, we took a paper to boards across [local area] and said, ‘We can seed some medical leadership from [Trust 1] for example into the emergency department at [Trust 2] but we need others to work with us on actually where we can across the system get workforce support’, because the gap was too big for one organisation to suddenly dip in its back pocket and, hey presto, fill some of those gaps.” (20; Director; Merger 2)</w:t>
      </w:r>
      <w:r>
        <w:rPr>
          <w:lang w:eastAsia="en-GB"/>
        </w:rPr>
        <w:t>.</w:t>
      </w:r>
    </w:p>
    <w:p w14:paraId="260BE753" w14:textId="77777777" w:rsidR="007873A7" w:rsidRDefault="007873A7" w:rsidP="00525BE0">
      <w:pPr>
        <w:pStyle w:val="Quote"/>
        <w:jc w:val="both"/>
      </w:pPr>
      <w:r w:rsidRPr="009C55AF">
        <w:rPr>
          <w:i w:val="0"/>
        </w:rPr>
        <w:t xml:space="preserve">The reduction in duplication of effort was extended to reduced costs as centralisation and process redesign efforts were connected to demonstrable savings. </w:t>
      </w:r>
      <w:r w:rsidRPr="0093592B">
        <w:rPr>
          <w:i w:val="0"/>
        </w:rPr>
        <w:t>Achieving economies of scale across a geographical area, as well as standardisation occurring across boundaries with respect to HR, clinical pathways, corporate functions</w:t>
      </w:r>
      <w:r>
        <w:rPr>
          <w:i w:val="0"/>
        </w:rPr>
        <w:t xml:space="preserve">, </w:t>
      </w:r>
      <w:r w:rsidRPr="0093592B">
        <w:rPr>
          <w:i w:val="0"/>
        </w:rPr>
        <w:t>all featured in dr</w:t>
      </w:r>
      <w:r>
        <w:rPr>
          <w:i w:val="0"/>
        </w:rPr>
        <w:t>iving collaborative performance:</w:t>
      </w:r>
    </w:p>
    <w:p w14:paraId="31B621A9" w14:textId="77777777" w:rsidR="007873A7" w:rsidRDefault="007873A7" w:rsidP="00525BE0">
      <w:pPr>
        <w:pStyle w:val="Quote"/>
        <w:ind w:left="720"/>
        <w:jc w:val="both"/>
      </w:pPr>
      <w:r w:rsidRPr="00996023">
        <w:rPr>
          <w:lang w:eastAsia="en-GB"/>
        </w:rPr>
        <w:t>“</w:t>
      </w:r>
      <w:r w:rsidRPr="00E8087A">
        <w:rPr>
          <w:lang w:eastAsia="en-GB"/>
        </w:rPr>
        <w:t>…</w:t>
      </w:r>
      <w:r w:rsidRPr="00E9773B">
        <w:rPr>
          <w:lang w:eastAsia="en-GB"/>
        </w:rPr>
        <w:t>We have one recruitment team. We have one medical staffing team [</w:t>
      </w:r>
      <w:r w:rsidRPr="00972CFB">
        <w:rPr>
          <w:lang w:eastAsia="en-GB"/>
        </w:rPr>
        <w:t xml:space="preserve">…] </w:t>
      </w:r>
      <w:r w:rsidRPr="00E9773B">
        <w:rPr>
          <w:lang w:eastAsia="en-GB"/>
        </w:rPr>
        <w:t>when the two trusts came together, a number of those functions were centralised, which does give you some economies of scale. So from a cost point o</w:t>
      </w:r>
      <w:r w:rsidRPr="00972CFB">
        <w:rPr>
          <w:lang w:eastAsia="en-GB"/>
        </w:rPr>
        <w:t xml:space="preserve">f view, it has some benefits.” </w:t>
      </w:r>
      <w:r w:rsidRPr="003D71B1">
        <w:t>(26; Head of Workforce; Alliance 2)</w:t>
      </w:r>
      <w:r>
        <w:t>.</w:t>
      </w:r>
    </w:p>
    <w:p w14:paraId="33362750" w14:textId="77777777" w:rsidR="007873A7" w:rsidRDefault="007873A7" w:rsidP="00525BE0">
      <w:pPr>
        <w:spacing w:line="360" w:lineRule="auto"/>
        <w:ind w:left="720"/>
        <w:jc w:val="both"/>
        <w:rPr>
          <w:lang w:eastAsia="en-GB"/>
        </w:rPr>
      </w:pPr>
      <w:r w:rsidRPr="003D71B1">
        <w:rPr>
          <w:lang w:eastAsia="en-GB"/>
        </w:rPr>
        <w:t>“</w:t>
      </w:r>
      <w:r>
        <w:rPr>
          <w:lang w:eastAsia="en-GB"/>
        </w:rPr>
        <w:t xml:space="preserve">… </w:t>
      </w:r>
      <w:r w:rsidRPr="008A2F5A">
        <w:rPr>
          <w:i/>
          <w:iCs/>
          <w:lang w:eastAsia="en-GB"/>
        </w:rPr>
        <w:t xml:space="preserve">the procurement work stream saves the Trusts I presume £1 </w:t>
      </w:r>
      <w:r>
        <w:rPr>
          <w:i/>
          <w:iCs/>
          <w:lang w:eastAsia="en-GB"/>
        </w:rPr>
        <w:t>m</w:t>
      </w:r>
      <w:r w:rsidRPr="008A2F5A">
        <w:rPr>
          <w:i/>
          <w:iCs/>
          <w:lang w:eastAsia="en-GB"/>
        </w:rPr>
        <w:t xml:space="preserve">illion and £2 </w:t>
      </w:r>
      <w:r>
        <w:rPr>
          <w:i/>
          <w:iCs/>
          <w:lang w:eastAsia="en-GB"/>
        </w:rPr>
        <w:t>m</w:t>
      </w:r>
      <w:r w:rsidRPr="008A2F5A">
        <w:rPr>
          <w:i/>
          <w:iCs/>
          <w:lang w:eastAsia="en-GB"/>
        </w:rPr>
        <w:t>illion a year based on the joint procurements that they do that reduce the costs of things, which broadly pays for the cost of running [the collaboration]”</w:t>
      </w:r>
      <w:r w:rsidRPr="003D71B1">
        <w:rPr>
          <w:lang w:eastAsia="en-GB"/>
        </w:rPr>
        <w:t xml:space="preserve"> (19; Director; Hospital Group 4)</w:t>
      </w:r>
      <w:r>
        <w:rPr>
          <w:lang w:eastAsia="en-GB"/>
        </w:rPr>
        <w:t>.</w:t>
      </w:r>
    </w:p>
    <w:p w14:paraId="3F8EF683" w14:textId="566A9970" w:rsidR="007873A7" w:rsidRDefault="007873A7" w:rsidP="00525BE0">
      <w:pPr>
        <w:spacing w:line="360" w:lineRule="auto"/>
        <w:jc w:val="both"/>
        <w:rPr>
          <w:rFonts w:cstheme="minorHAnsi"/>
          <w:color w:val="000000" w:themeColor="text1"/>
        </w:rPr>
      </w:pPr>
      <w:r>
        <w:rPr>
          <w:rFonts w:cstheme="minorHAnsi"/>
          <w:color w:val="000000" w:themeColor="text1"/>
        </w:rPr>
        <w:t xml:space="preserve">Wider perspectives regarding </w:t>
      </w:r>
      <w:r w:rsidRPr="003D71B1">
        <w:rPr>
          <w:rFonts w:cstheme="minorHAnsi"/>
          <w:color w:val="000000" w:themeColor="text1"/>
        </w:rPr>
        <w:t xml:space="preserve">improved economies of scale </w:t>
      </w:r>
      <w:r w:rsidR="00FB2045">
        <w:rPr>
          <w:rFonts w:cstheme="minorHAnsi"/>
          <w:color w:val="000000" w:themeColor="text1"/>
        </w:rPr>
        <w:t>were noted in relation to talent management of the workforce</w:t>
      </w:r>
      <w:r>
        <w:rPr>
          <w:rFonts w:cstheme="minorHAnsi"/>
          <w:color w:val="000000" w:themeColor="text1"/>
        </w:rPr>
        <w:t>:</w:t>
      </w:r>
      <w:r w:rsidRPr="003D71B1">
        <w:rPr>
          <w:rFonts w:cstheme="minorHAnsi"/>
          <w:color w:val="000000" w:themeColor="text1"/>
        </w:rPr>
        <w:t xml:space="preserve"> </w:t>
      </w:r>
    </w:p>
    <w:p w14:paraId="6A93E03F" w14:textId="77777777" w:rsidR="007873A7" w:rsidRDefault="007873A7" w:rsidP="00525BE0">
      <w:pPr>
        <w:spacing w:line="360" w:lineRule="auto"/>
        <w:ind w:left="720"/>
        <w:jc w:val="both"/>
        <w:rPr>
          <w:rFonts w:cstheme="minorHAnsi"/>
          <w:color w:val="000000" w:themeColor="text1"/>
        </w:rPr>
      </w:pPr>
      <w:r w:rsidRPr="00996023">
        <w:t>“…</w:t>
      </w:r>
      <w:r w:rsidRPr="00EC05C3">
        <w:rPr>
          <w:i/>
          <w:iCs/>
        </w:rPr>
        <w:t>we believe that the NHS in particular in this country is suffering from fragmentation that leads to a reduction in the opportunity to grab economies of scale. So, whether that’s the traditional economies of scale, you know, that would be procurement, but just as importantly, it’s really about talent, it’s clinical talent as well as technical talent, and being able to grab as much of that as possible</w:t>
      </w:r>
      <w:r w:rsidRPr="003D71B1">
        <w:t>” (22; CEO; Alliance 2)</w:t>
      </w:r>
      <w:r>
        <w:t>.</w:t>
      </w:r>
      <w:r>
        <w:rPr>
          <w:rFonts w:cstheme="minorHAnsi"/>
          <w:color w:val="000000" w:themeColor="text1"/>
        </w:rPr>
        <w:t xml:space="preserve"> </w:t>
      </w:r>
    </w:p>
    <w:p w14:paraId="460EB6DD" w14:textId="77777777" w:rsidR="007873A7" w:rsidRDefault="007873A7" w:rsidP="00525BE0">
      <w:pPr>
        <w:spacing w:line="360" w:lineRule="auto"/>
        <w:jc w:val="both"/>
      </w:pPr>
      <w:r w:rsidRPr="00996023">
        <w:t xml:space="preserve">This ability for </w:t>
      </w:r>
      <w:r w:rsidRPr="00526AD9">
        <w:t>organisations in a collaboration to pool resources also enabled spending on projects that were not previously possible when operating alone</w:t>
      </w:r>
      <w:r w:rsidRPr="00E8087A">
        <w:t xml:space="preserve">. A </w:t>
      </w:r>
      <w:r w:rsidRPr="00E9773B">
        <w:t>director of an alliance</w:t>
      </w:r>
      <w:r w:rsidRPr="00972CFB">
        <w:t xml:space="preserve"> stated that:</w:t>
      </w:r>
      <w:r w:rsidRPr="00996023">
        <w:t xml:space="preserve"> </w:t>
      </w:r>
    </w:p>
    <w:p w14:paraId="3D8A1E4B" w14:textId="77777777" w:rsidR="007873A7" w:rsidRPr="003D71B1" w:rsidRDefault="007873A7" w:rsidP="00525BE0">
      <w:pPr>
        <w:spacing w:line="360" w:lineRule="auto"/>
        <w:ind w:left="720"/>
        <w:jc w:val="both"/>
      </w:pPr>
      <w:r w:rsidRPr="00996023">
        <w:t>“</w:t>
      </w:r>
      <w:r>
        <w:rPr>
          <w:i/>
          <w:iCs/>
        </w:rPr>
        <w:t>w</w:t>
      </w:r>
      <w:r w:rsidRPr="00403AD9">
        <w:rPr>
          <w:i/>
          <w:iCs/>
        </w:rPr>
        <w:t>e’ve brought in about £35 Million of capital funding through collaborative proposals for radiology systems, single laboratory information management system in pathology which will underpin all the pathology services working together</w:t>
      </w:r>
      <w:r>
        <w:t>”</w:t>
      </w:r>
      <w:r w:rsidRPr="00996023">
        <w:t xml:space="preserve"> (19; Director; Alliance 2)</w:t>
      </w:r>
      <w:r>
        <w:t>.</w:t>
      </w:r>
    </w:p>
    <w:p w14:paraId="76B8ED33" w14:textId="76F0E163" w:rsidR="007873A7" w:rsidRDefault="007873A7" w:rsidP="00525BE0">
      <w:pPr>
        <w:pStyle w:val="Quote"/>
        <w:jc w:val="both"/>
        <w:rPr>
          <w:i w:val="0"/>
          <w:iCs w:val="0"/>
        </w:rPr>
      </w:pPr>
      <w:r w:rsidRPr="00DB681A">
        <w:rPr>
          <w:i w:val="0"/>
          <w:iCs w:val="0"/>
        </w:rPr>
        <w:t xml:space="preserve">The pooled resources that enabled purchasing of more expensive equipment or contracts had the ability to further enhance care quality. Collaborating enabled services to be contracted out to partners, who were able to deliver those services better. Likewise, interviewees reported that working cross-sector in their collaboration enabled resources to be redirected to enable </w:t>
      </w:r>
      <w:r w:rsidR="00FB2045">
        <w:rPr>
          <w:i w:val="0"/>
          <w:iCs w:val="0"/>
        </w:rPr>
        <w:t>improved service</w:t>
      </w:r>
      <w:r w:rsidRPr="00DB681A">
        <w:rPr>
          <w:i w:val="0"/>
          <w:iCs w:val="0"/>
        </w:rPr>
        <w:t xml:space="preserve"> coverage </w:t>
      </w:r>
      <w:r w:rsidR="00FB2045">
        <w:rPr>
          <w:i w:val="0"/>
          <w:iCs w:val="0"/>
        </w:rPr>
        <w:t>for</w:t>
      </w:r>
      <w:r w:rsidRPr="00DB681A">
        <w:rPr>
          <w:i w:val="0"/>
          <w:iCs w:val="0"/>
        </w:rPr>
        <w:t xml:space="preserve"> patients: </w:t>
      </w:r>
    </w:p>
    <w:p w14:paraId="2F70A215" w14:textId="77777777" w:rsidR="007873A7" w:rsidRPr="003D71B1" w:rsidRDefault="007873A7" w:rsidP="00525BE0">
      <w:pPr>
        <w:pStyle w:val="Quote"/>
        <w:ind w:left="720"/>
        <w:jc w:val="both"/>
      </w:pPr>
      <w:r w:rsidRPr="003D71B1">
        <w:t>“And that is the partnering if you like, because we have got the third sector which allows us to reach people who find it difficult to engage with services. And that means we might actually make things better.” (13; CEO; ICS 1)</w:t>
      </w:r>
    </w:p>
    <w:p w14:paraId="0F06D07B" w14:textId="77777777" w:rsidR="007873A7" w:rsidRPr="003D71B1" w:rsidRDefault="007873A7" w:rsidP="00525BE0">
      <w:pPr>
        <w:spacing w:line="360" w:lineRule="auto"/>
        <w:jc w:val="both"/>
      </w:pPr>
      <w:r w:rsidRPr="003D71B1">
        <w:t>However, although collaboration enabled expanding outwards, it also allowed for consolidating services to a smaller number of providers where patients could be more easily referred within the collaboration. Service consolidation was connected with improved sustainability of service delivery:</w:t>
      </w:r>
    </w:p>
    <w:p w14:paraId="1378B1CA" w14:textId="77777777" w:rsidR="007873A7" w:rsidRPr="003D71B1" w:rsidRDefault="007873A7" w:rsidP="00525BE0">
      <w:pPr>
        <w:pStyle w:val="Quote"/>
        <w:ind w:left="720"/>
        <w:jc w:val="both"/>
      </w:pPr>
      <w:r w:rsidRPr="003D71B1">
        <w:t>“…it’s a big town, had a district general hospital that at one stage provided the full range of treatments as you’d expect from something in the 1970s, 1980s. Yet now has been repurposed specifically around acute medicine” (23; Medical Director; Alliance 2)</w:t>
      </w:r>
      <w:r>
        <w:t>.</w:t>
      </w:r>
    </w:p>
    <w:p w14:paraId="18494137" w14:textId="77777777" w:rsidR="007873A7" w:rsidRDefault="007873A7" w:rsidP="00525BE0">
      <w:pPr>
        <w:spacing w:line="360" w:lineRule="auto"/>
        <w:jc w:val="both"/>
      </w:pPr>
      <w:r w:rsidRPr="003D71B1">
        <w:t xml:space="preserve">However, in </w:t>
      </w:r>
      <w:r>
        <w:t>contrast</w:t>
      </w:r>
      <w:r w:rsidRPr="003D71B1">
        <w:t xml:space="preserve">, the interviews with patients also identified that consolidation of services had in some cases led to them having to travel further, which could have potential to reduce access for some. </w:t>
      </w:r>
      <w:r>
        <w:t xml:space="preserve">A patient representative recounted their experience: </w:t>
      </w:r>
    </w:p>
    <w:p w14:paraId="4D57A29D" w14:textId="5320073B" w:rsidR="007873A7" w:rsidRPr="005D654D" w:rsidRDefault="007873A7" w:rsidP="00525BE0">
      <w:pPr>
        <w:spacing w:line="360" w:lineRule="auto"/>
        <w:ind w:left="720"/>
        <w:jc w:val="both"/>
      </w:pPr>
      <w:r w:rsidRPr="000E5172">
        <w:t>“…</w:t>
      </w:r>
      <w:r w:rsidRPr="00403AD9">
        <w:rPr>
          <w:i/>
          <w:iCs/>
        </w:rPr>
        <w:t>instead of sending people to [Hospital 1] to have their scan and then having them transferred to [Hospital 2], it was better to actually take them straight to [Hospital 2] which is another 15 minutes’ drive in an ambulance</w:t>
      </w:r>
      <w:r w:rsidR="00FB2045">
        <w:t>” (Patient</w:t>
      </w:r>
      <w:r w:rsidRPr="000E5172">
        <w:t>)</w:t>
      </w:r>
      <w:r>
        <w:t>.</w:t>
      </w:r>
    </w:p>
    <w:p w14:paraId="36062D63" w14:textId="77777777" w:rsidR="007873A7" w:rsidRPr="003D71B1" w:rsidRDefault="007873A7" w:rsidP="00525BE0">
      <w:pPr>
        <w:spacing w:line="360" w:lineRule="auto"/>
        <w:jc w:val="both"/>
      </w:pPr>
      <w:r>
        <w:t xml:space="preserve">Those </w:t>
      </w:r>
      <w:r w:rsidRPr="003D71B1">
        <w:t xml:space="preserve">involved in </w:t>
      </w:r>
      <w:r>
        <w:t>implementing collaborations also reflected such experiences</w:t>
      </w:r>
      <w:r w:rsidRPr="003D71B1">
        <w:t>:</w:t>
      </w:r>
    </w:p>
    <w:p w14:paraId="26080C54" w14:textId="77777777" w:rsidR="007873A7" w:rsidRPr="003D71B1" w:rsidRDefault="007873A7" w:rsidP="00525BE0">
      <w:pPr>
        <w:spacing w:line="360" w:lineRule="auto"/>
        <w:ind w:left="720"/>
        <w:jc w:val="both"/>
      </w:pPr>
      <w:r w:rsidRPr="000E5172">
        <w:t>“</w:t>
      </w:r>
      <w:r w:rsidRPr="00403AD9">
        <w:rPr>
          <w:i/>
          <w:iCs/>
        </w:rPr>
        <w:t>Over time, it could mean that patients potentially have to go further for their treatment, rather than getting it locally. And, you know, sometimes regardless of how well their local hospital is rated, people want to go to their local hospital.</w:t>
      </w:r>
      <w:r w:rsidRPr="00671F5A">
        <w:t>”</w:t>
      </w:r>
      <w:r w:rsidRPr="000E5172">
        <w:t xml:space="preserve"> (26; Head of Workforce; Alliance 2)</w:t>
      </w:r>
    </w:p>
    <w:p w14:paraId="1DCDB26F" w14:textId="3520A0BA" w:rsidR="007873A7" w:rsidRPr="003D71B1" w:rsidRDefault="007873A7" w:rsidP="00525BE0">
      <w:pPr>
        <w:spacing w:line="360" w:lineRule="auto"/>
        <w:jc w:val="both"/>
      </w:pPr>
      <w:r w:rsidRPr="004F42C3">
        <w:t xml:space="preserve">However, </w:t>
      </w:r>
      <w:r>
        <w:t xml:space="preserve">it was also apparent that caution was needed when considering the potential of </w:t>
      </w:r>
      <w:r w:rsidRPr="004F42C3">
        <w:t xml:space="preserve">organisational efficiency to simultaneously improve care and save money. </w:t>
      </w:r>
      <w:r w:rsidRPr="00403AD9">
        <w:t>Some scenarios were recalled of integration increasing costs as community services ran alongside acute services</w:t>
      </w:r>
      <w:r w:rsidRPr="00671F5A">
        <w:t>.</w:t>
      </w:r>
      <w:r>
        <w:t xml:space="preserve"> This may be the case when collaborative functioning is not optimised but could also be a case </w:t>
      </w:r>
      <w:r w:rsidR="00FB2045">
        <w:t>for</w:t>
      </w:r>
      <w:r>
        <w:t xml:space="preserve"> pa</w:t>
      </w:r>
      <w:r w:rsidR="00FB2045">
        <w:t>rticularly complex collaborations</w:t>
      </w:r>
      <w:r>
        <w:t>:</w:t>
      </w:r>
    </w:p>
    <w:p w14:paraId="7742FD79" w14:textId="77777777" w:rsidR="007873A7" w:rsidRDefault="007873A7" w:rsidP="00525BE0">
      <w:pPr>
        <w:spacing w:line="360" w:lineRule="auto"/>
        <w:ind w:left="720"/>
        <w:jc w:val="both"/>
      </w:pPr>
      <w:r>
        <w:t>“</w:t>
      </w:r>
      <w:r w:rsidRPr="00403AD9">
        <w:rPr>
          <w:i/>
          <w:iCs/>
        </w:rPr>
        <w:t>Most projects have struggled to do both, to improve care and to save money… the classic example was [Trust] that seemed to be doing quite a good job early on at keeping people – more people in the community and then reducing admissions to hospital. But we never got to the stage of actually closing the beds that were we were previously admitting people to. We just filled them with somebody else…. So, the people that were paying for care were paying for all this community service over here and they were still paying for the previous acute beds that are now just filled with other people</w:t>
      </w:r>
      <w:r>
        <w:t>”</w:t>
      </w:r>
      <w:r w:rsidRPr="000E5172">
        <w:t xml:space="preserve"> (</w:t>
      </w:r>
      <w:r w:rsidRPr="008A6558">
        <w:rPr>
          <w:color w:val="000000" w:themeColor="text1"/>
        </w:rPr>
        <w:t>01; Non-Exec Director; Range)</w:t>
      </w:r>
      <w:r>
        <w:t>.</w:t>
      </w:r>
    </w:p>
    <w:p w14:paraId="70B5EB4B" w14:textId="77777777" w:rsidR="007873A7" w:rsidRPr="003D71B1" w:rsidRDefault="007873A7" w:rsidP="00525BE0">
      <w:pPr>
        <w:spacing w:line="360" w:lineRule="auto"/>
        <w:jc w:val="both"/>
      </w:pPr>
    </w:p>
    <w:p w14:paraId="2B1A110D" w14:textId="38FC401E" w:rsidR="00FB2045" w:rsidRDefault="007873A7" w:rsidP="00DC6CC9">
      <w:pPr>
        <w:pStyle w:val="Heading3"/>
        <w:jc w:val="both"/>
      </w:pPr>
      <w:bookmarkStart w:id="132" w:name="_Toc85066472"/>
      <w:r w:rsidRPr="0098444A">
        <w:t>Technological Effectiveness</w:t>
      </w:r>
      <w:bookmarkEnd w:id="132"/>
    </w:p>
    <w:p w14:paraId="2BDEF5AA" w14:textId="38FD4890" w:rsidR="007873A7" w:rsidRDefault="002D6BA9" w:rsidP="00525BE0">
      <w:pPr>
        <w:spacing w:line="360" w:lineRule="auto"/>
        <w:jc w:val="both"/>
      </w:pPr>
      <w:r>
        <w:t>T</w:t>
      </w:r>
      <w:r w:rsidRPr="002D6BA9">
        <w:t xml:space="preserve">echnological effectiveness </w:t>
      </w:r>
      <w:r>
        <w:t>featured in interview accounts where the</w:t>
      </w:r>
      <w:r w:rsidR="00FB2045">
        <w:t xml:space="preserve"> </w:t>
      </w:r>
      <w:r w:rsidR="007873A7">
        <w:t xml:space="preserve">learning </w:t>
      </w:r>
      <w:r>
        <w:t xml:space="preserve">had been accumulated across organisations about </w:t>
      </w:r>
      <w:r w:rsidR="007873A7">
        <w:t>how to redesign care pathways</w:t>
      </w:r>
      <w:r w:rsidR="00DC6CC9">
        <w:t>:</w:t>
      </w:r>
    </w:p>
    <w:p w14:paraId="39A2E371" w14:textId="77777777" w:rsidR="00DC6CC9" w:rsidRDefault="007873A7" w:rsidP="00525BE0">
      <w:pPr>
        <w:spacing w:line="360" w:lineRule="auto"/>
        <w:ind w:left="720"/>
        <w:jc w:val="both"/>
      </w:pPr>
      <w:r w:rsidRPr="00403AD9">
        <w:rPr>
          <w:i/>
          <w:iCs/>
        </w:rPr>
        <w:t>“…we frequently will have visits from other hospitals and we will share where we are with our stroke service and share anything</w:t>
      </w:r>
      <w:r>
        <w:rPr>
          <w:i/>
          <w:iCs/>
        </w:rPr>
        <w:t xml:space="preserve"> […] </w:t>
      </w:r>
      <w:r w:rsidRPr="00403AD9">
        <w:rPr>
          <w:i/>
          <w:iCs/>
        </w:rPr>
        <w:t>why reinvent stuff that someone has already done?”</w:t>
      </w:r>
      <w:r w:rsidRPr="001C1940">
        <w:t xml:space="preserve"> (21; Director of Clinical Service; Merger 2)</w:t>
      </w:r>
      <w:r>
        <w:t xml:space="preserve">. </w:t>
      </w:r>
    </w:p>
    <w:p w14:paraId="238347A3" w14:textId="2CEB0B61" w:rsidR="007873A7" w:rsidRDefault="000B0563" w:rsidP="000B0563">
      <w:pPr>
        <w:spacing w:line="360" w:lineRule="auto"/>
        <w:jc w:val="both"/>
      </w:pPr>
      <w:r>
        <w:t>Connections with organisational efficiencies were also made with technological effectiveness also connected to reduced</w:t>
      </w:r>
      <w:r w:rsidR="007873A7">
        <w:t xml:space="preserve"> duplication of effort. </w:t>
      </w:r>
    </w:p>
    <w:p w14:paraId="42F85EEB" w14:textId="38D9ACA6" w:rsidR="007873A7" w:rsidRPr="001C1940" w:rsidRDefault="00080CA6" w:rsidP="00525BE0">
      <w:pPr>
        <w:spacing w:line="360" w:lineRule="auto"/>
        <w:ind w:left="720"/>
        <w:jc w:val="both"/>
      </w:pPr>
      <w:r>
        <w:t xml:space="preserve"> </w:t>
      </w:r>
      <w:r w:rsidR="007873A7">
        <w:t>“…</w:t>
      </w:r>
      <w:r w:rsidR="007873A7" w:rsidRPr="00403AD9">
        <w:rPr>
          <w:rStyle w:val="QuoteChar"/>
        </w:rPr>
        <w:t>the big programmes like the radiology, which was obviously very, very successful in terms of having joint reporting and having some joint policies, joint guidance, to us doing some joint clinical leadership training. And that’s all been really, again, that’s successful that we could do that</w:t>
      </w:r>
      <w:r w:rsidR="007873A7">
        <w:rPr>
          <w:rStyle w:val="QuoteChar"/>
        </w:rPr>
        <w:t>” (35; Director of Improvement; Hospital Group 4).</w:t>
      </w:r>
    </w:p>
    <w:p w14:paraId="4D5E3782" w14:textId="5FBD0638" w:rsidR="007873A7" w:rsidRPr="003D71B1" w:rsidRDefault="00080CA6" w:rsidP="00525BE0">
      <w:pPr>
        <w:spacing w:line="360" w:lineRule="auto"/>
        <w:jc w:val="both"/>
      </w:pPr>
      <w:r>
        <w:t>Within these arrangements</w:t>
      </w:r>
      <w:r w:rsidR="007873A7" w:rsidRPr="003D71B1">
        <w:t>, the enhanced communication fostered by collaboration allowed for the delivery of more integrated cross-organisational clinical pathways</w:t>
      </w:r>
      <w:r w:rsidR="007873A7">
        <w:t xml:space="preserve"> by enhancing data sharing</w:t>
      </w:r>
      <w:r w:rsidR="007873A7" w:rsidRPr="003D71B1">
        <w:t>. Implementation of such pathways was found to give patients a more seamless experience when moving between providers both within and between sectors:</w:t>
      </w:r>
    </w:p>
    <w:p w14:paraId="328463C6" w14:textId="77777777" w:rsidR="007873A7" w:rsidRPr="00526AD9" w:rsidRDefault="007873A7" w:rsidP="00525BE0">
      <w:pPr>
        <w:spacing w:line="360" w:lineRule="auto"/>
        <w:ind w:left="720"/>
        <w:jc w:val="both"/>
      </w:pPr>
      <w:r w:rsidRPr="00403AD9">
        <w:rPr>
          <w:i/>
          <w:iCs/>
        </w:rPr>
        <w:t>“…so can we try and take out some of that cost and improve patient experience by joining some of that up? And that doesn’t necessarily mean a sort of integrated provider but it certainly does mean that all those different parts need to be working much more closely and effectively together”</w:t>
      </w:r>
      <w:r w:rsidRPr="001C1940">
        <w:t xml:space="preserve"> (04; Provider Policy Leader; Range)</w:t>
      </w:r>
    </w:p>
    <w:p w14:paraId="1BF46BD6" w14:textId="6E96066E" w:rsidR="007873A7" w:rsidRDefault="007873A7" w:rsidP="00525BE0">
      <w:pPr>
        <w:spacing w:line="360" w:lineRule="auto"/>
        <w:jc w:val="both"/>
      </w:pPr>
      <w:r>
        <w:t xml:space="preserve">Technological effectiveness also encompassed enhancing access to technology, </w:t>
      </w:r>
      <w:r w:rsidR="005F3F68">
        <w:t xml:space="preserve">with the sharing of clinical innovations </w:t>
      </w:r>
      <w:r>
        <w:t>that organisa</w:t>
      </w:r>
      <w:r w:rsidR="005F3F68">
        <w:t>tions previously could not use.</w:t>
      </w:r>
    </w:p>
    <w:p w14:paraId="0AD9C078" w14:textId="77777777" w:rsidR="007873A7" w:rsidRPr="003D71B1" w:rsidRDefault="007873A7" w:rsidP="00525BE0">
      <w:pPr>
        <w:spacing w:line="360" w:lineRule="auto"/>
        <w:ind w:left="720"/>
        <w:jc w:val="both"/>
      </w:pPr>
      <w:r>
        <w:t>“</w:t>
      </w:r>
      <w:r>
        <w:rPr>
          <w:i/>
          <w:iCs/>
        </w:rPr>
        <w:t>y</w:t>
      </w:r>
      <w:r w:rsidRPr="00403AD9">
        <w:rPr>
          <w:i/>
          <w:iCs/>
        </w:rPr>
        <w:t>ou know, if you look at [Provider 1] and [Provider 2] for example, you know, they’ve got robotic surgery in [Provider 1] that [Provider 2] patients can access more easily now</w:t>
      </w:r>
      <w:r w:rsidRPr="001C1940">
        <w:t>” (15; Chief of patient rep. body; Range)</w:t>
      </w:r>
    </w:p>
    <w:p w14:paraId="5EB97942" w14:textId="4221CA75" w:rsidR="007873A7" w:rsidRPr="003D71B1" w:rsidRDefault="007873A7" w:rsidP="00525BE0">
      <w:pPr>
        <w:spacing w:line="360" w:lineRule="auto"/>
        <w:jc w:val="both"/>
      </w:pPr>
      <w:r w:rsidRPr="003D71B1">
        <w:t>The</w:t>
      </w:r>
      <w:r>
        <w:t xml:space="preserve"> overall</w:t>
      </w:r>
      <w:r w:rsidRPr="003D71B1">
        <w:t xml:space="preserve"> expansion of research and development </w:t>
      </w:r>
      <w:r>
        <w:t>was also enabled by enhanced access to resources:</w:t>
      </w:r>
    </w:p>
    <w:p w14:paraId="0C6DC5A0" w14:textId="77777777" w:rsidR="007873A7" w:rsidRDefault="007873A7" w:rsidP="00525BE0">
      <w:pPr>
        <w:spacing w:line="360" w:lineRule="auto"/>
        <w:ind w:left="720"/>
        <w:jc w:val="both"/>
      </w:pPr>
      <w:r>
        <w:t>“</w:t>
      </w:r>
      <w:r w:rsidRPr="00F34B9C">
        <w:rPr>
          <w:i/>
          <w:iCs/>
        </w:rPr>
        <w:t xml:space="preserve">… since we’ve become a group, research has exploded because we now have a footprint of 1.2 million patients and the electronic patient record in </w:t>
      </w:r>
      <w:r>
        <w:rPr>
          <w:i/>
          <w:iCs/>
        </w:rPr>
        <w:t>[Locale]</w:t>
      </w:r>
      <w:r w:rsidRPr="00F34B9C">
        <w:rPr>
          <w:i/>
          <w:iCs/>
        </w:rPr>
        <w:t xml:space="preserve"> moving forward with a pace and purpose to get that in our North West sector care organisations.” </w:t>
      </w:r>
      <w:r w:rsidRPr="0098444A">
        <w:t>(23</w:t>
      </w:r>
      <w:r>
        <w:t>; Medical Director; Alliance 1</w:t>
      </w:r>
      <w:r w:rsidRPr="0098444A">
        <w:t>)</w:t>
      </w:r>
    </w:p>
    <w:p w14:paraId="23C0B56D" w14:textId="67D58BA9" w:rsidR="007873A7" w:rsidRPr="00DC6CC9" w:rsidRDefault="007873A7" w:rsidP="00DC6CC9">
      <w:pPr>
        <w:pStyle w:val="Quote"/>
        <w:jc w:val="both"/>
        <w:rPr>
          <w:i w:val="0"/>
          <w:iCs w:val="0"/>
        </w:rPr>
      </w:pPr>
      <w:r>
        <w:rPr>
          <w:i w:val="0"/>
          <w:iCs w:val="0"/>
        </w:rPr>
        <w:t>Enhanced research and development could, in the longer term, further improve the kind of clinical quality that could be delivered in the providers involved in the collaboration.</w:t>
      </w:r>
    </w:p>
    <w:p w14:paraId="32FCE340" w14:textId="77777777" w:rsidR="007873A7" w:rsidRPr="003D71B1" w:rsidRDefault="007873A7" w:rsidP="00525BE0">
      <w:pPr>
        <w:pStyle w:val="Heading2"/>
        <w:spacing w:line="360" w:lineRule="auto"/>
        <w:jc w:val="both"/>
      </w:pPr>
      <w:bookmarkStart w:id="133" w:name="_Toc85066473"/>
      <w:r w:rsidRPr="003D71B1">
        <w:t>Depicting the relationships between collaborative performance mechanisms</w:t>
      </w:r>
      <w:bookmarkEnd w:id="133"/>
    </w:p>
    <w:p w14:paraId="5F17380E" w14:textId="55AFA7FF" w:rsidR="007873A7" w:rsidRDefault="007873A7" w:rsidP="00525BE0">
      <w:pPr>
        <w:spacing w:line="360" w:lineRule="auto"/>
        <w:jc w:val="both"/>
      </w:pPr>
      <w:r w:rsidRPr="003D71B1">
        <w:t>Figure 1</w:t>
      </w:r>
      <w:r>
        <w:t>6</w:t>
      </w:r>
      <w:r w:rsidRPr="003D71B1">
        <w:t xml:space="preserve"> depicts how </w:t>
      </w:r>
      <w:r>
        <w:t xml:space="preserve">within each of the collaborative performance domains, a range of </w:t>
      </w:r>
      <w:r w:rsidRPr="003D71B1">
        <w:t>mechanisms</w:t>
      </w:r>
      <w:r>
        <w:t xml:space="preserve"> can be identified with associated performance improvements.</w:t>
      </w:r>
      <w:r w:rsidRPr="003D71B1">
        <w:t xml:space="preserve"> The figure shows that cultural efficacy can </w:t>
      </w:r>
      <w:r>
        <w:t>encompass</w:t>
      </w:r>
      <w:r w:rsidRPr="003D71B1">
        <w:t xml:space="preserve"> mechanisms that underlie improvements to efficiency. For example, an enhanced awareness</w:t>
      </w:r>
      <w:r>
        <w:t xml:space="preserve"> of the local system brought about by cultural efficacy can enable</w:t>
      </w:r>
      <w:r w:rsidRPr="003D71B1">
        <w:t xml:space="preserve"> improved coordination, which thereby enables several other improvements, including redirection of resources and consolidation of services to more efficient or effective providers. </w:t>
      </w:r>
      <w:r w:rsidR="003D22BF">
        <w:t>The figure</w:t>
      </w:r>
      <w:r w:rsidRPr="003D71B1">
        <w:t xml:space="preserve"> also shows </w:t>
      </w:r>
      <w:r>
        <w:t xml:space="preserve">how </w:t>
      </w:r>
      <w:r w:rsidRPr="003D71B1">
        <w:t>increasing communication between providers</w:t>
      </w:r>
      <w:r>
        <w:t xml:space="preserve"> within the local health system</w:t>
      </w:r>
      <w:r w:rsidRPr="003D71B1">
        <w:t xml:space="preserve"> </w:t>
      </w:r>
      <w:r>
        <w:t>can enable</w:t>
      </w:r>
      <w:r w:rsidRPr="003D71B1">
        <w:t xml:space="preserve"> many other mechanisms further down the causal chain, including the sharing of clinical practices in the technological effectiveness category</w:t>
      </w:r>
      <w:r w:rsidR="003D22BF">
        <w:t xml:space="preserve">. </w:t>
      </w:r>
    </w:p>
    <w:p w14:paraId="18CE4A1A" w14:textId="0DCC1D9F" w:rsidR="007873A7" w:rsidRPr="00403AD9" w:rsidRDefault="007873A7" w:rsidP="00525BE0">
      <w:pPr>
        <w:spacing w:line="360" w:lineRule="auto"/>
        <w:jc w:val="both"/>
      </w:pPr>
      <w:r>
        <w:t xml:space="preserve">We have also connected the performance mechanisms to what we define as ‘long-term outcomes’ </w:t>
      </w:r>
      <w:r w:rsidRPr="002E5A3A">
        <w:t>denoting the outer area</w:t>
      </w:r>
      <w:r>
        <w:t>s</w:t>
      </w:r>
      <w:r w:rsidRPr="002E5A3A">
        <w:t xml:space="preserve"> affected by </w:t>
      </w:r>
      <w:r>
        <w:t>collaborative</w:t>
      </w:r>
      <w:r w:rsidRPr="002E5A3A">
        <w:t xml:space="preserve"> activity</w:t>
      </w:r>
      <w:r>
        <w:t xml:space="preserve">. Some of these long-term outcomes will be explored in the following section. However, it is important to note that these links between mechanisms and outcomes require further research, and accordingly provide an important basis for further inquiry rather than definitive evidence. Table </w:t>
      </w:r>
      <w:r w:rsidR="007F428C">
        <w:t>9</w:t>
      </w:r>
      <w:r>
        <w:t xml:space="preserve"> outlines the intermediate mechanisms identified and how they relate to performance improvements.</w:t>
      </w:r>
    </w:p>
    <w:p w14:paraId="3CFD9931" w14:textId="3587CDE1" w:rsidR="007873A7" w:rsidRDefault="007873A7" w:rsidP="00525BE0">
      <w:pPr>
        <w:pStyle w:val="Caption"/>
        <w:spacing w:line="360" w:lineRule="auto"/>
        <w:jc w:val="both"/>
      </w:pPr>
      <w:bookmarkStart w:id="134" w:name="_Toc106181513"/>
      <w:r>
        <w:t xml:space="preserve">Table </w:t>
      </w:r>
      <w:r w:rsidR="008802A5">
        <w:fldChar w:fldCharType="begin"/>
      </w:r>
      <w:r w:rsidR="008802A5">
        <w:instrText xml:space="preserve"> SEQ Table \* ARABIC </w:instrText>
      </w:r>
      <w:r w:rsidR="008802A5">
        <w:fldChar w:fldCharType="separate"/>
      </w:r>
      <w:r w:rsidR="00DC6CC9">
        <w:rPr>
          <w:noProof/>
        </w:rPr>
        <w:t>9</w:t>
      </w:r>
      <w:r w:rsidR="008802A5">
        <w:rPr>
          <w:noProof/>
        </w:rPr>
        <w:fldChar w:fldCharType="end"/>
      </w:r>
      <w:r>
        <w:t>. Description of mechanisms identified within each category of collaborative performance in inter-organisational collaborations in healthcare.</w:t>
      </w:r>
      <w:bookmarkEnd w:id="134"/>
    </w:p>
    <w:tbl>
      <w:tblPr>
        <w:tblStyle w:val="TableGrid"/>
        <w:tblW w:w="5000" w:type="pct"/>
        <w:tblLook w:val="04A0" w:firstRow="1" w:lastRow="0" w:firstColumn="1" w:lastColumn="0" w:noHBand="0" w:noVBand="1"/>
      </w:tblPr>
      <w:tblGrid>
        <w:gridCol w:w="2183"/>
        <w:gridCol w:w="2348"/>
        <w:gridCol w:w="4485"/>
      </w:tblGrid>
      <w:tr w:rsidR="007873A7" w:rsidRPr="001C548F" w14:paraId="510E7E71" w14:textId="77777777" w:rsidTr="007873A7">
        <w:trPr>
          <w:trHeight w:val="572"/>
        </w:trPr>
        <w:tc>
          <w:tcPr>
            <w:tcW w:w="1211" w:type="pct"/>
          </w:tcPr>
          <w:p w14:paraId="67EACD28" w14:textId="77777777" w:rsidR="007873A7" w:rsidRPr="001C548F" w:rsidRDefault="007873A7" w:rsidP="00525BE0">
            <w:pPr>
              <w:jc w:val="both"/>
              <w:rPr>
                <w:b/>
                <w:bCs/>
              </w:rPr>
            </w:pPr>
            <w:r w:rsidRPr="001C548F">
              <w:rPr>
                <w:b/>
                <w:bCs/>
              </w:rPr>
              <w:t>Domain of collaborative performance</w:t>
            </w:r>
          </w:p>
        </w:tc>
        <w:tc>
          <w:tcPr>
            <w:tcW w:w="1302" w:type="pct"/>
          </w:tcPr>
          <w:p w14:paraId="35CD6800" w14:textId="77777777" w:rsidR="007873A7" w:rsidRPr="001C548F" w:rsidRDefault="007873A7" w:rsidP="00525BE0">
            <w:pPr>
              <w:jc w:val="both"/>
              <w:rPr>
                <w:b/>
                <w:bCs/>
              </w:rPr>
            </w:pPr>
            <w:r w:rsidRPr="001C548F">
              <w:rPr>
                <w:b/>
                <w:bCs/>
              </w:rPr>
              <w:t xml:space="preserve">Mechanisms identified </w:t>
            </w:r>
          </w:p>
        </w:tc>
        <w:tc>
          <w:tcPr>
            <w:tcW w:w="2487" w:type="pct"/>
          </w:tcPr>
          <w:p w14:paraId="241B9421" w14:textId="77777777" w:rsidR="007873A7" w:rsidRPr="001C548F" w:rsidRDefault="007873A7" w:rsidP="00525BE0">
            <w:pPr>
              <w:jc w:val="both"/>
              <w:rPr>
                <w:b/>
                <w:bCs/>
              </w:rPr>
            </w:pPr>
            <w:r w:rsidRPr="001C548F">
              <w:rPr>
                <w:b/>
                <w:bCs/>
              </w:rPr>
              <w:t>Performance improvements identified</w:t>
            </w:r>
          </w:p>
        </w:tc>
      </w:tr>
      <w:tr w:rsidR="007873A7" w:rsidRPr="001C548F" w14:paraId="6BD2D92B" w14:textId="77777777" w:rsidTr="007873A7">
        <w:trPr>
          <w:trHeight w:val="544"/>
        </w:trPr>
        <w:tc>
          <w:tcPr>
            <w:tcW w:w="1211" w:type="pct"/>
            <w:vMerge w:val="restart"/>
          </w:tcPr>
          <w:p w14:paraId="3415A7B1" w14:textId="77777777" w:rsidR="007873A7" w:rsidRPr="001C548F" w:rsidRDefault="007873A7" w:rsidP="00525BE0">
            <w:pPr>
              <w:jc w:val="both"/>
              <w:rPr>
                <w:sz w:val="20"/>
                <w:szCs w:val="20"/>
              </w:rPr>
            </w:pPr>
            <w:r w:rsidRPr="001C548F">
              <w:rPr>
                <w:sz w:val="20"/>
                <w:szCs w:val="20"/>
              </w:rPr>
              <w:t>Cultural efficacy</w:t>
            </w:r>
          </w:p>
        </w:tc>
        <w:tc>
          <w:tcPr>
            <w:tcW w:w="1302" w:type="pct"/>
          </w:tcPr>
          <w:p w14:paraId="3DCF07B2" w14:textId="77777777" w:rsidR="007873A7" w:rsidRPr="001C548F" w:rsidRDefault="007873A7" w:rsidP="00525BE0">
            <w:pPr>
              <w:jc w:val="both"/>
              <w:rPr>
                <w:sz w:val="20"/>
                <w:szCs w:val="20"/>
              </w:rPr>
            </w:pPr>
            <w:r w:rsidRPr="001C548F">
              <w:rPr>
                <w:sz w:val="20"/>
                <w:szCs w:val="20"/>
              </w:rPr>
              <w:t>Improved communication</w:t>
            </w:r>
          </w:p>
        </w:tc>
        <w:tc>
          <w:tcPr>
            <w:tcW w:w="2487" w:type="pct"/>
          </w:tcPr>
          <w:p w14:paraId="4A66FBB3" w14:textId="77777777" w:rsidR="007873A7" w:rsidRPr="001C548F" w:rsidRDefault="007873A7" w:rsidP="00525BE0">
            <w:pPr>
              <w:jc w:val="both"/>
              <w:rPr>
                <w:sz w:val="20"/>
                <w:szCs w:val="20"/>
              </w:rPr>
            </w:pPr>
            <w:r w:rsidRPr="001C548F">
              <w:rPr>
                <w:sz w:val="20"/>
                <w:szCs w:val="20"/>
              </w:rPr>
              <w:t>Greater communication occurring between organisations in local health system</w:t>
            </w:r>
          </w:p>
        </w:tc>
      </w:tr>
      <w:tr w:rsidR="007873A7" w:rsidRPr="001C548F" w14:paraId="269EAB70" w14:textId="77777777" w:rsidTr="007873A7">
        <w:trPr>
          <w:trHeight w:val="834"/>
        </w:trPr>
        <w:tc>
          <w:tcPr>
            <w:tcW w:w="1211" w:type="pct"/>
            <w:vMerge/>
          </w:tcPr>
          <w:p w14:paraId="12E229FB" w14:textId="77777777" w:rsidR="007873A7" w:rsidRPr="001C548F" w:rsidRDefault="007873A7" w:rsidP="00525BE0">
            <w:pPr>
              <w:jc w:val="both"/>
              <w:rPr>
                <w:sz w:val="20"/>
                <w:szCs w:val="20"/>
              </w:rPr>
            </w:pPr>
          </w:p>
        </w:tc>
        <w:tc>
          <w:tcPr>
            <w:tcW w:w="1302" w:type="pct"/>
          </w:tcPr>
          <w:p w14:paraId="09713045" w14:textId="77777777" w:rsidR="007873A7" w:rsidRPr="001C548F" w:rsidRDefault="007873A7" w:rsidP="00525BE0">
            <w:pPr>
              <w:jc w:val="both"/>
              <w:rPr>
                <w:sz w:val="20"/>
                <w:szCs w:val="20"/>
              </w:rPr>
            </w:pPr>
            <w:r w:rsidRPr="001C548F">
              <w:rPr>
                <w:sz w:val="20"/>
                <w:szCs w:val="20"/>
              </w:rPr>
              <w:t>Enhanced awareness in local system</w:t>
            </w:r>
          </w:p>
        </w:tc>
        <w:tc>
          <w:tcPr>
            <w:tcW w:w="2487" w:type="pct"/>
          </w:tcPr>
          <w:p w14:paraId="56556F60" w14:textId="393DAEFC" w:rsidR="007873A7" w:rsidRPr="001C548F" w:rsidRDefault="007873A7" w:rsidP="00525BE0">
            <w:pPr>
              <w:jc w:val="both"/>
              <w:rPr>
                <w:sz w:val="20"/>
                <w:szCs w:val="20"/>
              </w:rPr>
            </w:pPr>
            <w:r w:rsidRPr="001C548F">
              <w:rPr>
                <w:sz w:val="20"/>
                <w:szCs w:val="20"/>
              </w:rPr>
              <w:t>A</w:t>
            </w:r>
            <w:r w:rsidR="00A21013">
              <w:rPr>
                <w:sz w:val="20"/>
                <w:szCs w:val="20"/>
              </w:rPr>
              <w:t>s a</w:t>
            </w:r>
            <w:r w:rsidRPr="001C548F">
              <w:rPr>
                <w:sz w:val="20"/>
                <w:szCs w:val="20"/>
              </w:rPr>
              <w:t xml:space="preserve"> consequence of increased communication actors have greater awareness of issues and what areas require work in the local system</w:t>
            </w:r>
          </w:p>
        </w:tc>
      </w:tr>
      <w:tr w:rsidR="007873A7" w:rsidRPr="001C548F" w14:paraId="02718AA2" w14:textId="77777777" w:rsidTr="007873A7">
        <w:trPr>
          <w:trHeight w:val="704"/>
        </w:trPr>
        <w:tc>
          <w:tcPr>
            <w:tcW w:w="1211" w:type="pct"/>
            <w:vMerge/>
          </w:tcPr>
          <w:p w14:paraId="3023C14E" w14:textId="77777777" w:rsidR="007873A7" w:rsidRPr="001C548F" w:rsidRDefault="007873A7" w:rsidP="00525BE0">
            <w:pPr>
              <w:jc w:val="both"/>
              <w:rPr>
                <w:sz w:val="20"/>
                <w:szCs w:val="20"/>
              </w:rPr>
            </w:pPr>
          </w:p>
        </w:tc>
        <w:tc>
          <w:tcPr>
            <w:tcW w:w="1302" w:type="pct"/>
          </w:tcPr>
          <w:p w14:paraId="66BB8A1A" w14:textId="77777777" w:rsidR="007873A7" w:rsidRPr="001C548F" w:rsidRDefault="007873A7" w:rsidP="00525BE0">
            <w:pPr>
              <w:jc w:val="both"/>
              <w:rPr>
                <w:sz w:val="20"/>
                <w:szCs w:val="20"/>
              </w:rPr>
            </w:pPr>
            <w:r w:rsidRPr="001C548F">
              <w:rPr>
                <w:sz w:val="20"/>
                <w:szCs w:val="20"/>
              </w:rPr>
              <w:t>Learning and implementing improvement strategies</w:t>
            </w:r>
          </w:p>
        </w:tc>
        <w:tc>
          <w:tcPr>
            <w:tcW w:w="2487" w:type="pct"/>
          </w:tcPr>
          <w:p w14:paraId="43ADED33" w14:textId="77777777" w:rsidR="007873A7" w:rsidRPr="001C548F" w:rsidRDefault="007873A7" w:rsidP="00525BE0">
            <w:pPr>
              <w:jc w:val="both"/>
              <w:rPr>
                <w:sz w:val="20"/>
                <w:szCs w:val="20"/>
              </w:rPr>
            </w:pPr>
            <w:r w:rsidRPr="001C548F">
              <w:rPr>
                <w:sz w:val="20"/>
                <w:szCs w:val="20"/>
              </w:rPr>
              <w:t>To what extent an improvement strategy is being implemented as a core component of the intervention (to collaborate)</w:t>
            </w:r>
          </w:p>
        </w:tc>
      </w:tr>
      <w:tr w:rsidR="007873A7" w:rsidRPr="001C548F" w14:paraId="5A5B2802" w14:textId="77777777" w:rsidTr="007873A7">
        <w:trPr>
          <w:trHeight w:val="557"/>
        </w:trPr>
        <w:tc>
          <w:tcPr>
            <w:tcW w:w="1211" w:type="pct"/>
            <w:vMerge/>
          </w:tcPr>
          <w:p w14:paraId="58E018CE" w14:textId="77777777" w:rsidR="007873A7" w:rsidRPr="001C548F" w:rsidRDefault="007873A7" w:rsidP="00525BE0">
            <w:pPr>
              <w:jc w:val="both"/>
              <w:rPr>
                <w:sz w:val="20"/>
                <w:szCs w:val="20"/>
              </w:rPr>
            </w:pPr>
          </w:p>
        </w:tc>
        <w:tc>
          <w:tcPr>
            <w:tcW w:w="1302" w:type="pct"/>
          </w:tcPr>
          <w:p w14:paraId="28247A45" w14:textId="77777777" w:rsidR="007873A7" w:rsidRPr="001C548F" w:rsidRDefault="007873A7" w:rsidP="00525BE0">
            <w:pPr>
              <w:jc w:val="both"/>
              <w:rPr>
                <w:sz w:val="20"/>
                <w:szCs w:val="20"/>
              </w:rPr>
            </w:pPr>
            <w:r w:rsidRPr="001C548F">
              <w:rPr>
                <w:sz w:val="20"/>
                <w:szCs w:val="20"/>
              </w:rPr>
              <w:t>Improved organisational culture</w:t>
            </w:r>
          </w:p>
        </w:tc>
        <w:tc>
          <w:tcPr>
            <w:tcW w:w="2487" w:type="pct"/>
          </w:tcPr>
          <w:p w14:paraId="1A7374F9" w14:textId="77777777" w:rsidR="007873A7" w:rsidRPr="001C548F" w:rsidRDefault="007873A7" w:rsidP="00525BE0">
            <w:pPr>
              <w:jc w:val="both"/>
              <w:rPr>
                <w:sz w:val="20"/>
                <w:szCs w:val="20"/>
              </w:rPr>
            </w:pPr>
            <w:r w:rsidRPr="001C548F">
              <w:rPr>
                <w:sz w:val="20"/>
                <w:szCs w:val="20"/>
              </w:rPr>
              <w:t>A move from a less productive set of attitudes and behaviours to a more productive set</w:t>
            </w:r>
          </w:p>
        </w:tc>
      </w:tr>
      <w:tr w:rsidR="007873A7" w:rsidRPr="001C548F" w14:paraId="75D7A900" w14:textId="77777777" w:rsidTr="007873A7">
        <w:trPr>
          <w:trHeight w:val="557"/>
        </w:trPr>
        <w:tc>
          <w:tcPr>
            <w:tcW w:w="1211" w:type="pct"/>
            <w:vMerge/>
          </w:tcPr>
          <w:p w14:paraId="761AAD5D" w14:textId="77777777" w:rsidR="007873A7" w:rsidRPr="001C548F" w:rsidRDefault="007873A7" w:rsidP="00525BE0">
            <w:pPr>
              <w:jc w:val="both"/>
              <w:rPr>
                <w:sz w:val="20"/>
                <w:szCs w:val="20"/>
              </w:rPr>
            </w:pPr>
          </w:p>
        </w:tc>
        <w:tc>
          <w:tcPr>
            <w:tcW w:w="1302" w:type="pct"/>
          </w:tcPr>
          <w:p w14:paraId="7879C46A" w14:textId="77777777" w:rsidR="007873A7" w:rsidRPr="001C548F" w:rsidRDefault="007873A7" w:rsidP="00525BE0">
            <w:pPr>
              <w:jc w:val="both"/>
              <w:rPr>
                <w:sz w:val="20"/>
                <w:szCs w:val="20"/>
              </w:rPr>
            </w:pPr>
            <w:r w:rsidRPr="001C548F">
              <w:rPr>
                <w:sz w:val="20"/>
                <w:szCs w:val="20"/>
              </w:rPr>
              <w:t>Improving reputation in local system</w:t>
            </w:r>
          </w:p>
        </w:tc>
        <w:tc>
          <w:tcPr>
            <w:tcW w:w="2487" w:type="pct"/>
          </w:tcPr>
          <w:p w14:paraId="72710B9E" w14:textId="77777777" w:rsidR="007873A7" w:rsidRPr="001C548F" w:rsidRDefault="007873A7" w:rsidP="00525BE0">
            <w:pPr>
              <w:jc w:val="both"/>
              <w:rPr>
                <w:sz w:val="20"/>
                <w:szCs w:val="20"/>
              </w:rPr>
            </w:pPr>
            <w:r w:rsidRPr="001C548F">
              <w:rPr>
                <w:sz w:val="20"/>
                <w:szCs w:val="20"/>
              </w:rPr>
              <w:t xml:space="preserve">An improved organisational reputation in the health system allows for access to novel resource and feeds into </w:t>
            </w:r>
            <w:r>
              <w:rPr>
                <w:sz w:val="20"/>
                <w:szCs w:val="20"/>
              </w:rPr>
              <w:t>influence in the health system</w:t>
            </w:r>
          </w:p>
        </w:tc>
      </w:tr>
      <w:tr w:rsidR="007873A7" w:rsidRPr="001C548F" w14:paraId="1F8766AE" w14:textId="77777777" w:rsidTr="007873A7">
        <w:trPr>
          <w:trHeight w:val="747"/>
        </w:trPr>
        <w:tc>
          <w:tcPr>
            <w:tcW w:w="1211" w:type="pct"/>
            <w:vMerge/>
          </w:tcPr>
          <w:p w14:paraId="6D7B67E6" w14:textId="77777777" w:rsidR="007873A7" w:rsidRPr="001C548F" w:rsidRDefault="007873A7" w:rsidP="00525BE0">
            <w:pPr>
              <w:jc w:val="both"/>
              <w:rPr>
                <w:sz w:val="20"/>
                <w:szCs w:val="20"/>
              </w:rPr>
            </w:pPr>
          </w:p>
        </w:tc>
        <w:tc>
          <w:tcPr>
            <w:tcW w:w="1302" w:type="pct"/>
          </w:tcPr>
          <w:p w14:paraId="324DC8FC" w14:textId="77777777" w:rsidR="007873A7" w:rsidRPr="001C548F" w:rsidRDefault="007873A7" w:rsidP="00525BE0">
            <w:pPr>
              <w:jc w:val="both"/>
              <w:rPr>
                <w:sz w:val="20"/>
                <w:szCs w:val="20"/>
              </w:rPr>
            </w:pPr>
            <w:r w:rsidRPr="001C548F">
              <w:rPr>
                <w:sz w:val="20"/>
                <w:szCs w:val="20"/>
              </w:rPr>
              <w:t>Sharing of clinical techniques</w:t>
            </w:r>
          </w:p>
        </w:tc>
        <w:tc>
          <w:tcPr>
            <w:tcW w:w="2487" w:type="pct"/>
          </w:tcPr>
          <w:p w14:paraId="6D242AB6" w14:textId="77777777" w:rsidR="007873A7" w:rsidRPr="001C548F" w:rsidRDefault="007873A7" w:rsidP="00525BE0">
            <w:pPr>
              <w:jc w:val="both"/>
              <w:rPr>
                <w:sz w:val="20"/>
                <w:szCs w:val="20"/>
              </w:rPr>
            </w:pPr>
            <w:r w:rsidRPr="001C548F">
              <w:rPr>
                <w:sz w:val="20"/>
                <w:szCs w:val="20"/>
              </w:rPr>
              <w:t>Sharing of knowledge that can improve care quality or attitudes and behaviours which can improve culture</w:t>
            </w:r>
          </w:p>
        </w:tc>
      </w:tr>
      <w:tr w:rsidR="007873A7" w:rsidRPr="001C548F" w14:paraId="2F927B5F" w14:textId="77777777" w:rsidTr="007873A7">
        <w:trPr>
          <w:trHeight w:val="828"/>
        </w:trPr>
        <w:tc>
          <w:tcPr>
            <w:tcW w:w="1211" w:type="pct"/>
            <w:vMerge w:val="restart"/>
          </w:tcPr>
          <w:p w14:paraId="287ADDAE" w14:textId="77777777" w:rsidR="007873A7" w:rsidRPr="001C548F" w:rsidRDefault="007873A7" w:rsidP="00525BE0">
            <w:pPr>
              <w:jc w:val="both"/>
              <w:rPr>
                <w:sz w:val="20"/>
                <w:szCs w:val="20"/>
              </w:rPr>
            </w:pPr>
            <w:r w:rsidRPr="001C548F">
              <w:rPr>
                <w:sz w:val="20"/>
                <w:szCs w:val="20"/>
              </w:rPr>
              <w:t>Technological Effectiveness</w:t>
            </w:r>
          </w:p>
        </w:tc>
        <w:tc>
          <w:tcPr>
            <w:tcW w:w="1302" w:type="pct"/>
          </w:tcPr>
          <w:p w14:paraId="0C972618" w14:textId="77777777" w:rsidR="007873A7" w:rsidRPr="001C548F" w:rsidRDefault="007873A7" w:rsidP="00525BE0">
            <w:pPr>
              <w:jc w:val="both"/>
              <w:rPr>
                <w:sz w:val="20"/>
                <w:szCs w:val="20"/>
              </w:rPr>
            </w:pPr>
            <w:r w:rsidRPr="001C548F">
              <w:rPr>
                <w:sz w:val="20"/>
                <w:szCs w:val="20"/>
              </w:rPr>
              <w:t>Ability to implement cross-organisational clinical pathways</w:t>
            </w:r>
          </w:p>
        </w:tc>
        <w:tc>
          <w:tcPr>
            <w:tcW w:w="2487" w:type="pct"/>
          </w:tcPr>
          <w:p w14:paraId="1D9D1DF1" w14:textId="77777777" w:rsidR="007873A7" w:rsidRPr="001C548F" w:rsidRDefault="007873A7" w:rsidP="00525BE0">
            <w:pPr>
              <w:jc w:val="both"/>
              <w:rPr>
                <w:sz w:val="20"/>
                <w:szCs w:val="20"/>
              </w:rPr>
            </w:pPr>
            <w:r w:rsidRPr="001C548F">
              <w:rPr>
                <w:sz w:val="20"/>
                <w:szCs w:val="20"/>
              </w:rPr>
              <w:t>Ability to work better with other organisations allows for improvements to clinical pathways for patients</w:t>
            </w:r>
          </w:p>
        </w:tc>
      </w:tr>
      <w:tr w:rsidR="007873A7" w:rsidRPr="001C548F" w14:paraId="4AFEFE9E" w14:textId="77777777" w:rsidTr="007873A7">
        <w:trPr>
          <w:trHeight w:val="840"/>
        </w:trPr>
        <w:tc>
          <w:tcPr>
            <w:tcW w:w="1211" w:type="pct"/>
            <w:vMerge/>
          </w:tcPr>
          <w:p w14:paraId="2193B6AB" w14:textId="77777777" w:rsidR="007873A7" w:rsidRPr="001C548F" w:rsidRDefault="007873A7" w:rsidP="00525BE0">
            <w:pPr>
              <w:jc w:val="both"/>
              <w:rPr>
                <w:sz w:val="20"/>
                <w:szCs w:val="20"/>
              </w:rPr>
            </w:pPr>
          </w:p>
        </w:tc>
        <w:tc>
          <w:tcPr>
            <w:tcW w:w="1302" w:type="pct"/>
          </w:tcPr>
          <w:p w14:paraId="3AD378B7" w14:textId="77777777" w:rsidR="007873A7" w:rsidRPr="001C548F" w:rsidRDefault="007873A7" w:rsidP="00525BE0">
            <w:pPr>
              <w:jc w:val="both"/>
              <w:rPr>
                <w:sz w:val="20"/>
                <w:szCs w:val="20"/>
              </w:rPr>
            </w:pPr>
            <w:r w:rsidRPr="001C548F">
              <w:rPr>
                <w:sz w:val="20"/>
                <w:szCs w:val="20"/>
              </w:rPr>
              <w:t>Ability to access novel clinical technologies and expertise</w:t>
            </w:r>
          </w:p>
        </w:tc>
        <w:tc>
          <w:tcPr>
            <w:tcW w:w="2487" w:type="pct"/>
          </w:tcPr>
          <w:p w14:paraId="5DCADFF7" w14:textId="77777777" w:rsidR="007873A7" w:rsidRPr="001C548F" w:rsidRDefault="007873A7" w:rsidP="00525BE0">
            <w:pPr>
              <w:jc w:val="both"/>
              <w:rPr>
                <w:sz w:val="20"/>
                <w:szCs w:val="20"/>
              </w:rPr>
            </w:pPr>
            <w:r w:rsidRPr="001C548F">
              <w:rPr>
                <w:sz w:val="20"/>
                <w:szCs w:val="20"/>
              </w:rPr>
              <w:t>Ability to access greater resource which can enable innovation</w:t>
            </w:r>
          </w:p>
        </w:tc>
      </w:tr>
      <w:tr w:rsidR="007873A7" w:rsidRPr="001C548F" w14:paraId="53F5BEDC" w14:textId="77777777" w:rsidTr="007873A7">
        <w:trPr>
          <w:trHeight w:val="696"/>
        </w:trPr>
        <w:tc>
          <w:tcPr>
            <w:tcW w:w="1211" w:type="pct"/>
            <w:vMerge/>
          </w:tcPr>
          <w:p w14:paraId="337ABEDA" w14:textId="77777777" w:rsidR="007873A7" w:rsidRPr="001C548F" w:rsidRDefault="007873A7" w:rsidP="00525BE0">
            <w:pPr>
              <w:jc w:val="both"/>
              <w:rPr>
                <w:sz w:val="20"/>
                <w:szCs w:val="20"/>
              </w:rPr>
            </w:pPr>
          </w:p>
        </w:tc>
        <w:tc>
          <w:tcPr>
            <w:tcW w:w="1302" w:type="pct"/>
          </w:tcPr>
          <w:p w14:paraId="06F887AB" w14:textId="77777777" w:rsidR="007873A7" w:rsidRPr="001C548F" w:rsidRDefault="007873A7" w:rsidP="00525BE0">
            <w:pPr>
              <w:jc w:val="both"/>
              <w:rPr>
                <w:sz w:val="20"/>
                <w:szCs w:val="20"/>
              </w:rPr>
            </w:pPr>
            <w:r w:rsidRPr="001C548F">
              <w:rPr>
                <w:sz w:val="20"/>
                <w:szCs w:val="20"/>
              </w:rPr>
              <w:t>Improved economies of scale</w:t>
            </w:r>
          </w:p>
        </w:tc>
        <w:tc>
          <w:tcPr>
            <w:tcW w:w="2487" w:type="pct"/>
          </w:tcPr>
          <w:p w14:paraId="07794FC4" w14:textId="77777777" w:rsidR="007873A7" w:rsidRPr="001C548F" w:rsidRDefault="007873A7" w:rsidP="00525BE0">
            <w:pPr>
              <w:jc w:val="both"/>
              <w:rPr>
                <w:sz w:val="20"/>
                <w:szCs w:val="20"/>
              </w:rPr>
            </w:pPr>
            <w:r w:rsidRPr="001C548F">
              <w:rPr>
                <w:sz w:val="20"/>
                <w:szCs w:val="20"/>
              </w:rPr>
              <w:t>Enablement of greater purchasing power and attainment of better pricing and recruitment to the workforce</w:t>
            </w:r>
          </w:p>
        </w:tc>
      </w:tr>
      <w:tr w:rsidR="007873A7" w:rsidRPr="001C548F" w14:paraId="1017252D" w14:textId="77777777" w:rsidTr="007873A7">
        <w:trPr>
          <w:trHeight w:val="422"/>
        </w:trPr>
        <w:tc>
          <w:tcPr>
            <w:tcW w:w="1211" w:type="pct"/>
            <w:vMerge w:val="restart"/>
          </w:tcPr>
          <w:p w14:paraId="15A7E1A8" w14:textId="77777777" w:rsidR="007873A7" w:rsidRPr="001C548F" w:rsidRDefault="007873A7" w:rsidP="00525BE0">
            <w:pPr>
              <w:jc w:val="both"/>
              <w:rPr>
                <w:sz w:val="20"/>
                <w:szCs w:val="20"/>
              </w:rPr>
            </w:pPr>
            <w:r w:rsidRPr="001C548F">
              <w:rPr>
                <w:sz w:val="20"/>
                <w:szCs w:val="20"/>
              </w:rPr>
              <w:t>Organisational Efficiency</w:t>
            </w:r>
          </w:p>
        </w:tc>
        <w:tc>
          <w:tcPr>
            <w:tcW w:w="1302" w:type="pct"/>
          </w:tcPr>
          <w:p w14:paraId="64889470" w14:textId="77777777" w:rsidR="007873A7" w:rsidRPr="001C548F" w:rsidRDefault="007873A7" w:rsidP="00525BE0">
            <w:pPr>
              <w:jc w:val="both"/>
              <w:rPr>
                <w:sz w:val="20"/>
                <w:szCs w:val="20"/>
              </w:rPr>
            </w:pPr>
            <w:r w:rsidRPr="001C548F">
              <w:rPr>
                <w:sz w:val="20"/>
                <w:szCs w:val="20"/>
              </w:rPr>
              <w:t>Improved resource access</w:t>
            </w:r>
          </w:p>
        </w:tc>
        <w:tc>
          <w:tcPr>
            <w:tcW w:w="2487" w:type="pct"/>
          </w:tcPr>
          <w:p w14:paraId="66B3858B" w14:textId="77777777" w:rsidR="007873A7" w:rsidRPr="001C548F" w:rsidRDefault="007873A7" w:rsidP="00525BE0">
            <w:pPr>
              <w:jc w:val="both"/>
              <w:rPr>
                <w:sz w:val="20"/>
                <w:szCs w:val="20"/>
              </w:rPr>
            </w:pPr>
            <w:r w:rsidRPr="001C548F">
              <w:rPr>
                <w:sz w:val="20"/>
                <w:szCs w:val="20"/>
              </w:rPr>
              <w:t>Ability to access greater resource</w:t>
            </w:r>
          </w:p>
        </w:tc>
      </w:tr>
      <w:tr w:rsidR="007873A7" w:rsidRPr="001C548F" w14:paraId="3CDF3741" w14:textId="77777777" w:rsidTr="007873A7">
        <w:trPr>
          <w:trHeight w:val="570"/>
        </w:trPr>
        <w:tc>
          <w:tcPr>
            <w:tcW w:w="1211" w:type="pct"/>
            <w:vMerge/>
          </w:tcPr>
          <w:p w14:paraId="62F9F69A" w14:textId="77777777" w:rsidR="007873A7" w:rsidRPr="001C548F" w:rsidRDefault="007873A7" w:rsidP="00525BE0">
            <w:pPr>
              <w:jc w:val="both"/>
              <w:rPr>
                <w:sz w:val="20"/>
                <w:szCs w:val="20"/>
              </w:rPr>
            </w:pPr>
          </w:p>
        </w:tc>
        <w:tc>
          <w:tcPr>
            <w:tcW w:w="1302" w:type="pct"/>
          </w:tcPr>
          <w:p w14:paraId="2A76682F" w14:textId="77777777" w:rsidR="007873A7" w:rsidRPr="001C548F" w:rsidRDefault="007873A7" w:rsidP="00525BE0">
            <w:pPr>
              <w:jc w:val="both"/>
              <w:rPr>
                <w:sz w:val="20"/>
                <w:szCs w:val="20"/>
              </w:rPr>
            </w:pPr>
            <w:r w:rsidRPr="001C548F">
              <w:rPr>
                <w:sz w:val="20"/>
                <w:szCs w:val="20"/>
              </w:rPr>
              <w:t xml:space="preserve">Improved </w:t>
            </w:r>
            <w:r>
              <w:rPr>
                <w:sz w:val="20"/>
                <w:szCs w:val="20"/>
              </w:rPr>
              <w:t>influence in local health economy</w:t>
            </w:r>
          </w:p>
        </w:tc>
        <w:tc>
          <w:tcPr>
            <w:tcW w:w="2487" w:type="pct"/>
          </w:tcPr>
          <w:p w14:paraId="1B879EAE" w14:textId="77777777" w:rsidR="007873A7" w:rsidRPr="001C548F" w:rsidRDefault="007873A7" w:rsidP="00525BE0">
            <w:pPr>
              <w:jc w:val="both"/>
              <w:rPr>
                <w:sz w:val="20"/>
                <w:szCs w:val="20"/>
              </w:rPr>
            </w:pPr>
            <w:r w:rsidRPr="001C548F">
              <w:rPr>
                <w:sz w:val="20"/>
                <w:szCs w:val="20"/>
              </w:rPr>
              <w:t xml:space="preserve">Ability to affect the local and wider </w:t>
            </w:r>
            <w:r>
              <w:rPr>
                <w:sz w:val="20"/>
                <w:szCs w:val="20"/>
              </w:rPr>
              <w:t>health economy</w:t>
            </w:r>
            <w:r w:rsidRPr="001C548F">
              <w:rPr>
                <w:sz w:val="20"/>
                <w:szCs w:val="20"/>
              </w:rPr>
              <w:t>, increase patient volume and more skilled workforce</w:t>
            </w:r>
          </w:p>
        </w:tc>
      </w:tr>
      <w:tr w:rsidR="007873A7" w:rsidRPr="001C548F" w14:paraId="3219396A" w14:textId="77777777" w:rsidTr="007873A7">
        <w:trPr>
          <w:trHeight w:val="834"/>
        </w:trPr>
        <w:tc>
          <w:tcPr>
            <w:tcW w:w="1211" w:type="pct"/>
            <w:vMerge/>
          </w:tcPr>
          <w:p w14:paraId="5A577B60" w14:textId="77777777" w:rsidR="007873A7" w:rsidRPr="001C548F" w:rsidRDefault="007873A7" w:rsidP="00525BE0">
            <w:pPr>
              <w:jc w:val="both"/>
              <w:rPr>
                <w:sz w:val="20"/>
                <w:szCs w:val="20"/>
              </w:rPr>
            </w:pPr>
          </w:p>
        </w:tc>
        <w:tc>
          <w:tcPr>
            <w:tcW w:w="1302" w:type="pct"/>
          </w:tcPr>
          <w:p w14:paraId="6924E5A5" w14:textId="77777777" w:rsidR="007873A7" w:rsidRPr="001C548F" w:rsidRDefault="007873A7" w:rsidP="00525BE0">
            <w:pPr>
              <w:jc w:val="both"/>
              <w:rPr>
                <w:sz w:val="20"/>
                <w:szCs w:val="20"/>
              </w:rPr>
            </w:pPr>
            <w:r w:rsidRPr="001C548F">
              <w:rPr>
                <w:sz w:val="20"/>
                <w:szCs w:val="20"/>
              </w:rPr>
              <w:t>Improved coordination</w:t>
            </w:r>
          </w:p>
        </w:tc>
        <w:tc>
          <w:tcPr>
            <w:tcW w:w="2487" w:type="pct"/>
          </w:tcPr>
          <w:p w14:paraId="478AC7A1" w14:textId="77777777" w:rsidR="007873A7" w:rsidRPr="001C548F" w:rsidRDefault="007873A7" w:rsidP="00525BE0">
            <w:pPr>
              <w:jc w:val="both"/>
              <w:rPr>
                <w:sz w:val="20"/>
                <w:szCs w:val="20"/>
              </w:rPr>
            </w:pPr>
            <w:r w:rsidRPr="001C548F">
              <w:rPr>
                <w:sz w:val="20"/>
                <w:szCs w:val="20"/>
              </w:rPr>
              <w:t>Building upon an enhanced awareness of the local system, improved coordination enables collaborators to work together on various endeavours</w:t>
            </w:r>
          </w:p>
        </w:tc>
      </w:tr>
      <w:tr w:rsidR="007873A7" w:rsidRPr="001C548F" w14:paraId="4874F09B" w14:textId="77777777" w:rsidTr="007873A7">
        <w:trPr>
          <w:trHeight w:val="690"/>
        </w:trPr>
        <w:tc>
          <w:tcPr>
            <w:tcW w:w="1211" w:type="pct"/>
            <w:vMerge/>
          </w:tcPr>
          <w:p w14:paraId="0CBC6DC1" w14:textId="77777777" w:rsidR="007873A7" w:rsidRPr="001C548F" w:rsidRDefault="007873A7" w:rsidP="00525BE0">
            <w:pPr>
              <w:jc w:val="both"/>
              <w:rPr>
                <w:sz w:val="20"/>
                <w:szCs w:val="20"/>
              </w:rPr>
            </w:pPr>
          </w:p>
        </w:tc>
        <w:tc>
          <w:tcPr>
            <w:tcW w:w="1302" w:type="pct"/>
          </w:tcPr>
          <w:p w14:paraId="33CB3B36" w14:textId="77777777" w:rsidR="007873A7" w:rsidRPr="001C548F" w:rsidRDefault="007873A7" w:rsidP="00525BE0">
            <w:pPr>
              <w:jc w:val="both"/>
              <w:rPr>
                <w:sz w:val="20"/>
                <w:szCs w:val="20"/>
              </w:rPr>
            </w:pPr>
            <w:r w:rsidRPr="001C548F">
              <w:rPr>
                <w:sz w:val="20"/>
                <w:szCs w:val="20"/>
              </w:rPr>
              <w:t>Reduced duplication of effort</w:t>
            </w:r>
          </w:p>
        </w:tc>
        <w:tc>
          <w:tcPr>
            <w:tcW w:w="2487" w:type="pct"/>
          </w:tcPr>
          <w:p w14:paraId="16AB6601" w14:textId="77777777" w:rsidR="007873A7" w:rsidRPr="001C548F" w:rsidRDefault="007873A7" w:rsidP="00525BE0">
            <w:pPr>
              <w:jc w:val="both"/>
              <w:rPr>
                <w:sz w:val="20"/>
                <w:szCs w:val="20"/>
              </w:rPr>
            </w:pPr>
            <w:r w:rsidRPr="001C548F">
              <w:rPr>
                <w:sz w:val="20"/>
                <w:szCs w:val="20"/>
              </w:rPr>
              <w:t>Greater awareness of system and coordination allows duplicated efforts to be prevented</w:t>
            </w:r>
          </w:p>
        </w:tc>
      </w:tr>
      <w:tr w:rsidR="007873A7" w:rsidRPr="001C548F" w14:paraId="66EF8465" w14:textId="77777777" w:rsidTr="007873A7">
        <w:trPr>
          <w:trHeight w:val="701"/>
        </w:trPr>
        <w:tc>
          <w:tcPr>
            <w:tcW w:w="1211" w:type="pct"/>
            <w:vMerge/>
          </w:tcPr>
          <w:p w14:paraId="493F45A5" w14:textId="77777777" w:rsidR="007873A7" w:rsidRPr="001C548F" w:rsidRDefault="007873A7" w:rsidP="00525BE0">
            <w:pPr>
              <w:jc w:val="both"/>
              <w:rPr>
                <w:sz w:val="20"/>
                <w:szCs w:val="20"/>
              </w:rPr>
            </w:pPr>
          </w:p>
        </w:tc>
        <w:tc>
          <w:tcPr>
            <w:tcW w:w="1302" w:type="pct"/>
          </w:tcPr>
          <w:p w14:paraId="1B5FB4E4" w14:textId="77777777" w:rsidR="007873A7" w:rsidRPr="001C548F" w:rsidRDefault="007873A7" w:rsidP="00525BE0">
            <w:pPr>
              <w:jc w:val="both"/>
              <w:rPr>
                <w:sz w:val="20"/>
                <w:szCs w:val="20"/>
              </w:rPr>
            </w:pPr>
            <w:r w:rsidRPr="001C548F">
              <w:rPr>
                <w:sz w:val="20"/>
                <w:szCs w:val="20"/>
              </w:rPr>
              <w:t>Improved resource distribution</w:t>
            </w:r>
          </w:p>
        </w:tc>
        <w:tc>
          <w:tcPr>
            <w:tcW w:w="2487" w:type="pct"/>
          </w:tcPr>
          <w:p w14:paraId="41AB6286" w14:textId="77777777" w:rsidR="007873A7" w:rsidRPr="001C548F" w:rsidRDefault="007873A7" w:rsidP="00525BE0">
            <w:pPr>
              <w:jc w:val="both"/>
              <w:rPr>
                <w:sz w:val="20"/>
                <w:szCs w:val="20"/>
              </w:rPr>
            </w:pPr>
            <w:r w:rsidRPr="001C548F">
              <w:rPr>
                <w:sz w:val="20"/>
                <w:szCs w:val="20"/>
              </w:rPr>
              <w:t>Greater coordination allows for resources within a health system to be reallocated towards areas of greater need</w:t>
            </w:r>
          </w:p>
        </w:tc>
      </w:tr>
      <w:tr w:rsidR="007873A7" w:rsidRPr="001C548F" w14:paraId="686200FC" w14:textId="77777777" w:rsidTr="007873A7">
        <w:trPr>
          <w:trHeight w:val="838"/>
        </w:trPr>
        <w:tc>
          <w:tcPr>
            <w:tcW w:w="1211" w:type="pct"/>
            <w:vMerge/>
          </w:tcPr>
          <w:p w14:paraId="0DB70F1B" w14:textId="77777777" w:rsidR="007873A7" w:rsidRPr="001C548F" w:rsidRDefault="007873A7" w:rsidP="00525BE0">
            <w:pPr>
              <w:jc w:val="both"/>
              <w:rPr>
                <w:sz w:val="20"/>
                <w:szCs w:val="20"/>
              </w:rPr>
            </w:pPr>
          </w:p>
        </w:tc>
        <w:tc>
          <w:tcPr>
            <w:tcW w:w="1302" w:type="pct"/>
          </w:tcPr>
          <w:p w14:paraId="42CB2E50" w14:textId="77777777" w:rsidR="007873A7" w:rsidRPr="001C548F" w:rsidRDefault="007873A7" w:rsidP="00525BE0">
            <w:pPr>
              <w:jc w:val="both"/>
              <w:rPr>
                <w:sz w:val="20"/>
                <w:szCs w:val="20"/>
              </w:rPr>
            </w:pPr>
            <w:r w:rsidRPr="001C548F">
              <w:rPr>
                <w:sz w:val="20"/>
                <w:szCs w:val="20"/>
              </w:rPr>
              <w:t xml:space="preserve">Consolidation of services to most </w:t>
            </w:r>
            <w:r>
              <w:rPr>
                <w:sz w:val="20"/>
                <w:szCs w:val="20"/>
              </w:rPr>
              <w:t>clinically appropriate</w:t>
            </w:r>
            <w:r w:rsidRPr="001C548F">
              <w:rPr>
                <w:sz w:val="20"/>
                <w:szCs w:val="20"/>
              </w:rPr>
              <w:t xml:space="preserve"> provider</w:t>
            </w:r>
          </w:p>
        </w:tc>
        <w:tc>
          <w:tcPr>
            <w:tcW w:w="2487" w:type="pct"/>
          </w:tcPr>
          <w:p w14:paraId="07BC930D" w14:textId="77777777" w:rsidR="007873A7" w:rsidRPr="001C548F" w:rsidRDefault="007873A7" w:rsidP="00525BE0">
            <w:pPr>
              <w:jc w:val="both"/>
              <w:rPr>
                <w:sz w:val="20"/>
                <w:szCs w:val="20"/>
              </w:rPr>
            </w:pPr>
            <w:r w:rsidRPr="001C548F">
              <w:rPr>
                <w:sz w:val="20"/>
                <w:szCs w:val="20"/>
              </w:rPr>
              <w:t>Allows those in the collaboration to stop delivering certain services and for those services to be delivered where they are delivered at highest quality</w:t>
            </w:r>
          </w:p>
        </w:tc>
      </w:tr>
      <w:tr w:rsidR="007873A7" w:rsidRPr="001C548F" w14:paraId="1B277931" w14:textId="77777777" w:rsidTr="007873A7">
        <w:trPr>
          <w:trHeight w:val="566"/>
        </w:trPr>
        <w:tc>
          <w:tcPr>
            <w:tcW w:w="1211" w:type="pct"/>
            <w:vMerge/>
          </w:tcPr>
          <w:p w14:paraId="12CCA448" w14:textId="77777777" w:rsidR="007873A7" w:rsidRPr="001C548F" w:rsidRDefault="007873A7" w:rsidP="00525BE0">
            <w:pPr>
              <w:jc w:val="both"/>
              <w:rPr>
                <w:sz w:val="20"/>
                <w:szCs w:val="20"/>
              </w:rPr>
            </w:pPr>
          </w:p>
        </w:tc>
        <w:tc>
          <w:tcPr>
            <w:tcW w:w="1302" w:type="pct"/>
          </w:tcPr>
          <w:p w14:paraId="4FC724BD" w14:textId="77777777" w:rsidR="007873A7" w:rsidRPr="001C548F" w:rsidRDefault="007873A7" w:rsidP="00525BE0">
            <w:pPr>
              <w:jc w:val="both"/>
              <w:rPr>
                <w:sz w:val="20"/>
                <w:szCs w:val="20"/>
              </w:rPr>
            </w:pPr>
            <w:r w:rsidRPr="001C548F">
              <w:rPr>
                <w:sz w:val="20"/>
                <w:szCs w:val="20"/>
              </w:rPr>
              <w:t>Improved coverage of patients</w:t>
            </w:r>
          </w:p>
        </w:tc>
        <w:tc>
          <w:tcPr>
            <w:tcW w:w="2487" w:type="pct"/>
          </w:tcPr>
          <w:p w14:paraId="25D9448C" w14:textId="77777777" w:rsidR="007873A7" w:rsidRPr="001C548F" w:rsidRDefault="007873A7" w:rsidP="00525BE0">
            <w:pPr>
              <w:jc w:val="both"/>
              <w:rPr>
                <w:sz w:val="20"/>
                <w:szCs w:val="20"/>
              </w:rPr>
            </w:pPr>
            <w:r w:rsidRPr="001C548F">
              <w:rPr>
                <w:sz w:val="20"/>
                <w:szCs w:val="20"/>
              </w:rPr>
              <w:t>Collaboration enables coordination to identify and serve previously missed patients</w:t>
            </w:r>
          </w:p>
        </w:tc>
      </w:tr>
      <w:tr w:rsidR="007873A7" w:rsidRPr="001C548F" w14:paraId="0F6CC875" w14:textId="77777777" w:rsidTr="007873A7">
        <w:trPr>
          <w:trHeight w:val="1042"/>
        </w:trPr>
        <w:tc>
          <w:tcPr>
            <w:tcW w:w="1211" w:type="pct"/>
            <w:vMerge/>
          </w:tcPr>
          <w:p w14:paraId="54610778" w14:textId="77777777" w:rsidR="007873A7" w:rsidRPr="001C548F" w:rsidRDefault="007873A7" w:rsidP="00525BE0">
            <w:pPr>
              <w:jc w:val="both"/>
              <w:rPr>
                <w:sz w:val="20"/>
                <w:szCs w:val="20"/>
              </w:rPr>
            </w:pPr>
          </w:p>
        </w:tc>
        <w:tc>
          <w:tcPr>
            <w:tcW w:w="1302" w:type="pct"/>
          </w:tcPr>
          <w:p w14:paraId="2968690D" w14:textId="77777777" w:rsidR="007873A7" w:rsidRPr="001C548F" w:rsidRDefault="007873A7" w:rsidP="00525BE0">
            <w:pPr>
              <w:jc w:val="both"/>
              <w:rPr>
                <w:sz w:val="20"/>
                <w:szCs w:val="20"/>
              </w:rPr>
            </w:pPr>
            <w:r w:rsidRPr="001C548F">
              <w:rPr>
                <w:sz w:val="20"/>
                <w:szCs w:val="20"/>
              </w:rPr>
              <w:t>Loss of geographical proximity</w:t>
            </w:r>
          </w:p>
        </w:tc>
        <w:tc>
          <w:tcPr>
            <w:tcW w:w="2487" w:type="pct"/>
          </w:tcPr>
          <w:p w14:paraId="2592E520" w14:textId="77777777" w:rsidR="007873A7" w:rsidRPr="001C548F" w:rsidRDefault="007873A7" w:rsidP="00525BE0">
            <w:pPr>
              <w:jc w:val="both"/>
              <w:rPr>
                <w:sz w:val="20"/>
                <w:szCs w:val="20"/>
              </w:rPr>
            </w:pPr>
            <w:r w:rsidRPr="001C548F">
              <w:rPr>
                <w:sz w:val="20"/>
                <w:szCs w:val="20"/>
              </w:rPr>
              <w:t>An unintended mechanism of collaboration and consolidation, whereby patient access to services can be reduced due to geographical distance</w:t>
            </w:r>
          </w:p>
        </w:tc>
      </w:tr>
    </w:tbl>
    <w:p w14:paraId="1A30CE02" w14:textId="77777777" w:rsidR="007873A7" w:rsidRPr="008B35B2" w:rsidRDefault="007873A7" w:rsidP="00525BE0">
      <w:pPr>
        <w:jc w:val="both"/>
      </w:pPr>
    </w:p>
    <w:p w14:paraId="5D5BF4D9" w14:textId="77777777" w:rsidR="007873A7" w:rsidRPr="003D71B1" w:rsidRDefault="007873A7" w:rsidP="00525BE0">
      <w:pPr>
        <w:pStyle w:val="Heading3"/>
        <w:jc w:val="both"/>
      </w:pPr>
      <w:bookmarkStart w:id="135" w:name="_Toc85066474"/>
      <w:r>
        <w:t xml:space="preserve">Long-term </w:t>
      </w:r>
      <w:r w:rsidRPr="003D71B1">
        <w:t>outcomes</w:t>
      </w:r>
      <w:bookmarkEnd w:id="135"/>
    </w:p>
    <w:p w14:paraId="2BCD05AB" w14:textId="19F1DEDC" w:rsidR="007873A7" w:rsidRDefault="001C210D" w:rsidP="00525BE0">
      <w:pPr>
        <w:pStyle w:val="Quote"/>
        <w:jc w:val="both"/>
        <w:rPr>
          <w:i w:val="0"/>
          <w:iCs w:val="0"/>
        </w:rPr>
      </w:pPr>
      <w:r>
        <w:rPr>
          <w:i w:val="0"/>
          <w:iCs w:val="0"/>
        </w:rPr>
        <w:t xml:space="preserve">Connections were made by the interviewees between </w:t>
      </w:r>
      <w:r w:rsidRPr="005B3F37">
        <w:rPr>
          <w:i w:val="0"/>
          <w:iCs w:val="0"/>
        </w:rPr>
        <w:t>the</w:t>
      </w:r>
      <w:r w:rsidR="007873A7" w:rsidRPr="005B3F37">
        <w:rPr>
          <w:i w:val="0"/>
          <w:iCs w:val="0"/>
        </w:rPr>
        <w:t xml:space="preserve"> mechanisms underlying collaborative performance </w:t>
      </w:r>
      <w:r>
        <w:rPr>
          <w:i w:val="0"/>
          <w:iCs w:val="0"/>
        </w:rPr>
        <w:t>and</w:t>
      </w:r>
      <w:r w:rsidR="007873A7" w:rsidRPr="005B3F37">
        <w:rPr>
          <w:i w:val="0"/>
          <w:iCs w:val="0"/>
        </w:rPr>
        <w:t xml:space="preserve"> the endpoints of improvements sought from collaborations. </w:t>
      </w:r>
      <w:r>
        <w:rPr>
          <w:i w:val="0"/>
          <w:iCs w:val="0"/>
        </w:rPr>
        <w:t>O</w:t>
      </w:r>
      <w:r w:rsidR="007873A7" w:rsidRPr="005B3F37">
        <w:rPr>
          <w:i w:val="0"/>
          <w:iCs w:val="0"/>
        </w:rPr>
        <w:t>utcomes arising from collaboration were particularly important</w:t>
      </w:r>
      <w:r>
        <w:rPr>
          <w:i w:val="0"/>
          <w:iCs w:val="0"/>
        </w:rPr>
        <w:t>:</w:t>
      </w:r>
    </w:p>
    <w:p w14:paraId="735F4CFB" w14:textId="77777777" w:rsidR="007873A7" w:rsidRDefault="007873A7" w:rsidP="00525BE0">
      <w:pPr>
        <w:pStyle w:val="Quote"/>
        <w:ind w:left="720"/>
        <w:jc w:val="both"/>
        <w:rPr>
          <w:i w:val="0"/>
          <w:iCs w:val="0"/>
        </w:rPr>
      </w:pPr>
      <w:r w:rsidRPr="005B3F37">
        <w:rPr>
          <w:i w:val="0"/>
          <w:iCs w:val="0"/>
        </w:rPr>
        <w:t>“</w:t>
      </w:r>
      <w:r w:rsidRPr="00762F58">
        <w:t>…so for me the outcomes that are important are patient related outcomes, staff related outcomes, and what I would call efficiency related outcomes</w:t>
      </w:r>
      <w:r w:rsidRPr="005B3F37">
        <w:rPr>
          <w:i w:val="0"/>
          <w:iCs w:val="0"/>
        </w:rPr>
        <w:t xml:space="preserve">” (03; Director of improvement; Hospital Group 2). </w:t>
      </w:r>
    </w:p>
    <w:p w14:paraId="2A192D8D" w14:textId="7FF07BA9" w:rsidR="007873A7" w:rsidRPr="00F75E64" w:rsidRDefault="001C210D" w:rsidP="00525BE0">
      <w:pPr>
        <w:pStyle w:val="Quote"/>
        <w:jc w:val="both"/>
        <w:rPr>
          <w:i w:val="0"/>
          <w:iCs w:val="0"/>
        </w:rPr>
      </w:pPr>
      <w:r>
        <w:rPr>
          <w:i w:val="0"/>
          <w:iCs w:val="0"/>
        </w:rPr>
        <w:t>A</w:t>
      </w:r>
      <w:r w:rsidR="007873A7" w:rsidRPr="00F75E64">
        <w:rPr>
          <w:i w:val="0"/>
          <w:iCs w:val="0"/>
        </w:rPr>
        <w:t xml:space="preserve"> focus on improving population health as a desired outcome was particularly pronounced within accounts regarding </w:t>
      </w:r>
      <w:r>
        <w:rPr>
          <w:i w:val="0"/>
          <w:iCs w:val="0"/>
        </w:rPr>
        <w:t>the</w:t>
      </w:r>
      <w:r w:rsidR="007873A7" w:rsidRPr="00F75E64">
        <w:rPr>
          <w:i w:val="0"/>
          <w:iCs w:val="0"/>
        </w:rPr>
        <w:t xml:space="preserve"> driv</w:t>
      </w:r>
      <w:r>
        <w:rPr>
          <w:i w:val="0"/>
          <w:iCs w:val="0"/>
        </w:rPr>
        <w:t xml:space="preserve">ers of </w:t>
      </w:r>
      <w:r w:rsidR="007873A7" w:rsidRPr="00F75E64">
        <w:rPr>
          <w:i w:val="0"/>
          <w:iCs w:val="0"/>
        </w:rPr>
        <w:t>current collaborative activity. A range of contributions set out visions and goals to</w:t>
      </w:r>
      <w:r w:rsidR="007873A7" w:rsidRPr="00F75E64">
        <w:t xml:space="preserve"> “bring together partners with a focus on health inequalities, deprivation, economic improvement and promote health and wellbeing as a shared purpose…” (17; CEO; Alliance 2). </w:t>
      </w:r>
      <w:r w:rsidR="007873A7" w:rsidRPr="00F75E64">
        <w:rPr>
          <w:i w:val="0"/>
          <w:iCs w:val="0"/>
        </w:rPr>
        <w:t>The focus on population health and reducing health inequalities was connected to the current ICS agenda as a driver for collaborative performance:</w:t>
      </w:r>
    </w:p>
    <w:p w14:paraId="22F53126" w14:textId="77777777" w:rsidR="007873A7" w:rsidRPr="003D71B1" w:rsidRDefault="007873A7" w:rsidP="00525BE0">
      <w:pPr>
        <w:pStyle w:val="Quote"/>
        <w:ind w:left="720"/>
        <w:jc w:val="both"/>
      </w:pPr>
      <w:r>
        <w:t>“</w:t>
      </w:r>
      <w:r w:rsidRPr="003E5DCD">
        <w:t>if you look at what affects people’s health, it is have they got somewhere to live, have they got something to do, have they got someone to love?  And, the economic recovery plans are going to be driven by city regions, getting to the heart of some of that issue, so who is going to have jobs, which sector has got jobs?  We have, the care sector. Who is going to have jobs?  We are. What about our supply chain?  Well, the fact we can’t get PPE reliably means we should make it ourselves locally.  …  So, let’s put that together.  And, then at the innovative end of the scale, this city region has 22% health-maintained jobs anyway, which has gone through a digital revolution.  We have got the conditions locally to make that a reality, so let’s make it a reality.  So, there is a really – and, then the other bit for us is the green agenda</w:t>
      </w:r>
      <w:r>
        <w:t xml:space="preserve"> </w:t>
      </w:r>
      <w:r w:rsidRPr="003E5DCD">
        <w:t>(</w:t>
      </w:r>
      <w:r w:rsidRPr="00DC154D">
        <w:rPr>
          <w:color w:val="000000" w:themeColor="text1"/>
        </w:rPr>
        <w:t>13; CEO; ICS 1</w:t>
      </w:r>
      <w:r w:rsidRPr="003E5DCD">
        <w:t>)</w:t>
      </w:r>
      <w:r>
        <w:t>.</w:t>
      </w:r>
    </w:p>
    <w:p w14:paraId="336B37C0" w14:textId="6B2B0AD8" w:rsidR="007873A7" w:rsidRDefault="007873A7" w:rsidP="00525BE0">
      <w:pPr>
        <w:pStyle w:val="Quote"/>
        <w:jc w:val="both"/>
        <w:rPr>
          <w:i w:val="0"/>
          <w:iCs w:val="0"/>
        </w:rPr>
      </w:pPr>
      <w:r w:rsidRPr="001A57DB">
        <w:rPr>
          <w:i w:val="0"/>
          <w:iCs w:val="0"/>
        </w:rPr>
        <w:t>The leadership challenge was framed as one of enabling collaboration to</w:t>
      </w:r>
      <w:r>
        <w:rPr>
          <w:i w:val="0"/>
          <w:iCs w:val="0"/>
        </w:rPr>
        <w:t>wards</w:t>
      </w:r>
      <w:r w:rsidRPr="001A57DB">
        <w:rPr>
          <w:i w:val="0"/>
          <w:iCs w:val="0"/>
        </w:rPr>
        <w:t xml:space="preserve"> a greater recognition of social outcomes and social value. It translated into identifying the most vulnerable communities </w:t>
      </w:r>
      <w:r w:rsidR="001C210D">
        <w:rPr>
          <w:i w:val="0"/>
          <w:iCs w:val="0"/>
        </w:rPr>
        <w:t>using</w:t>
      </w:r>
      <w:r w:rsidR="00E17072">
        <w:rPr>
          <w:i w:val="0"/>
          <w:iCs w:val="0"/>
        </w:rPr>
        <w:t xml:space="preserve"> broader measures e.g.</w:t>
      </w:r>
      <w:r w:rsidRPr="001A57DB">
        <w:rPr>
          <w:i w:val="0"/>
          <w:iCs w:val="0"/>
        </w:rPr>
        <w:t xml:space="preserve"> </w:t>
      </w:r>
      <w:r w:rsidR="00E17072">
        <w:rPr>
          <w:i w:val="0"/>
          <w:iCs w:val="0"/>
        </w:rPr>
        <w:t>educational</w:t>
      </w:r>
      <w:r w:rsidRPr="001A57DB">
        <w:rPr>
          <w:i w:val="0"/>
          <w:iCs w:val="0"/>
        </w:rPr>
        <w:t xml:space="preserve"> </w:t>
      </w:r>
      <w:r w:rsidR="00E17072">
        <w:rPr>
          <w:i w:val="0"/>
          <w:iCs w:val="0"/>
        </w:rPr>
        <w:t>attainment</w:t>
      </w:r>
      <w:r w:rsidRPr="001A57DB">
        <w:rPr>
          <w:i w:val="0"/>
          <w:iCs w:val="0"/>
        </w:rPr>
        <w:t xml:space="preserve"> of c</w:t>
      </w:r>
      <w:r w:rsidR="00E17072">
        <w:rPr>
          <w:i w:val="0"/>
          <w:iCs w:val="0"/>
        </w:rPr>
        <w:t>hildren</w:t>
      </w:r>
      <w:r w:rsidR="001C210D">
        <w:rPr>
          <w:i w:val="0"/>
          <w:iCs w:val="0"/>
        </w:rPr>
        <w:t xml:space="preserve">, the uptake of free </w:t>
      </w:r>
      <w:r w:rsidR="00E17072">
        <w:rPr>
          <w:i w:val="0"/>
          <w:iCs w:val="0"/>
        </w:rPr>
        <w:t>school meals</w:t>
      </w:r>
      <w:r w:rsidR="001C210D">
        <w:rPr>
          <w:i w:val="0"/>
          <w:iCs w:val="0"/>
        </w:rPr>
        <w:t>,</w:t>
      </w:r>
      <w:r w:rsidR="00E17072">
        <w:rPr>
          <w:i w:val="0"/>
          <w:iCs w:val="0"/>
        </w:rPr>
        <w:t xml:space="preserve"> </w:t>
      </w:r>
      <w:r w:rsidR="001C210D">
        <w:rPr>
          <w:i w:val="0"/>
          <w:iCs w:val="0"/>
        </w:rPr>
        <w:t xml:space="preserve">or </w:t>
      </w:r>
      <w:r w:rsidRPr="001A57DB">
        <w:rPr>
          <w:i w:val="0"/>
          <w:iCs w:val="0"/>
        </w:rPr>
        <w:t>employment levels. Collaborating with the third sector and faith groups was also identified within such efforts:</w:t>
      </w:r>
    </w:p>
    <w:p w14:paraId="33469C63" w14:textId="77777777" w:rsidR="007873A7" w:rsidRPr="003D71B1" w:rsidRDefault="007873A7" w:rsidP="00525BE0">
      <w:pPr>
        <w:pStyle w:val="Quote"/>
        <w:ind w:left="720"/>
        <w:jc w:val="both"/>
      </w:pPr>
      <w:r w:rsidRPr="001A57DB">
        <w:rPr>
          <w:i w:val="0"/>
          <w:iCs w:val="0"/>
        </w:rPr>
        <w:t xml:space="preserve"> </w:t>
      </w:r>
      <w:r>
        <w:t xml:space="preserve">“… </w:t>
      </w:r>
      <w:r w:rsidRPr="003E5DCD">
        <w:t>so we’ve been doing hypertension clinics in the mosque so working with the faith sectors, starting conversations about going and doing things at the foodbanks.</w:t>
      </w:r>
      <w:r>
        <w:t>”</w:t>
      </w:r>
      <w:r w:rsidRPr="003E5DCD">
        <w:t xml:space="preserve"> (</w:t>
      </w:r>
      <w:r w:rsidRPr="008A6558">
        <w:rPr>
          <w:color w:val="000000" w:themeColor="text1"/>
        </w:rPr>
        <w:t>14; Leader; ICS 2</w:t>
      </w:r>
      <w:r w:rsidRPr="003E5DCD">
        <w:t>)</w:t>
      </w:r>
    </w:p>
    <w:p w14:paraId="36EA616D" w14:textId="6D4BE159" w:rsidR="007873A7" w:rsidRPr="009C55AF" w:rsidRDefault="007873A7" w:rsidP="00525BE0">
      <w:pPr>
        <w:spacing w:line="360" w:lineRule="auto"/>
        <w:jc w:val="both"/>
      </w:pPr>
      <w:r>
        <w:t xml:space="preserve">Leaders </w:t>
      </w:r>
      <w:r w:rsidRPr="00F34639">
        <w:t>attributed e</w:t>
      </w:r>
      <w:r w:rsidRPr="009C55AF">
        <w:t xml:space="preserve">conomic benefits to </w:t>
      </w:r>
      <w:r w:rsidR="001C210D">
        <w:t xml:space="preserve">the </w:t>
      </w:r>
      <w:r w:rsidRPr="009C55AF">
        <w:t>place-based approaches</w:t>
      </w:r>
      <w:r>
        <w:t xml:space="preserve"> already underway</w:t>
      </w:r>
      <w:r w:rsidRPr="009C55AF">
        <w:t xml:space="preserve">. One ICS Leader </w:t>
      </w:r>
      <w:r w:rsidR="001C210D">
        <w:t>illustrated</w:t>
      </w:r>
      <w:r w:rsidR="001C210D" w:rsidRPr="009C55AF">
        <w:t xml:space="preserve"> </w:t>
      </w:r>
      <w:r w:rsidRPr="009C55AF">
        <w:t>the high level of cost savings they had achieved from collaborating:</w:t>
      </w:r>
    </w:p>
    <w:p w14:paraId="58A855CF" w14:textId="77777777" w:rsidR="007873A7" w:rsidRDefault="007873A7" w:rsidP="00525BE0">
      <w:pPr>
        <w:pStyle w:val="Quote"/>
        <w:ind w:left="720"/>
        <w:jc w:val="both"/>
        <w:rPr>
          <w:highlight w:val="yellow"/>
        </w:rPr>
      </w:pPr>
      <w:r w:rsidRPr="003D71B1">
        <w:t>“So in four years, we had a £400 Million deficit gap in 2016. We're breakeven now as a system.</w:t>
      </w:r>
      <w:r>
        <w:t xml:space="preserve"> </w:t>
      </w:r>
      <w:r w:rsidRPr="003D71B1">
        <w:t>We had four organisations in requires improvement or special measures, now they're all good or outstanding. We had the lowest investment profile into Primary Care four years ago in the country, we're now in the in the in the mid-range. We've still got further work to do.” (25; Leader; ICS 3)</w:t>
      </w:r>
    </w:p>
    <w:p w14:paraId="4CF0BD6A" w14:textId="105E0993" w:rsidR="007873A7" w:rsidRDefault="007873A7" w:rsidP="00525BE0">
      <w:pPr>
        <w:spacing w:line="360" w:lineRule="auto"/>
        <w:jc w:val="both"/>
      </w:pPr>
      <w:r w:rsidRPr="009C55AF">
        <w:t>The focus from ICS-based interviewees was on how they were able to do more to engage with communities, run employment programmes, and employ a high number of staff from that, including some of the most deprived communities</w:t>
      </w:r>
      <w:r>
        <w:t>:</w:t>
      </w:r>
    </w:p>
    <w:p w14:paraId="4A9F75D5" w14:textId="77777777" w:rsidR="007873A7" w:rsidRDefault="007873A7" w:rsidP="00525BE0">
      <w:pPr>
        <w:spacing w:line="360" w:lineRule="auto"/>
        <w:ind w:left="720"/>
        <w:jc w:val="both"/>
      </w:pPr>
      <w:r>
        <w:t>“</w:t>
      </w:r>
      <w:r w:rsidRPr="005C0D1C">
        <w:rPr>
          <w:i/>
          <w:iCs/>
        </w:rPr>
        <w:t>The last two years, you know, we’ve moved £20</w:t>
      </w:r>
      <w:r>
        <w:rPr>
          <w:i/>
          <w:iCs/>
        </w:rPr>
        <w:t xml:space="preserve"> </w:t>
      </w:r>
      <w:r w:rsidRPr="005C0D1C">
        <w:rPr>
          <w:i/>
          <w:iCs/>
        </w:rPr>
        <w:t xml:space="preserve">million-worth of procurement out of national procurement into local SMEs, local companies within [local area] alone, that’s where we’ve tried it first, and we’ve got some good success in </w:t>
      </w:r>
      <w:r>
        <w:rPr>
          <w:i/>
          <w:iCs/>
        </w:rPr>
        <w:t>[Locale]</w:t>
      </w:r>
      <w:r w:rsidRPr="005C0D1C">
        <w:rPr>
          <w:i/>
          <w:iCs/>
        </w:rPr>
        <w:t>. So that’s an ambition of recruiting 1000 people every year into pre-employment programmes, with an expectation that 85% of them will lead to permanent, good quality jobs in health and care, and that we’re targeting those wards that are the most deprived or have the most challenges.”</w:t>
      </w:r>
      <w:r w:rsidRPr="003E5DCD">
        <w:t xml:space="preserve"> (22</w:t>
      </w:r>
      <w:r>
        <w:t>; CEO; Alliance 1</w:t>
      </w:r>
      <w:r w:rsidRPr="003E5DCD">
        <w:t>)</w:t>
      </w:r>
    </w:p>
    <w:p w14:paraId="62783C8D" w14:textId="02A1F3F8" w:rsidR="007873A7" w:rsidRPr="003D71B1" w:rsidRDefault="007873A7" w:rsidP="00525BE0">
      <w:pPr>
        <w:spacing w:line="360" w:lineRule="auto"/>
        <w:jc w:val="both"/>
      </w:pPr>
      <w:r>
        <w:t xml:space="preserve">To achieve the population health agenda required further development in creating </w:t>
      </w:r>
      <w:r w:rsidRPr="003D71B1">
        <w:t xml:space="preserve">a shift </w:t>
      </w:r>
      <w:r>
        <w:t>in</w:t>
      </w:r>
      <w:r w:rsidRPr="003D71B1">
        <w:t xml:space="preserve"> understandin</w:t>
      </w:r>
      <w:r>
        <w:t xml:space="preserve">g </w:t>
      </w:r>
      <w:r w:rsidR="001C210D">
        <w:t>regarding</w:t>
      </w:r>
      <w:r>
        <w:t xml:space="preserve"> provider collaboration. It was evident from the interviews that d</w:t>
      </w:r>
      <w:r w:rsidRPr="003D71B1">
        <w:t xml:space="preserve">ifferent systems </w:t>
      </w:r>
      <w:r>
        <w:t>were</w:t>
      </w:r>
      <w:r w:rsidRPr="003D71B1">
        <w:t xml:space="preserve"> at different stages of development towards the ICS agenda:</w:t>
      </w:r>
    </w:p>
    <w:p w14:paraId="39B7D4B3" w14:textId="177040C9" w:rsidR="007873A7" w:rsidRPr="003D71B1" w:rsidRDefault="007873A7" w:rsidP="00525BE0">
      <w:pPr>
        <w:pStyle w:val="Quote"/>
        <w:ind w:left="720"/>
        <w:jc w:val="both"/>
      </w:pPr>
      <w:r w:rsidRPr="003D71B1">
        <w:t xml:space="preserve">“…people might be at very different points in their journey so it’s not certain that you’re all terrible or you’re all good, it’s just about really trying to help them so that the outcomes we want around improving population health get there” </w:t>
      </w:r>
      <w:r w:rsidRPr="008718E8">
        <w:rPr>
          <w:i w:val="0"/>
          <w:iCs w:val="0"/>
        </w:rPr>
        <w:t xml:space="preserve">(09; </w:t>
      </w:r>
      <w:r w:rsidR="00E17072">
        <w:rPr>
          <w:i w:val="0"/>
          <w:iCs w:val="0"/>
        </w:rPr>
        <w:t>regulator</w:t>
      </w:r>
      <w:r w:rsidRPr="008718E8">
        <w:rPr>
          <w:i w:val="0"/>
          <w:iCs w:val="0"/>
        </w:rPr>
        <w:t>;)</w:t>
      </w:r>
      <w:r>
        <w:rPr>
          <w:i w:val="0"/>
          <w:iCs w:val="0"/>
        </w:rPr>
        <w:t>.</w:t>
      </w:r>
    </w:p>
    <w:p w14:paraId="5C67AAF2" w14:textId="2677E88A" w:rsidR="007873A7" w:rsidRPr="003D71B1" w:rsidRDefault="007873A7" w:rsidP="00525BE0">
      <w:pPr>
        <w:spacing w:line="360" w:lineRule="auto"/>
        <w:jc w:val="both"/>
        <w:rPr>
          <w:lang w:val="en-US"/>
        </w:rPr>
      </w:pPr>
      <w:r>
        <w:t xml:space="preserve">Wider challenges regarding outcomes </w:t>
      </w:r>
      <w:r w:rsidR="001C210D">
        <w:t xml:space="preserve">were </w:t>
      </w:r>
      <w:r>
        <w:t xml:space="preserve">connected </w:t>
      </w:r>
      <w:r w:rsidR="001C210D">
        <w:t>to ‘</w:t>
      </w:r>
      <w:r w:rsidRPr="003D71B1">
        <w:t>fundamental issues</w:t>
      </w:r>
      <w:r w:rsidR="001C210D">
        <w:t>’</w:t>
      </w:r>
      <w:r w:rsidRPr="003D71B1">
        <w:t xml:space="preserve"> </w:t>
      </w:r>
      <w:r>
        <w:t xml:space="preserve">associated </w:t>
      </w:r>
      <w:r w:rsidRPr="003D71B1">
        <w:t xml:space="preserve">with the historical separation of health and social care systems </w:t>
      </w:r>
      <w:r>
        <w:t>‘</w:t>
      </w:r>
      <w:r w:rsidRPr="003D71B1">
        <w:t>where integrated services have not been in policy makers thinking</w:t>
      </w:r>
      <w:r>
        <w:t>’</w:t>
      </w:r>
      <w:r w:rsidRPr="003D71B1">
        <w:t xml:space="preserve">. </w:t>
      </w:r>
      <w:r>
        <w:t xml:space="preserve">Collaboration also surfaced contractual </w:t>
      </w:r>
      <w:r w:rsidR="001C210D">
        <w:t>issues surrounding</w:t>
      </w:r>
      <w:r>
        <w:t xml:space="preserve"> workforce </w:t>
      </w:r>
      <w:r w:rsidR="001C210D">
        <w:t>development</w:t>
      </w:r>
      <w:r>
        <w:t xml:space="preserve">. </w:t>
      </w:r>
      <w:r w:rsidR="001C210D">
        <w:t>D</w:t>
      </w:r>
      <w:r w:rsidRPr="003D71B1">
        <w:t xml:space="preserve">eeper considerations were needed regarding </w:t>
      </w:r>
      <w:r w:rsidR="00DF69D7">
        <w:t xml:space="preserve">existing </w:t>
      </w:r>
      <w:r w:rsidRPr="003D71B1">
        <w:t>salary structures</w:t>
      </w:r>
      <w:r>
        <w:t xml:space="preserve"> and funding arrangements:</w:t>
      </w:r>
    </w:p>
    <w:p w14:paraId="1015F08A" w14:textId="492447A7" w:rsidR="007873A7" w:rsidRDefault="007873A7" w:rsidP="00525BE0">
      <w:pPr>
        <w:pStyle w:val="Quote"/>
        <w:ind w:left="720"/>
        <w:jc w:val="both"/>
      </w:pPr>
      <w:r>
        <w:t xml:space="preserve">“… </w:t>
      </w:r>
      <w:r w:rsidRPr="005D5BDD">
        <w:t xml:space="preserve">social care has come right up the agenda especially since </w:t>
      </w:r>
      <w:r w:rsidR="00C41618">
        <w:t>Covid</w:t>
      </w:r>
      <w:r w:rsidR="00857277">
        <w:t>-19</w:t>
      </w:r>
      <w:r w:rsidRPr="005D5BDD">
        <w:t xml:space="preserve"> and the integration across health and social care but we still have a different funding system which causes huge problems for people that want to collaborate across the two and so there is a sort of environmental point that I’d obviously apply across the country but there’ll be some that just apply locally as well. </w:t>
      </w:r>
      <w:r w:rsidRPr="005C0D1C">
        <w:rPr>
          <w:i w:val="0"/>
          <w:iCs w:val="0"/>
        </w:rPr>
        <w:t>(</w:t>
      </w:r>
      <w:r w:rsidRPr="005C0D1C">
        <w:rPr>
          <w:i w:val="0"/>
          <w:iCs w:val="0"/>
          <w:color w:val="000000" w:themeColor="text1"/>
        </w:rPr>
        <w:t>04; Provider Policy Leader; Range</w:t>
      </w:r>
      <w:r w:rsidRPr="005C0D1C">
        <w:rPr>
          <w:i w:val="0"/>
          <w:iCs w:val="0"/>
        </w:rPr>
        <w:t>).</w:t>
      </w:r>
    </w:p>
    <w:p w14:paraId="34B9A3D1" w14:textId="7EB04551" w:rsidR="007873A7" w:rsidRPr="00AF5351" w:rsidRDefault="007873A7" w:rsidP="00525BE0">
      <w:pPr>
        <w:pStyle w:val="Heading3"/>
        <w:jc w:val="both"/>
      </w:pPr>
      <w:bookmarkStart w:id="136" w:name="_Toc85066475"/>
      <w:r>
        <w:t>Patient perspective</w:t>
      </w:r>
      <w:r w:rsidR="00E17072">
        <w:t>s</w:t>
      </w:r>
      <w:r>
        <w:t xml:space="preserve"> on outcomes</w:t>
      </w:r>
      <w:bookmarkEnd w:id="136"/>
    </w:p>
    <w:p w14:paraId="50CE5FEB" w14:textId="0F4E283E" w:rsidR="007873A7" w:rsidRDefault="007873A7" w:rsidP="00525BE0">
      <w:pPr>
        <w:spacing w:line="360" w:lineRule="auto"/>
        <w:jc w:val="both"/>
      </w:pPr>
      <w:r>
        <w:t xml:space="preserve">Patient representatives were also able to shed light on outcomes they had seen from collaborative efforts in their local areas. Overall, </w:t>
      </w:r>
      <w:r w:rsidR="00DF69D7">
        <w:t>these reflections presented</w:t>
      </w:r>
      <w:r>
        <w:t xml:space="preserve"> </w:t>
      </w:r>
      <w:r w:rsidR="00DF69D7">
        <w:t>diverse</w:t>
      </w:r>
      <w:r>
        <w:t xml:space="preserve"> reactions to collaboration. </w:t>
      </w:r>
      <w:r w:rsidR="00DF69D7">
        <w:t>P</w:t>
      </w:r>
      <w:r>
        <w:t xml:space="preserve">atient representatives raised concerns regarding the translation of </w:t>
      </w:r>
      <w:r w:rsidR="00DF69D7">
        <w:t xml:space="preserve">collaborative intentions </w:t>
      </w:r>
      <w:r>
        <w:t>into practice</w:t>
      </w:r>
      <w:r w:rsidR="00DF69D7">
        <w:t xml:space="preserve">. </w:t>
      </w:r>
      <w:r w:rsidR="00DF69D7">
        <w:t>S</w:t>
      </w:r>
      <w:r w:rsidR="00DF69D7" w:rsidRPr="00DF69D7">
        <w:t>ceptic</w:t>
      </w:r>
      <w:r w:rsidR="00DF69D7">
        <w:t>ism was associated</w:t>
      </w:r>
      <w:r w:rsidR="00DF69D7" w:rsidRPr="00DF69D7">
        <w:t xml:space="preserve"> of the </w:t>
      </w:r>
      <w:r w:rsidR="00DF69D7">
        <w:t>aspirations for</w:t>
      </w:r>
      <w:r w:rsidR="00DF69D7" w:rsidRPr="00DF69D7">
        <w:t xml:space="preserve"> implementing large scale change:</w:t>
      </w:r>
    </w:p>
    <w:p w14:paraId="18428FCB" w14:textId="77777777" w:rsidR="007873A7" w:rsidRDefault="007873A7" w:rsidP="00525BE0">
      <w:pPr>
        <w:spacing w:line="360" w:lineRule="auto"/>
        <w:ind w:left="720"/>
        <w:jc w:val="both"/>
      </w:pPr>
      <w:r w:rsidRPr="001374AF">
        <w:rPr>
          <w:i/>
          <w:iCs/>
        </w:rPr>
        <w:t>“… it seems generally that across the STPs in the three areas that there’s still lots of planning but nothing concrete is happening in terms of improvements or changes for patients and the public</w:t>
      </w:r>
      <w:r>
        <w:t xml:space="preserve">”.  </w:t>
      </w:r>
    </w:p>
    <w:p w14:paraId="419661B9" w14:textId="28CA3510" w:rsidR="007873A7" w:rsidRDefault="007873A7" w:rsidP="00525BE0">
      <w:pPr>
        <w:spacing w:line="360" w:lineRule="auto"/>
        <w:ind w:left="720"/>
        <w:jc w:val="both"/>
      </w:pPr>
      <w:r>
        <w:t xml:space="preserve"> “… </w:t>
      </w:r>
      <w:r w:rsidRPr="001374AF">
        <w:rPr>
          <w:i/>
          <w:iCs/>
        </w:rPr>
        <w:t xml:space="preserve">one of my </w:t>
      </w:r>
      <w:r w:rsidR="00DF69D7" w:rsidRPr="001374AF">
        <w:rPr>
          <w:i/>
          <w:iCs/>
        </w:rPr>
        <w:t>ex-colleagues</w:t>
      </w:r>
      <w:r w:rsidRPr="001374AF">
        <w:rPr>
          <w:i/>
          <w:iCs/>
        </w:rPr>
        <w:t xml:space="preserve"> who was a Chief Exec in an Acute Trust said, trying to get a Trust to change is like trying to get dinosaurs to dance</w:t>
      </w:r>
      <w:r>
        <w:t xml:space="preserve">”. </w:t>
      </w:r>
    </w:p>
    <w:p w14:paraId="412FD4B1" w14:textId="77777777" w:rsidR="007873A7" w:rsidRDefault="007873A7" w:rsidP="00525BE0">
      <w:pPr>
        <w:spacing w:line="360" w:lineRule="auto"/>
        <w:jc w:val="both"/>
      </w:pPr>
      <w:r>
        <w:t>However, with respect to Primary Care Networks, patient representatives had seen improvements, with experiences of joined-up care:</w:t>
      </w:r>
    </w:p>
    <w:p w14:paraId="62FF6603" w14:textId="77777777" w:rsidR="007873A7" w:rsidRDefault="007873A7" w:rsidP="00525BE0">
      <w:pPr>
        <w:spacing w:line="360" w:lineRule="auto"/>
        <w:ind w:left="720"/>
        <w:jc w:val="both"/>
      </w:pPr>
      <w:r>
        <w:t>“</w:t>
      </w:r>
      <w:r w:rsidRPr="001374AF">
        <w:rPr>
          <w:i/>
          <w:iCs/>
        </w:rPr>
        <w:t>They’ve rolled [PCNs</w:t>
      </w:r>
      <w:r>
        <w:rPr>
          <w:i/>
          <w:iCs/>
        </w:rPr>
        <w:t>]</w:t>
      </w:r>
      <w:r w:rsidRPr="001374AF">
        <w:rPr>
          <w:i/>
          <w:iCs/>
        </w:rPr>
        <w:t xml:space="preserve"> all out now so we’re in the final stages of it really and it has been successful.  If you can’t get treatment in one of the GP surgeries, as long as it’s within the cluster, they’ll refer you to another. Patient transport had been an issue but they’ve done a lot of consultation around that too</w:t>
      </w:r>
      <w:r>
        <w:t>”.</w:t>
      </w:r>
    </w:p>
    <w:p w14:paraId="7AF96783" w14:textId="70625F28" w:rsidR="007873A7" w:rsidRDefault="007873A7" w:rsidP="00525BE0">
      <w:pPr>
        <w:spacing w:line="360" w:lineRule="auto"/>
        <w:jc w:val="both"/>
      </w:pPr>
      <w:r>
        <w:t xml:space="preserve">The more joined-up care had </w:t>
      </w:r>
      <w:r w:rsidR="00DF69D7">
        <w:t>a positive</w:t>
      </w:r>
      <w:r>
        <w:t xml:space="preserve"> impact on outcomes, with one patient representative highlighting the improvement to ‘technological effectiveness’ they had enjoyed:</w:t>
      </w:r>
    </w:p>
    <w:p w14:paraId="4D051868" w14:textId="77777777" w:rsidR="007873A7" w:rsidRPr="001374AF" w:rsidRDefault="007873A7" w:rsidP="00525BE0">
      <w:pPr>
        <w:spacing w:line="360" w:lineRule="auto"/>
        <w:ind w:left="720"/>
        <w:jc w:val="both"/>
        <w:rPr>
          <w:i/>
          <w:iCs/>
        </w:rPr>
      </w:pPr>
      <w:r>
        <w:t xml:space="preserve"> </w:t>
      </w:r>
      <w:r w:rsidRPr="001374AF">
        <w:rPr>
          <w:i/>
          <w:iCs/>
        </w:rPr>
        <w:t>“… our local Primary Care Network pharmacist contacted me and through that discussion with her she changed my medication. That was brilliant, that really worked. Because prior to that our [local GP] did not have a resident pharmacist”.</w:t>
      </w:r>
    </w:p>
    <w:p w14:paraId="57862585" w14:textId="12AE6ED1" w:rsidR="007873A7" w:rsidRDefault="00DF69D7" w:rsidP="00525BE0">
      <w:pPr>
        <w:spacing w:line="360" w:lineRule="auto"/>
        <w:jc w:val="both"/>
      </w:pPr>
      <w:r>
        <w:t>S</w:t>
      </w:r>
      <w:r w:rsidR="007873A7">
        <w:t>everal long</w:t>
      </w:r>
      <w:r>
        <w:t>er</w:t>
      </w:r>
      <w:r w:rsidR="007873A7">
        <w:t xml:space="preserve">-term outcomes that had been </w:t>
      </w:r>
      <w:r>
        <w:t>noted</w:t>
      </w:r>
      <w:r w:rsidR="007873A7">
        <w:t>, with one notable example in the staff-related outcomes</w:t>
      </w:r>
      <w:r>
        <w:t>:</w:t>
      </w:r>
    </w:p>
    <w:p w14:paraId="505A540E" w14:textId="77777777" w:rsidR="007873A7" w:rsidRDefault="007873A7" w:rsidP="00525BE0">
      <w:pPr>
        <w:spacing w:line="360" w:lineRule="auto"/>
        <w:ind w:left="720"/>
        <w:jc w:val="both"/>
      </w:pPr>
      <w:r>
        <w:t>“</w:t>
      </w:r>
      <w:r w:rsidRPr="00C50342">
        <w:rPr>
          <w:i/>
          <w:iCs/>
        </w:rPr>
        <w:t>…[NHS</w:t>
      </w:r>
      <w:r>
        <w:rPr>
          <w:i/>
          <w:iCs/>
        </w:rPr>
        <w:t xml:space="preserve"> T</w:t>
      </w:r>
      <w:r w:rsidRPr="00C50342">
        <w:rPr>
          <w:i/>
          <w:iCs/>
        </w:rPr>
        <w:t>rust] were having massive problems with recruitment of radiologists and consultant medical staff at</w:t>
      </w:r>
      <w:r>
        <w:rPr>
          <w:i/>
          <w:iCs/>
        </w:rPr>
        <w:t xml:space="preserve"> [Trust]</w:t>
      </w:r>
      <w:r w:rsidRPr="00C50342">
        <w:rPr>
          <w:i/>
          <w:iCs/>
        </w:rPr>
        <w:t xml:space="preserve">. Since they’ve become part of a large University Hospitals Teaching Trust they have succeeded in recruiting to the areas that [they’ve] had problems with.” </w:t>
      </w:r>
      <w:r>
        <w:t xml:space="preserve">(Focus group). </w:t>
      </w:r>
    </w:p>
    <w:p w14:paraId="345776C7" w14:textId="77777777" w:rsidR="007873A7" w:rsidRDefault="007873A7" w:rsidP="00525BE0">
      <w:pPr>
        <w:spacing w:line="360" w:lineRule="auto"/>
        <w:jc w:val="both"/>
      </w:pPr>
      <w:r>
        <w:t xml:space="preserve">Another patient representative had also had very positive experiences which they had noticed in their local system since a large merger took place: </w:t>
      </w:r>
    </w:p>
    <w:p w14:paraId="1A747408" w14:textId="2DAE7076" w:rsidR="007873A7" w:rsidRDefault="007873A7" w:rsidP="00525BE0">
      <w:pPr>
        <w:spacing w:line="360" w:lineRule="auto"/>
        <w:ind w:left="720"/>
        <w:jc w:val="both"/>
      </w:pPr>
      <w:r>
        <w:t>“</w:t>
      </w:r>
      <w:r w:rsidRPr="00C50342">
        <w:rPr>
          <w:i/>
          <w:iCs/>
        </w:rPr>
        <w:t xml:space="preserve">I had to go in and have a little op and you couldn’t fault it, I got there at 7 o’clock in the morning, they gave me a side room to myself, I had it all day until I went home at 5 o’clock, it was brilliant and I’m excited for </w:t>
      </w:r>
      <w:r>
        <w:rPr>
          <w:i/>
          <w:iCs/>
        </w:rPr>
        <w:t>[the hospital]</w:t>
      </w:r>
      <w:r w:rsidRPr="00C50342">
        <w:rPr>
          <w:i/>
          <w:iCs/>
        </w:rPr>
        <w:t xml:space="preserve"> for the developments that they’re going to have</w:t>
      </w:r>
      <w:r>
        <w:t xml:space="preserve">”. </w:t>
      </w:r>
    </w:p>
    <w:p w14:paraId="181D2AD9" w14:textId="77777777" w:rsidR="00DF69D7" w:rsidRDefault="00DF69D7" w:rsidP="00525BE0">
      <w:pPr>
        <w:spacing w:line="360" w:lineRule="auto"/>
        <w:ind w:left="720"/>
        <w:jc w:val="both"/>
      </w:pPr>
    </w:p>
    <w:p w14:paraId="7EF4A010" w14:textId="35F20436" w:rsidR="007873A7" w:rsidRDefault="007873A7" w:rsidP="00DC6CC9">
      <w:pPr>
        <w:pStyle w:val="Heading2"/>
        <w:spacing w:line="360" w:lineRule="auto"/>
        <w:jc w:val="both"/>
      </w:pPr>
      <w:bookmarkStart w:id="137" w:name="_Toc85066476"/>
      <w:r>
        <w:t>Conclusion</w:t>
      </w:r>
      <w:bookmarkEnd w:id="137"/>
    </w:p>
    <w:p w14:paraId="3344FF6F" w14:textId="77777777" w:rsidR="00DF69D7" w:rsidRDefault="00DF69D7" w:rsidP="00525BE0">
      <w:pPr>
        <w:spacing w:line="360" w:lineRule="auto"/>
        <w:jc w:val="both"/>
      </w:pPr>
    </w:p>
    <w:p w14:paraId="09AD814C" w14:textId="20DB2DCF" w:rsidR="007873A7" w:rsidRDefault="007873A7" w:rsidP="00525BE0">
      <w:pPr>
        <w:spacing w:line="360" w:lineRule="auto"/>
        <w:jc w:val="both"/>
      </w:pPr>
      <w:r>
        <w:t xml:space="preserve">This chapter presents the first comprehensive realist evaluation of how well-functioning IOCs can drive performance improvements. </w:t>
      </w:r>
      <w:r w:rsidR="00DF69D7">
        <w:t>It finds that</w:t>
      </w:r>
      <w:r>
        <w:t xml:space="preserve"> Cultural Efficacy mechanisms prove to be particularly important for driving performance improvements from collaboration in other areas</w:t>
      </w:r>
      <w:r w:rsidR="00DF69D7">
        <w:t xml:space="preserve"> through</w:t>
      </w:r>
      <w:r w:rsidR="005363A5">
        <w:t xml:space="preserve"> improved communication,</w:t>
      </w:r>
      <w:r>
        <w:t xml:space="preserve"> better coordination, </w:t>
      </w:r>
      <w:r w:rsidR="005363A5">
        <w:t>shared improvement strategies, and t</w:t>
      </w:r>
      <w:r>
        <w:t>he enhancement of reputation. Organisational Efficiency mechanisms</w:t>
      </w:r>
      <w:r w:rsidR="00DF69D7">
        <w:t xml:space="preserve"> are also</w:t>
      </w:r>
      <w:r>
        <w:t xml:space="preserve"> </w:t>
      </w:r>
      <w:r w:rsidR="00DF69D7">
        <w:t>identified, with</w:t>
      </w:r>
      <w:r>
        <w:t xml:space="preserve"> the causal links between collaboration and improving financial and workforce resource allocation, </w:t>
      </w:r>
      <w:r w:rsidR="0098301E">
        <w:t xml:space="preserve">an </w:t>
      </w:r>
      <w:r>
        <w:t>increas</w:t>
      </w:r>
      <w:r w:rsidR="0098301E">
        <w:t>ing</w:t>
      </w:r>
      <w:r>
        <w:t xml:space="preserve"> responsiveness </w:t>
      </w:r>
      <w:r w:rsidR="0098301E">
        <w:t>and reduced</w:t>
      </w:r>
      <w:r>
        <w:t xml:space="preserve"> duplication</w:t>
      </w:r>
      <w:r w:rsidR="0098301E">
        <w:t xml:space="preserve"> in service delivery</w:t>
      </w:r>
      <w:r>
        <w:t xml:space="preserve">. Technological effectiveness </w:t>
      </w:r>
      <w:r w:rsidR="0098301E">
        <w:t>also connects with</w:t>
      </w:r>
      <w:r>
        <w:t xml:space="preserve"> such areas but also sheds light on the benefits collaboration </w:t>
      </w:r>
      <w:r w:rsidR="005363A5">
        <w:t xml:space="preserve">can </w:t>
      </w:r>
      <w:r>
        <w:t xml:space="preserve">bring for research and development and working across clinical pathways. </w:t>
      </w:r>
      <w:r w:rsidR="007F428C">
        <w:t>The full CMOC configurations identified in this chapter are depicted in table 1</w:t>
      </w:r>
      <w:r w:rsidR="00713610">
        <w:t>0</w:t>
      </w:r>
      <w:r w:rsidR="007F428C">
        <w:t>.</w:t>
      </w:r>
    </w:p>
    <w:p w14:paraId="60460145" w14:textId="77777777" w:rsidR="007873A7" w:rsidRDefault="007873A7" w:rsidP="00525BE0">
      <w:pPr>
        <w:jc w:val="both"/>
      </w:pPr>
    </w:p>
    <w:p w14:paraId="63BDED81" w14:textId="705D9235" w:rsidR="005C5525" w:rsidRPr="003D71B1" w:rsidRDefault="005C5525" w:rsidP="00525BE0">
      <w:pPr>
        <w:spacing w:after="160" w:line="360" w:lineRule="auto"/>
        <w:jc w:val="both"/>
        <w:sectPr w:rsidR="005C5525" w:rsidRPr="003D71B1">
          <w:headerReference w:type="default" r:id="rId33"/>
          <w:footerReference w:type="default" r:id="rId34"/>
          <w:pgSz w:w="11906" w:h="16838"/>
          <w:pgMar w:top="1440" w:right="1440" w:bottom="1440" w:left="1440" w:header="708" w:footer="708" w:gutter="0"/>
          <w:cols w:space="708"/>
          <w:docGrid w:linePitch="360"/>
        </w:sectPr>
      </w:pPr>
    </w:p>
    <w:p w14:paraId="41AEF1CD" w14:textId="1A3E673D" w:rsidR="00DE52E0" w:rsidRPr="003D71B1" w:rsidRDefault="00DE52E0" w:rsidP="00525BE0">
      <w:pPr>
        <w:spacing w:line="360" w:lineRule="auto"/>
        <w:jc w:val="both"/>
      </w:pPr>
      <w:r w:rsidRPr="003D71B1">
        <w:rPr>
          <w:noProof/>
          <w:lang w:eastAsia="en-GB"/>
        </w:rPr>
        <w:drawing>
          <wp:inline distT="0" distB="0" distL="0" distR="0" wp14:anchorId="7B73AB23" wp14:editId="259C286F">
            <wp:extent cx="8897675" cy="4802591"/>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8897675" cy="4802591"/>
                    </a:xfrm>
                    <a:prstGeom prst="rect">
                      <a:avLst/>
                    </a:prstGeom>
                  </pic:spPr>
                </pic:pic>
              </a:graphicData>
            </a:graphic>
          </wp:inline>
        </w:drawing>
      </w:r>
    </w:p>
    <w:p w14:paraId="6F7F2321" w14:textId="72A12CFD" w:rsidR="00DE52E0" w:rsidRDefault="00DE52E0" w:rsidP="00525BE0">
      <w:pPr>
        <w:spacing w:line="360" w:lineRule="auto"/>
        <w:jc w:val="both"/>
        <w:sectPr w:rsidR="00DE52E0" w:rsidSect="00A77C56">
          <w:pgSz w:w="16838" w:h="11906" w:orient="landscape"/>
          <w:pgMar w:top="1440" w:right="1440" w:bottom="1440" w:left="1440" w:header="708" w:footer="708" w:gutter="0"/>
          <w:cols w:space="708"/>
          <w:docGrid w:linePitch="360"/>
        </w:sectPr>
      </w:pPr>
      <w:bookmarkStart w:id="138" w:name="_Toc106181621"/>
      <w:r w:rsidRPr="003D71B1">
        <w:t xml:space="preserve">Figure </w:t>
      </w:r>
      <w:r w:rsidR="008802A5">
        <w:fldChar w:fldCharType="begin"/>
      </w:r>
      <w:r w:rsidR="008802A5">
        <w:instrText xml:space="preserve"> SEQ Figure \* ARABIC </w:instrText>
      </w:r>
      <w:r w:rsidR="008802A5">
        <w:fldChar w:fldCharType="separate"/>
      </w:r>
      <w:r w:rsidR="009175EA">
        <w:rPr>
          <w:noProof/>
        </w:rPr>
        <w:t>16</w:t>
      </w:r>
      <w:r w:rsidR="008802A5">
        <w:rPr>
          <w:noProof/>
        </w:rPr>
        <w:fldChar w:fldCharType="end"/>
      </w:r>
      <w:r w:rsidRPr="003D71B1">
        <w:t>. Depiction of mechanisms underlying collaborative performance</w:t>
      </w:r>
      <w:bookmarkEnd w:id="138"/>
    </w:p>
    <w:p w14:paraId="084D6CCC" w14:textId="77777777" w:rsidR="0062385F" w:rsidRPr="003D71B1" w:rsidRDefault="0062385F" w:rsidP="00525BE0">
      <w:pPr>
        <w:pStyle w:val="Caption"/>
        <w:spacing w:line="360" w:lineRule="auto"/>
        <w:jc w:val="both"/>
      </w:pPr>
    </w:p>
    <w:p w14:paraId="1D53760C" w14:textId="1379229D" w:rsidR="0062385F" w:rsidRPr="003D71B1" w:rsidRDefault="0062385F" w:rsidP="00525BE0">
      <w:pPr>
        <w:pStyle w:val="Caption"/>
        <w:spacing w:line="360" w:lineRule="auto"/>
        <w:jc w:val="both"/>
      </w:pPr>
      <w:bookmarkStart w:id="139" w:name="_Toc106181514"/>
      <w:r w:rsidRPr="003D71B1">
        <w:t xml:space="preserve">Table </w:t>
      </w:r>
      <w:r>
        <w:fldChar w:fldCharType="begin"/>
      </w:r>
      <w:r>
        <w:rPr>
          <w:i w:val="0"/>
          <w:iCs w:val="0"/>
        </w:rPr>
        <w:instrText xml:space="preserve"> SEQ Table \* ARABIC </w:instrText>
      </w:r>
      <w:r>
        <w:fldChar w:fldCharType="separate"/>
      </w:r>
      <w:r w:rsidR="00EA4B53">
        <w:rPr>
          <w:i w:val="0"/>
          <w:iCs w:val="0"/>
          <w:noProof/>
        </w:rPr>
        <w:t>10</w:t>
      </w:r>
      <w:r>
        <w:rPr>
          <w:noProof/>
        </w:rPr>
        <w:fldChar w:fldCharType="end"/>
      </w:r>
      <w:r w:rsidRPr="003D71B1">
        <w:t xml:space="preserve">. </w:t>
      </w:r>
      <w:r>
        <w:t xml:space="preserve">Initial </w:t>
      </w:r>
      <w:r w:rsidRPr="003D71B1">
        <w:t xml:space="preserve">CMOCs </w:t>
      </w:r>
      <w:r>
        <w:t>gleaned from</w:t>
      </w:r>
      <w:r w:rsidRPr="003D71B1">
        <w:t xml:space="preserve"> the analysis</w:t>
      </w:r>
      <w:r>
        <w:t>.</w:t>
      </w:r>
      <w:bookmarkEnd w:id="139"/>
    </w:p>
    <w:tbl>
      <w:tblPr>
        <w:tblStyle w:val="TableGrid"/>
        <w:tblW w:w="14312" w:type="dxa"/>
        <w:tblLook w:val="04A0" w:firstRow="1" w:lastRow="0" w:firstColumn="1" w:lastColumn="0" w:noHBand="0" w:noVBand="1"/>
      </w:tblPr>
      <w:tblGrid>
        <w:gridCol w:w="14312"/>
      </w:tblGrid>
      <w:tr w:rsidR="002801B2" w:rsidRPr="003D71B1" w14:paraId="03588EE5" w14:textId="77777777" w:rsidTr="00A77C56">
        <w:trPr>
          <w:trHeight w:val="446"/>
        </w:trPr>
        <w:tc>
          <w:tcPr>
            <w:tcW w:w="14312" w:type="dxa"/>
          </w:tcPr>
          <w:p w14:paraId="7513600B" w14:textId="0E8DED59" w:rsidR="002801B2" w:rsidRPr="002801B2" w:rsidRDefault="002801B2" w:rsidP="00525BE0">
            <w:pPr>
              <w:spacing w:after="0" w:line="360" w:lineRule="auto"/>
              <w:jc w:val="both"/>
              <w:rPr>
                <w:b/>
                <w:bCs/>
              </w:rPr>
            </w:pPr>
            <w:r w:rsidRPr="002801B2">
              <w:rPr>
                <w:b/>
                <w:bCs/>
                <w:u w:val="single"/>
              </w:rPr>
              <w:t>Context, mechanism, outcome configurations</w:t>
            </w:r>
          </w:p>
        </w:tc>
      </w:tr>
      <w:tr w:rsidR="00F95D07" w:rsidRPr="003D71B1" w14:paraId="68616D1A" w14:textId="77777777" w:rsidTr="00A77C56">
        <w:tc>
          <w:tcPr>
            <w:tcW w:w="14312" w:type="dxa"/>
          </w:tcPr>
          <w:p w14:paraId="776E9545" w14:textId="77777777" w:rsidR="00F95D07" w:rsidRPr="008F63B9" w:rsidRDefault="00F95D07" w:rsidP="00525BE0">
            <w:pPr>
              <w:spacing w:after="0" w:line="360" w:lineRule="auto"/>
              <w:jc w:val="both"/>
              <w:rPr>
                <w:b/>
                <w:bCs/>
              </w:rPr>
            </w:pPr>
            <w:r w:rsidRPr="008F63B9">
              <w:rPr>
                <w:b/>
                <w:bCs/>
              </w:rPr>
              <w:t>Cultural Efficacy</w:t>
            </w:r>
          </w:p>
        </w:tc>
      </w:tr>
      <w:tr w:rsidR="00F95D07" w:rsidRPr="003D71B1" w14:paraId="25AC0A16" w14:textId="77777777" w:rsidTr="00A77C56">
        <w:tc>
          <w:tcPr>
            <w:tcW w:w="14312" w:type="dxa"/>
          </w:tcPr>
          <w:p w14:paraId="7CA37427" w14:textId="77777777" w:rsidR="00F95D07" w:rsidRPr="008F63B9" w:rsidRDefault="00F95D07" w:rsidP="00525BE0">
            <w:pPr>
              <w:spacing w:after="0" w:line="360" w:lineRule="auto"/>
              <w:jc w:val="both"/>
            </w:pPr>
            <w:r>
              <w:t>Collaborative behaviour (context) drives improved communication in the local health system (mechanism) which enables actors to have an improved understanding of that health system (outcome)</w:t>
            </w:r>
          </w:p>
        </w:tc>
      </w:tr>
      <w:tr w:rsidR="00F95D07" w:rsidRPr="003D71B1" w14:paraId="5D6C4832" w14:textId="77777777" w:rsidTr="00A77C56">
        <w:tc>
          <w:tcPr>
            <w:tcW w:w="14312" w:type="dxa"/>
          </w:tcPr>
          <w:p w14:paraId="540BA2AA" w14:textId="77777777" w:rsidR="00F95D07" w:rsidRDefault="00F95D07" w:rsidP="00525BE0">
            <w:pPr>
              <w:spacing w:after="0" w:line="360" w:lineRule="auto"/>
              <w:jc w:val="both"/>
            </w:pPr>
            <w:r>
              <w:t>An improved understanding of the local health system (context) leads to an improved ability to coordinate (mechanism) which can lead to improved coverage of patients and better population health (outcome)</w:t>
            </w:r>
          </w:p>
        </w:tc>
      </w:tr>
      <w:tr w:rsidR="00F95D07" w:rsidRPr="003D71B1" w14:paraId="7B3A262F" w14:textId="77777777" w:rsidTr="00A77C56">
        <w:tc>
          <w:tcPr>
            <w:tcW w:w="14312" w:type="dxa"/>
          </w:tcPr>
          <w:p w14:paraId="1E1A8A58" w14:textId="77777777" w:rsidR="00F95D07" w:rsidRDefault="00F95D07" w:rsidP="00525BE0">
            <w:pPr>
              <w:spacing w:after="0" w:line="360" w:lineRule="auto"/>
              <w:jc w:val="both"/>
            </w:pPr>
            <w:r>
              <w:t>Collaborative behaviour (context) can lead to the ability to learn and implement improvement strategies obtained from partners (mechanism) which can lead to a more productive organisational culture (outcome)</w:t>
            </w:r>
          </w:p>
        </w:tc>
      </w:tr>
      <w:tr w:rsidR="00F95D07" w:rsidRPr="003D71B1" w14:paraId="74A8BFAC" w14:textId="77777777" w:rsidTr="00A77C56">
        <w:tc>
          <w:tcPr>
            <w:tcW w:w="14312" w:type="dxa"/>
          </w:tcPr>
          <w:p w14:paraId="00D7DF93" w14:textId="77777777" w:rsidR="00F95D07" w:rsidRDefault="00F95D07" w:rsidP="00525BE0">
            <w:pPr>
              <w:spacing w:after="0" w:line="360" w:lineRule="auto"/>
              <w:jc w:val="both"/>
            </w:pPr>
            <w:r>
              <w:t>Collaborative behaviour (context) enables organisations to have a larger reach and impact in their local health system (mechanism) leading to a greater reputation (outcome)</w:t>
            </w:r>
          </w:p>
        </w:tc>
      </w:tr>
      <w:tr w:rsidR="00F95D07" w:rsidRPr="003D71B1" w14:paraId="68F9B872" w14:textId="77777777" w:rsidTr="00A77C56">
        <w:tc>
          <w:tcPr>
            <w:tcW w:w="14312" w:type="dxa"/>
          </w:tcPr>
          <w:p w14:paraId="08CE2F50" w14:textId="77777777" w:rsidR="00F95D07" w:rsidRDefault="00F95D07" w:rsidP="00525BE0">
            <w:pPr>
              <w:spacing w:after="0" w:line="360" w:lineRule="auto"/>
              <w:jc w:val="both"/>
            </w:pPr>
            <w:r>
              <w:t>Greater reputation (context) can lead to more skilled staff wanting to work in the local health system (mechanism) driving improved recruitment (outcome)</w:t>
            </w:r>
          </w:p>
        </w:tc>
      </w:tr>
      <w:tr w:rsidR="00F95D07" w:rsidRPr="003D71B1" w14:paraId="7C8CBE67" w14:textId="77777777" w:rsidTr="00A77C56">
        <w:tc>
          <w:tcPr>
            <w:tcW w:w="14312" w:type="dxa"/>
          </w:tcPr>
          <w:p w14:paraId="4F25E9F2" w14:textId="77777777" w:rsidR="00F95D07" w:rsidRDefault="00F95D07" w:rsidP="00525BE0">
            <w:pPr>
              <w:spacing w:after="0" w:line="360" w:lineRule="auto"/>
              <w:jc w:val="both"/>
            </w:pPr>
            <w:r>
              <w:t>Working across organisational boundaries/collaborative behaviour (context) can lead to a better understanding of other organisational cultures (mechanism) and thereby an enhanced ability to work across sectors (outcome)</w:t>
            </w:r>
          </w:p>
        </w:tc>
      </w:tr>
      <w:tr w:rsidR="00F95D07" w:rsidRPr="003D71B1" w14:paraId="232CF5C1" w14:textId="77777777" w:rsidTr="00A77C56">
        <w:tc>
          <w:tcPr>
            <w:tcW w:w="14312" w:type="dxa"/>
          </w:tcPr>
          <w:p w14:paraId="3E717F49" w14:textId="2F76B460" w:rsidR="00F95D07" w:rsidRPr="008F63B9" w:rsidRDefault="00F95D07" w:rsidP="00525BE0">
            <w:pPr>
              <w:tabs>
                <w:tab w:val="left" w:pos="3462"/>
              </w:tabs>
              <w:spacing w:after="0" w:line="360" w:lineRule="auto"/>
              <w:jc w:val="both"/>
              <w:rPr>
                <w:b/>
                <w:bCs/>
              </w:rPr>
            </w:pPr>
            <w:r w:rsidRPr="008F63B9">
              <w:rPr>
                <w:b/>
                <w:bCs/>
              </w:rPr>
              <w:t>Organisational Efficiency</w:t>
            </w:r>
          </w:p>
        </w:tc>
      </w:tr>
      <w:tr w:rsidR="00F95D07" w:rsidRPr="003D71B1" w14:paraId="41CA29DD" w14:textId="77777777" w:rsidTr="00A77C56">
        <w:tc>
          <w:tcPr>
            <w:tcW w:w="14312" w:type="dxa"/>
          </w:tcPr>
          <w:p w14:paraId="0EDCA59D" w14:textId="77777777" w:rsidR="00F95D07" w:rsidRPr="008F63B9" w:rsidRDefault="00F95D07" w:rsidP="00525BE0">
            <w:pPr>
              <w:spacing w:after="0" w:line="360" w:lineRule="auto"/>
              <w:jc w:val="both"/>
            </w:pPr>
            <w:r>
              <w:t>Collaborative behaviour (context) can lead to cost savings in procurement (mechanism) and improved economies of scale (outcome)</w:t>
            </w:r>
          </w:p>
        </w:tc>
      </w:tr>
      <w:tr w:rsidR="00F95D07" w:rsidRPr="003D71B1" w14:paraId="4B605422" w14:textId="77777777" w:rsidTr="00A77C56">
        <w:tc>
          <w:tcPr>
            <w:tcW w:w="14312" w:type="dxa"/>
          </w:tcPr>
          <w:p w14:paraId="03B4D51C" w14:textId="77777777" w:rsidR="00F95D07" w:rsidRDefault="00F95D07" w:rsidP="00525BE0">
            <w:pPr>
              <w:spacing w:after="0" w:line="360" w:lineRule="auto"/>
              <w:jc w:val="both"/>
            </w:pPr>
            <w:r>
              <w:t>Collaborative behaviour (context) can lead to improved economies of scale (mechanism) and an enhanced ability to acquire workforce talent (outcome)</w:t>
            </w:r>
          </w:p>
        </w:tc>
      </w:tr>
      <w:tr w:rsidR="00F95D07" w:rsidRPr="003D71B1" w14:paraId="15F10788" w14:textId="77777777" w:rsidTr="00A77C56">
        <w:tc>
          <w:tcPr>
            <w:tcW w:w="14312" w:type="dxa"/>
          </w:tcPr>
          <w:p w14:paraId="498888B3" w14:textId="180C187F" w:rsidR="00F95D07" w:rsidRDefault="00F95D07" w:rsidP="00525BE0">
            <w:pPr>
              <w:spacing w:after="0" w:line="360" w:lineRule="auto"/>
              <w:jc w:val="both"/>
            </w:pPr>
            <w:r>
              <w:t xml:space="preserve">Collaborative behaviour (context) can lead to improved </w:t>
            </w:r>
            <w:r w:rsidR="004C21AC">
              <w:t>influence in the local health system</w:t>
            </w:r>
            <w:r>
              <w:t xml:space="preserve"> (mechanism) that can enable enhanced resource access and better attraction of patients (outcome)</w:t>
            </w:r>
          </w:p>
        </w:tc>
      </w:tr>
      <w:tr w:rsidR="00F95D07" w:rsidRPr="003D71B1" w14:paraId="473234A4" w14:textId="77777777" w:rsidTr="00A77C56">
        <w:tc>
          <w:tcPr>
            <w:tcW w:w="14312" w:type="dxa"/>
          </w:tcPr>
          <w:p w14:paraId="5ABAB157" w14:textId="77777777" w:rsidR="00F95D07" w:rsidRDefault="00F95D07" w:rsidP="00525BE0">
            <w:pPr>
              <w:spacing w:after="0" w:line="360" w:lineRule="auto"/>
              <w:jc w:val="both"/>
            </w:pPr>
            <w:r>
              <w:t>Improved coordination (context) can enable consolidation of services to the most performant provider in the health system (mechanism) and therefore better quality of care (outcome)</w:t>
            </w:r>
          </w:p>
        </w:tc>
      </w:tr>
      <w:tr w:rsidR="00F95D07" w:rsidRPr="003D71B1" w14:paraId="4875EA42" w14:textId="77777777" w:rsidTr="00A77C56">
        <w:tc>
          <w:tcPr>
            <w:tcW w:w="14312" w:type="dxa"/>
          </w:tcPr>
          <w:p w14:paraId="6C1A4FD7" w14:textId="77777777" w:rsidR="00F95D07" w:rsidRDefault="00F95D07" w:rsidP="00525BE0">
            <w:pPr>
              <w:spacing w:after="0" w:line="360" w:lineRule="auto"/>
              <w:jc w:val="both"/>
            </w:pPr>
            <w:r>
              <w:t>Consolidation of services (context) can lead to a greater distance for patients to travel for the service they previously enjoyed (mechanism) which could reduce patient coverage (outcome)</w:t>
            </w:r>
          </w:p>
        </w:tc>
      </w:tr>
      <w:tr w:rsidR="00F95D07" w:rsidRPr="003D71B1" w14:paraId="5C3DB64D" w14:textId="77777777" w:rsidTr="00A77C56">
        <w:tc>
          <w:tcPr>
            <w:tcW w:w="14312" w:type="dxa"/>
          </w:tcPr>
          <w:p w14:paraId="6EA8C941" w14:textId="77777777" w:rsidR="00F95D07" w:rsidRDefault="00F95D07" w:rsidP="00525BE0">
            <w:pPr>
              <w:spacing w:after="0" w:line="360" w:lineRule="auto"/>
              <w:jc w:val="both"/>
            </w:pPr>
            <w:r>
              <w:t>Improved coordination (context) can also enable improved coverage of patients (mechanism) which can improve population health (outcome)</w:t>
            </w:r>
          </w:p>
        </w:tc>
      </w:tr>
      <w:tr w:rsidR="00F95D07" w:rsidRPr="003D71B1" w14:paraId="5A26BC3B" w14:textId="77777777" w:rsidTr="00A77C56">
        <w:tc>
          <w:tcPr>
            <w:tcW w:w="14312" w:type="dxa"/>
          </w:tcPr>
          <w:p w14:paraId="46879332" w14:textId="77777777" w:rsidR="00F95D07" w:rsidRDefault="00F95D07" w:rsidP="00525BE0">
            <w:pPr>
              <w:spacing w:after="0" w:line="360" w:lineRule="auto"/>
              <w:jc w:val="both"/>
            </w:pPr>
            <w:r>
              <w:t>Improved coordination (context) enables reduced duplication of effort (mechanism) and therefore cost savings (outcome)</w:t>
            </w:r>
          </w:p>
        </w:tc>
      </w:tr>
      <w:tr w:rsidR="00F95D07" w:rsidRPr="003D71B1" w14:paraId="4FD5F3B4" w14:textId="77777777" w:rsidTr="00A77C56">
        <w:tc>
          <w:tcPr>
            <w:tcW w:w="14312" w:type="dxa"/>
          </w:tcPr>
          <w:p w14:paraId="1B0FFFD3" w14:textId="77777777" w:rsidR="00F95D07" w:rsidRPr="00105945" w:rsidRDefault="00F95D07" w:rsidP="00525BE0">
            <w:pPr>
              <w:spacing w:after="0" w:line="360" w:lineRule="auto"/>
              <w:jc w:val="both"/>
              <w:rPr>
                <w:b/>
                <w:bCs/>
              </w:rPr>
            </w:pPr>
            <w:r w:rsidRPr="00105945">
              <w:rPr>
                <w:b/>
                <w:bCs/>
              </w:rPr>
              <w:t>Technological Effectiveness</w:t>
            </w:r>
          </w:p>
        </w:tc>
      </w:tr>
      <w:tr w:rsidR="00F95D07" w:rsidRPr="003D71B1" w14:paraId="543084DC" w14:textId="77777777" w:rsidTr="00A77C56">
        <w:tc>
          <w:tcPr>
            <w:tcW w:w="14312" w:type="dxa"/>
          </w:tcPr>
          <w:p w14:paraId="5DF3271E" w14:textId="77777777" w:rsidR="00F95D07" w:rsidRPr="00105945" w:rsidRDefault="00F95D07" w:rsidP="00525BE0">
            <w:pPr>
              <w:spacing w:after="0" w:line="360" w:lineRule="auto"/>
              <w:jc w:val="both"/>
            </w:pPr>
            <w:r>
              <w:t>Improved communication (context) can lead to learning and implementation of novel clinical techniques from collaborators (mechanism) and therefore improved care quality and safety (outcome)</w:t>
            </w:r>
          </w:p>
        </w:tc>
      </w:tr>
      <w:tr w:rsidR="00F95D07" w:rsidRPr="003D71B1" w14:paraId="3251B9A1" w14:textId="77777777" w:rsidTr="00A77C56">
        <w:tc>
          <w:tcPr>
            <w:tcW w:w="14312" w:type="dxa"/>
          </w:tcPr>
          <w:p w14:paraId="6465D964" w14:textId="77777777" w:rsidR="00F95D07" w:rsidRDefault="00F95D07" w:rsidP="00525BE0">
            <w:pPr>
              <w:spacing w:after="0" w:line="360" w:lineRule="auto"/>
              <w:jc w:val="both"/>
            </w:pPr>
            <w:r>
              <w:t>Improved communication (context) can lead to improved data sharing (mechanism) which can enable improved ability to implement cross-organisational clinical pathways (outcome)</w:t>
            </w:r>
          </w:p>
        </w:tc>
      </w:tr>
      <w:tr w:rsidR="00F95D07" w:rsidRPr="003D71B1" w14:paraId="527D8588" w14:textId="77777777" w:rsidTr="00A77C56">
        <w:tc>
          <w:tcPr>
            <w:tcW w:w="14312" w:type="dxa"/>
          </w:tcPr>
          <w:p w14:paraId="044B2956" w14:textId="77777777" w:rsidR="00F95D07" w:rsidRDefault="00F95D07" w:rsidP="00525BE0">
            <w:pPr>
              <w:spacing w:after="0" w:line="360" w:lineRule="auto"/>
              <w:jc w:val="both"/>
            </w:pPr>
            <w:r>
              <w:t>Improved coordination (context) can lead to the ability to implement cross-organisational clinical pathways (mechanism) and therefore improved care quality and safety (outcome)</w:t>
            </w:r>
          </w:p>
        </w:tc>
      </w:tr>
      <w:tr w:rsidR="00F95D07" w:rsidRPr="003D71B1" w14:paraId="1301B806" w14:textId="77777777" w:rsidTr="00A77C56">
        <w:tc>
          <w:tcPr>
            <w:tcW w:w="14312" w:type="dxa"/>
          </w:tcPr>
          <w:p w14:paraId="3478A293" w14:textId="77777777" w:rsidR="00F95D07" w:rsidRDefault="00F95D07" w:rsidP="00525BE0">
            <w:pPr>
              <w:spacing w:after="0" w:line="360" w:lineRule="auto"/>
              <w:jc w:val="both"/>
            </w:pPr>
            <w:r>
              <w:t>Collaborative behaviour (context) can enable access to novel clinically-useful equipment (mechanism) which can drive improved care quality and safety (outcome)</w:t>
            </w:r>
          </w:p>
        </w:tc>
      </w:tr>
    </w:tbl>
    <w:p w14:paraId="43FD70C2" w14:textId="38CD2275" w:rsidR="00F95D07" w:rsidRDefault="00F95D07" w:rsidP="00525BE0">
      <w:pPr>
        <w:spacing w:line="360" w:lineRule="auto"/>
        <w:jc w:val="both"/>
      </w:pPr>
    </w:p>
    <w:p w14:paraId="1BE85739" w14:textId="77777777" w:rsidR="001374AF" w:rsidRPr="001374AF" w:rsidRDefault="001374AF" w:rsidP="00525BE0">
      <w:pPr>
        <w:jc w:val="both"/>
      </w:pPr>
    </w:p>
    <w:p w14:paraId="24397170" w14:textId="77777777" w:rsidR="0062385F" w:rsidRPr="003D71B1" w:rsidRDefault="0062385F" w:rsidP="00525BE0">
      <w:pPr>
        <w:spacing w:line="360" w:lineRule="auto"/>
        <w:jc w:val="both"/>
      </w:pPr>
    </w:p>
    <w:p w14:paraId="17D6A07A" w14:textId="77777777" w:rsidR="00013E0E" w:rsidRDefault="00013E0E" w:rsidP="00525BE0">
      <w:pPr>
        <w:spacing w:line="360" w:lineRule="auto"/>
        <w:jc w:val="both"/>
        <w:sectPr w:rsidR="00013E0E" w:rsidSect="00A77C56">
          <w:pgSz w:w="16838" w:h="11906" w:orient="landscape"/>
          <w:pgMar w:top="1440" w:right="1440" w:bottom="1440" w:left="1440" w:header="708" w:footer="708" w:gutter="0"/>
          <w:cols w:space="708"/>
          <w:docGrid w:linePitch="360"/>
        </w:sectPr>
      </w:pPr>
    </w:p>
    <w:p w14:paraId="1A90E11E" w14:textId="61B16E36" w:rsidR="007873A7" w:rsidRPr="00102087" w:rsidRDefault="007873A7" w:rsidP="00525BE0">
      <w:pPr>
        <w:pStyle w:val="Heading1"/>
        <w:jc w:val="both"/>
      </w:pPr>
      <w:bookmarkStart w:id="140" w:name="_Toc85066477"/>
      <w:r w:rsidRPr="00102087">
        <w:t xml:space="preserve">Chapter 7: Discussion and </w:t>
      </w:r>
      <w:r w:rsidR="00AA5CB6">
        <w:t>implications</w:t>
      </w:r>
      <w:r w:rsidRPr="00102087">
        <w:t xml:space="preserve"> for </w:t>
      </w:r>
      <w:r w:rsidR="009E36E6">
        <w:t xml:space="preserve">translating realist </w:t>
      </w:r>
      <w:r w:rsidR="00AA5CB6">
        <w:t>theory</w:t>
      </w:r>
      <w:r w:rsidR="009E36E6">
        <w:t xml:space="preserve"> into </w:t>
      </w:r>
      <w:r w:rsidRPr="00102087">
        <w:t>practice</w:t>
      </w:r>
      <w:bookmarkEnd w:id="140"/>
    </w:p>
    <w:p w14:paraId="4318F7FE" w14:textId="77777777" w:rsidR="007873A7" w:rsidRPr="009B029B" w:rsidRDefault="007873A7" w:rsidP="00525BE0">
      <w:pPr>
        <w:jc w:val="both"/>
      </w:pPr>
    </w:p>
    <w:p w14:paraId="2FEE98AD" w14:textId="12B0E4CF" w:rsidR="007873A7" w:rsidRDefault="007873A7" w:rsidP="00525BE0">
      <w:pPr>
        <w:spacing w:line="360" w:lineRule="auto"/>
        <w:jc w:val="both"/>
      </w:pPr>
      <w:r>
        <w:t xml:space="preserve">This </w:t>
      </w:r>
      <w:r w:rsidR="00AA5CB6">
        <w:t>chapter draws</w:t>
      </w:r>
      <w:r>
        <w:t xml:space="preserve"> together the key contributions made by the research. It begins with an overview of our final refined theory and goes on to assess the theoretical, methodological</w:t>
      </w:r>
      <w:r w:rsidR="009E36E6">
        <w:t>,</w:t>
      </w:r>
      <w:r>
        <w:t xml:space="preserve"> and empirical implications of the study. The final section extends the discussion into the assessment of the different ways in which the research can support current policy and practice. The review findings are translated into actionable </w:t>
      </w:r>
      <w:r w:rsidR="00AA5CB6">
        <w:t>insights and</w:t>
      </w:r>
      <w:r>
        <w:t xml:space="preserve"> practical tools to support those implementing health care collaborations. In this regard it presents the results of a pilot of a practice based diagnostic survey and a maturity matrix.  Finally, we acknowledge the limitations of the study.</w:t>
      </w:r>
    </w:p>
    <w:p w14:paraId="6F63F0AC" w14:textId="77777777" w:rsidR="007873A7" w:rsidRDefault="007873A7" w:rsidP="00525BE0">
      <w:pPr>
        <w:spacing w:line="360" w:lineRule="auto"/>
        <w:jc w:val="both"/>
      </w:pPr>
    </w:p>
    <w:p w14:paraId="6814EFCB" w14:textId="77777777" w:rsidR="007873A7" w:rsidRDefault="007873A7" w:rsidP="00786E36">
      <w:pPr>
        <w:pStyle w:val="Heading2"/>
      </w:pPr>
      <w:bookmarkStart w:id="141" w:name="_Toc85066478"/>
      <w:r>
        <w:t>Developing a refined realist theory of inter-organisational collaboration</w:t>
      </w:r>
      <w:bookmarkEnd w:id="141"/>
    </w:p>
    <w:p w14:paraId="06401B96" w14:textId="77777777" w:rsidR="007873A7" w:rsidRPr="009B029B" w:rsidRDefault="007873A7" w:rsidP="00525BE0">
      <w:pPr>
        <w:jc w:val="both"/>
      </w:pPr>
    </w:p>
    <w:p w14:paraId="646EFEFD" w14:textId="03ED7FB0" w:rsidR="007873A7" w:rsidRDefault="00AA5CB6" w:rsidP="00525BE0">
      <w:pPr>
        <w:spacing w:line="360" w:lineRule="auto"/>
        <w:jc w:val="both"/>
      </w:pPr>
      <w:r>
        <w:t>Through analysis</w:t>
      </w:r>
      <w:r w:rsidR="007873A7">
        <w:t xml:space="preserve"> of theoretical, empirical, and stakeholder evidence, this study has synthesised </w:t>
      </w:r>
      <w:r w:rsidR="00CE4A20">
        <w:t>several</w:t>
      </w:r>
      <w:r w:rsidR="007873A7">
        <w:t xml:space="preserve"> middle-range theories and CMOCs to better understand how, why and what circumstances inter organisational collaboration are effective for NHS providers (see figure 1</w:t>
      </w:r>
      <w:r w:rsidR="00CE4A20">
        <w:t>6</w:t>
      </w:r>
      <w:r w:rsidR="007873A7">
        <w:t>).</w:t>
      </w:r>
    </w:p>
    <w:p w14:paraId="11392447" w14:textId="72056B1E" w:rsidR="007873A7" w:rsidRDefault="007873A7" w:rsidP="00525BE0">
      <w:pPr>
        <w:spacing w:line="360" w:lineRule="auto"/>
        <w:jc w:val="both"/>
      </w:pPr>
      <w:r>
        <w:t xml:space="preserve">This research provides important insights into how the contexts and mechanisms of collaborative functioning may lead to successful collaborative behaviour. </w:t>
      </w:r>
      <w:r w:rsidRPr="007B72BD">
        <w:t xml:space="preserve">It finds that the core mechanisms at play within collaborative functioning relate to the development </w:t>
      </w:r>
      <w:r>
        <w:t xml:space="preserve">of inter-organisational relations linked to trust, faith, and confidence. Crucially the extent to which task success and task failure is achieved appear to </w:t>
      </w:r>
      <w:r w:rsidRPr="007B72BD">
        <w:t>be me</w:t>
      </w:r>
      <w:r>
        <w:t xml:space="preserve">diated by supporting mechanisms related </w:t>
      </w:r>
      <w:r w:rsidR="00494240">
        <w:t>to capacity</w:t>
      </w:r>
      <w:r>
        <w:t xml:space="preserve">, legitimacy, complexity, conflict, and risk tolerance. The research breaks new ground in understanding the extent to which collaborative behaviours lead to performance improvement. </w:t>
      </w:r>
      <w:r w:rsidR="00CE4A20">
        <w:t>It finds that p</w:t>
      </w:r>
      <w:r>
        <w:t xml:space="preserve">erformance improvement can be achieved when the mechanisms of organisational efficiency, cultural efficacy, and technological effectiveness are </w:t>
      </w:r>
      <w:r w:rsidR="00CE4A20">
        <w:t>triggered</w:t>
      </w:r>
      <w:r>
        <w:t xml:space="preserve">, which in turn </w:t>
      </w:r>
      <w:r w:rsidR="00CE4A20">
        <w:t xml:space="preserve">can </w:t>
      </w:r>
      <w:r>
        <w:t xml:space="preserve">drive improvements across a range of dimensions, including care quality, safety, efficiency, and experience. </w:t>
      </w:r>
    </w:p>
    <w:p w14:paraId="58316EA4" w14:textId="54EB44D9" w:rsidR="007873A7" w:rsidRDefault="007873A7" w:rsidP="00525BE0">
      <w:pPr>
        <w:spacing w:line="360" w:lineRule="auto"/>
        <w:jc w:val="both"/>
      </w:pPr>
      <w:r>
        <w:t xml:space="preserve">These findings have important implications regarding realist understandings of inter organisational collaboration. Our refined theory extends existing Realist contributions to understanding collaborative synergy </w:t>
      </w:r>
      <w:r>
        <w:fldChar w:fldCharType="begin" w:fldLock="1"/>
      </w:r>
      <w:r w:rsidR="00EA4B53">
        <w:instrText>ADDIN CSL_CITATION {"citationItems":[{"id":"ITEM-1","itemData":{"DOI":"10.1111/j.1468-0009.2012.00665.x","ISSN":"0887378X","PMID":"22709390","abstract":"Context: Participatory research (PR) is the co-construction of research through partnerships between researchers and people affected by and/or responsible for action on the issues under study. Evaluating the benefits of PR is challenging for a number of reasons: the research topics, methods, and study designs are heterogeneous; the extent of collaborative involvement may vary over the duration of a project and from one project to the next; and partnership activities may generate a complex array of both short- and long-term outcomes. Methods: Our review team consisted of a collaboration among researchers and decision makers in public health, research funding, ethics review, and community-engaged scholarship. We identified, selected, and appraised a large-variety sample of primary studies describing PR partnerships, and in each stage, two team members independently reviewed and coded the literature. We used key realist review concepts (middle-range theory, demi-regularity, and context-mechanism-outcome configurations [CMO]) to analyze and synthesize the data, using the PR partnership as the main unit of analysis. Findings: From 7,167 abstracts and 591 full-text papers, we distilled for synthesis a final sample of twenty-three PR partnerships described in 276 publications. The link between process and outcome in these partnerships was best explained using the middle-range theory of partnership synergy, which demonstrates how PR can (1) ensure culturally and logistically appropriate research, (2) enhance recruitment capacity, (3) generate professional capacity and competence in stakeholder groups, (4) result in productive conflicts followed by useful negotiation, (5) increase the quality of outputs and outcomes over time, (6) increase the sustainability of project goals beyond funded time frames and during gaps in external funding, and (7) create system changes and new unanticipated projects and activities. Negative examples illustrated why these outcomes were not a guaranteed product of PR partnerships but were contingent on key aspects of context. Conclusions: We used a realist approach to embrace the heterogeneity and complexity of the PR literature. This theory-driven synthesis identified mechanisms by which PR may add value to the research process. Using the middle-range theory of partnership synergy, our review confirmed findings from previous PR reviews, documented and explained some negative outcomes, and generated new insights into the benefits of …","author":[{"dropping-particle":"","family":"Jagosh","given":"Justin","non-dropping-particle":"","parse-names":false,"suffix":""},{"dropping-particle":"","family":"MacAulay","given":"Ann C.","non-dropping-particle":"","parse-names":false,"suffix":""},{"dropping-particle":"","family":"Pluye","given":"Pierre","non-dropping-particle":"","parse-names":false,"suffix":""},{"dropping-particle":"","family":"Salsberg","given":"Jon","non-dropping-particle":"","parse-names":false,"suffix":""},{"dropping-particle":"","family":"Bush","given":"Paula L.","non-dropping-particle":"","parse-names":false,"suffix":""},{"dropping-particle":"","family":"Henderson","given":"Jim","non-dropping-particle":"","parse-names":false,"suffix":""},{"dropping-particle":"","family":"Sirett","given":"Erin","non-dropping-particle":"","parse-names":false,"suffix":""},{"dropping-particle":"","family":"Wong","given":"Geoff","non-dropping-particle":"","parse-names":false,"suffix":""},{"dropping-particle":"","family":"Cargo","given":"Margaret","non-dropping-particle":"","parse-names":false,"suffix":""},{"dropping-particle":"","family":"Herbert","given":"Carol P.","non-dropping-particle":"","parse-names":false,"suffix":""},{"dropping-particle":"","family":"Seifer","given":"Sarena D.","non-dropping-particle":"","parse-names":false,"suffix":""},{"dropping-particle":"","family":"Green","given":"Lawrence W.","non-dropping-particle":"","parse-names":false,"suffix":""},{"dropping-particle":"","family":"Greenhalgh","given":"Trisha","non-dropping-particle":"","parse-names":false,"suffix":""}],"container-title":"Milbank Quarterly","id":"ITEM-1","issue":"2","issued":{"date-parts":[["2012"]]},"page":"311-346","title":"Uncovering the benefits of participatory research: Implications of a realist review for health research and practice","type":"article-journal","volume":"90"},"uris":["http://www.mendeley.com/documents/?uuid=e8c3db14-fed0-465d-bf04-65cdb7845951"]}],"mendeley":{"formattedCitation":"&lt;sup&gt;132&lt;/sup&gt;","plainTextFormattedCitation":"132","previouslyFormattedCitation":"&lt;sup&gt;132&lt;/sup&gt;"},"properties":{"noteIndex":0},"schema":"https://github.com/citation-style-language/schema/raw/master/csl-citation.json"}</w:instrText>
      </w:r>
      <w:r>
        <w:fldChar w:fldCharType="separate"/>
      </w:r>
      <w:r w:rsidR="00E25884" w:rsidRPr="00E25884">
        <w:rPr>
          <w:noProof/>
          <w:vertAlign w:val="superscript"/>
        </w:rPr>
        <w:t>132</w:t>
      </w:r>
      <w:r>
        <w:fldChar w:fldCharType="end"/>
      </w:r>
      <w:r>
        <w:t xml:space="preserve"> with the development of CMOC</w:t>
      </w:r>
      <w:r w:rsidR="008E06E1">
        <w:t xml:space="preserve">s </w:t>
      </w:r>
      <w:r>
        <w:t xml:space="preserve">surrounding health care IOCs </w:t>
      </w:r>
      <w:r w:rsidR="00CF7ECA">
        <w:t xml:space="preserve">(135). </w:t>
      </w:r>
      <w:r w:rsidRPr="008C60F5">
        <w:t xml:space="preserve">The </w:t>
      </w:r>
      <w:r>
        <w:t>further articulation of</w:t>
      </w:r>
      <w:r w:rsidRPr="008C60F5">
        <w:t xml:space="preserve"> partnership functioning mechanisms </w:t>
      </w:r>
      <w:r>
        <w:t xml:space="preserve">as </w:t>
      </w:r>
      <w:r w:rsidRPr="008C60F5">
        <w:t xml:space="preserve">essential precursors to collaborative behaviour and the accomplishment of </w:t>
      </w:r>
      <w:r>
        <w:t>collaborative performance is able to provide new insights into the potential of IOCs in driving “purposeful collective action”</w:t>
      </w:r>
      <w:r w:rsidR="002A1205">
        <w:t xml:space="preserve"> </w:t>
      </w:r>
      <w:r w:rsidR="002A1205">
        <w:fldChar w:fldCharType="begin" w:fldLock="1"/>
      </w:r>
      <w:r w:rsidR="00EA4B53">
        <w:instrText>ADDIN CSL_CITATION {"citationItems":[{"id":"ITEM-1","itemData":{"DOI":"10.1186/s13012-016-0380-z","ISSN":"17485908","PMID":"26860631","abstract":"Background: Increasingly, it is being suggested that translational gaps might be eradicated or narrowed by bringing research users and producers closer together, a theory that is largely untested. This paper reports a national study to fill a gap in the evidence about the conditions, processes and outcomes related to collaboration and implementation. Methods: A longitudinal realist evaluation using multiple qualitative methods case studies was conducted with three Collaborations for Leadership in Applied Health Research in Care (England). Data were collected over four rounds of theory development, refinement and testing. Over 200 participants were involved in semi-structured interviews, non-participant observations of events and meetings, and stakeholder engagement. A combined inductive and deductive data analysis process was focused on proposition refinement and testing iteratively over data collection rounds. Results: The quality of existing relationships between higher education and local health service, and views about whether implementation was a collaborative act, created a path dependency. Where implementation was perceived to be removed from service and there was a lack of organisational connections, this resulted in a focus on knowledge production and transfer, rather than co-production. The collaborations' architectures were counterproductive because they did not facilitate connectivity and had emphasised professional and epistemic boundaries. More distributed leadership was associated with greater potential for engagement. The creation of boundary spanning roles was the most visible investment in implementation, and credible individuals in these roles resulted in cross-boundary work, in facilitation and in direct impacts. The academic-practice divide played out strongly as a context for motivation to engage, in that 'what's in it for me' resulted in variable levels of engagement along a co-operation-collaboration continuum. Learning within and across collaborations was patchy depending on attention to evaluation. Conclusions: These collaborations did not emerge from a vacuum, and they needed time to learn and develop. Their life cycle started with their position on collaboration, knowledge and implementation. More impactful attempts at collective action in implementation might be determined by the deliberate alignment of a number of features, including foundational relationships, vision, values, structures and processes and views about the na…","author":[{"dropping-particle":"","family":"Rycroft-Malone","given":"Jo","non-dropping-particle":"","parse-names":false,"suffix":""},{"dropping-particle":"","family":"Burton","given":"Christopher R.","non-dropping-particle":"","parse-names":false,"suffix":""},{"dropping-particle":"","family":"Wilkinson","given":"Joyce","non-dropping-particle":"","parse-names":false,"suffix":""},{"dropping-particle":"","family":"Harvey","given":"Gill","non-dropping-particle":"","parse-names":false,"suffix":""},{"dropping-particle":"","family":"McCormack","given":"Brendan","non-dropping-particle":"","parse-names":false,"suffix":""},{"dropping-particle":"","family":"Baker","given":"Richard","non-dropping-particle":"","parse-names":false,"suffix":""},{"dropping-particle":"","family":"Dopson","given":"Sue","non-dropping-particle":"","parse-names":false,"suffix":""},{"dropping-particle":"","family":"Graham","given":"Ian D.","non-dropping-particle":"","parse-names":false,"suffix":""},{"dropping-particle":"","family":"Staniszewska","given":"Sophie","non-dropping-particle":"","parse-names":false,"suffix":""},{"dropping-particle":"","family":"Thompson","given":"Carl","non-dropping-particle":"","parse-names":false,"suffix":""},{"dropping-particle":"","family":"Ariss","given":"Steven","non-dropping-particle":"","parse-names":false,"suffix":""},{"dropping-particle":"","family":"Melville-Richards","given":"Lucy","non-dropping-particle":"","parse-names":false,"suffix":""},{"dropping-particle":"","family":"Williams","given":"Lynne","non-dropping-particle":"","parse-names":false,"suffix":""}],"container-title":"Implementation Science","id":"ITEM-1","issue":"1","issued":{"date-parts":[["2016"]]},"page":"1-17","publisher":"Implementation Science","title":"Collective action for implementation: A realist evaluation of organisational collaboration in healthcare","type":"article-journal","volume":"11"},"uris":["http://www.mendeley.com/documents/?uuid=cc344269-70d5-4756-b11d-1d19fd0b5e8f"]}],"mendeley":{"formattedCitation":"&lt;sup&gt;127&lt;/sup&gt;","plainTextFormattedCitation":"127","previouslyFormattedCitation":"&lt;sup&gt;127&lt;/sup&gt;"},"properties":{"noteIndex":0},"schema":"https://github.com/citation-style-language/schema/raw/master/csl-citation.json"}</w:instrText>
      </w:r>
      <w:r w:rsidR="002A1205">
        <w:fldChar w:fldCharType="separate"/>
      </w:r>
      <w:r w:rsidR="00E25884" w:rsidRPr="00E25884">
        <w:rPr>
          <w:noProof/>
          <w:vertAlign w:val="superscript"/>
        </w:rPr>
        <w:t>127</w:t>
      </w:r>
      <w:r w:rsidR="002A1205">
        <w:fldChar w:fldCharType="end"/>
      </w:r>
      <w:r w:rsidR="002A1205">
        <w:t>.</w:t>
      </w:r>
    </w:p>
    <w:p w14:paraId="7B6E61EA" w14:textId="77777777" w:rsidR="007873A7" w:rsidRDefault="007873A7" w:rsidP="00525BE0">
      <w:pPr>
        <w:spacing w:line="360" w:lineRule="auto"/>
        <w:jc w:val="both"/>
        <w:sectPr w:rsidR="007873A7">
          <w:footerReference w:type="even" r:id="rId37"/>
          <w:footerReference w:type="default" r:id="rId38"/>
          <w:pgSz w:w="11906" w:h="16838"/>
          <w:pgMar w:top="1440" w:right="1440" w:bottom="1440" w:left="1440" w:header="708" w:footer="708" w:gutter="0"/>
          <w:cols w:space="708"/>
          <w:docGrid w:linePitch="360"/>
        </w:sectPr>
      </w:pPr>
    </w:p>
    <w:p w14:paraId="54AF5421" w14:textId="77777777" w:rsidR="007873A7" w:rsidRDefault="007873A7" w:rsidP="00525BE0">
      <w:pPr>
        <w:keepNext/>
        <w:spacing w:line="360" w:lineRule="auto"/>
        <w:jc w:val="both"/>
      </w:pPr>
      <w:r>
        <w:rPr>
          <w:noProof/>
          <w:lang w:eastAsia="en-GB"/>
        </w:rPr>
        <w:drawing>
          <wp:inline distT="0" distB="0" distL="0" distR="0" wp14:anchorId="13E72DE5" wp14:editId="118E04DD">
            <wp:extent cx="9484359" cy="4444394"/>
            <wp:effectExtent l="0" t="0" r="317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9484359" cy="4444394"/>
                    </a:xfrm>
                    <a:prstGeom prst="rect">
                      <a:avLst/>
                    </a:prstGeom>
                  </pic:spPr>
                </pic:pic>
              </a:graphicData>
            </a:graphic>
          </wp:inline>
        </w:drawing>
      </w:r>
    </w:p>
    <w:p w14:paraId="653B5538" w14:textId="31683AA9" w:rsidR="007873A7" w:rsidRDefault="007873A7" w:rsidP="00525BE0">
      <w:pPr>
        <w:pStyle w:val="Caption"/>
        <w:spacing w:line="360" w:lineRule="auto"/>
        <w:jc w:val="both"/>
        <w:sectPr w:rsidR="007873A7" w:rsidSect="007873A7">
          <w:pgSz w:w="16838" w:h="11906" w:orient="landscape"/>
          <w:pgMar w:top="1440" w:right="1440" w:bottom="1440" w:left="1440" w:header="708" w:footer="708" w:gutter="0"/>
          <w:cols w:space="708"/>
          <w:docGrid w:linePitch="360"/>
        </w:sectPr>
      </w:pPr>
      <w:bookmarkStart w:id="142" w:name="_Toc106181622"/>
      <w:r>
        <w:t xml:space="preserve">Figure </w:t>
      </w:r>
      <w:fldSimple w:instr=" SEQ Figure \* ARABIC ">
        <w:r w:rsidR="007D592C">
          <w:rPr>
            <w:noProof/>
          </w:rPr>
          <w:t>17</w:t>
        </w:r>
      </w:fldSimple>
      <w:r>
        <w:t>. Achieving inter-organisational collaboration: a synthesis of causal links between collaborative functioning and performance</w:t>
      </w:r>
      <w:bookmarkEnd w:id="142"/>
    </w:p>
    <w:p w14:paraId="30414061" w14:textId="77777777" w:rsidR="007873A7" w:rsidRDefault="007873A7" w:rsidP="00525BE0">
      <w:pPr>
        <w:spacing w:line="360" w:lineRule="auto"/>
        <w:jc w:val="both"/>
      </w:pPr>
    </w:p>
    <w:p w14:paraId="524F8674" w14:textId="77777777" w:rsidR="007873A7" w:rsidRDefault="007873A7" w:rsidP="00525BE0">
      <w:pPr>
        <w:spacing w:line="360" w:lineRule="auto"/>
        <w:jc w:val="both"/>
      </w:pPr>
    </w:p>
    <w:p w14:paraId="4FE5F957" w14:textId="77777777" w:rsidR="007873A7" w:rsidRPr="00807F58" w:rsidRDefault="007873A7" w:rsidP="00786E36">
      <w:pPr>
        <w:pStyle w:val="Heading3"/>
      </w:pPr>
      <w:bookmarkStart w:id="143" w:name="_Toc85066479"/>
      <w:r>
        <w:t>Theoretical implications</w:t>
      </w:r>
      <w:bookmarkEnd w:id="143"/>
    </w:p>
    <w:p w14:paraId="449B5958" w14:textId="77777777" w:rsidR="007873A7" w:rsidRDefault="007873A7" w:rsidP="00525BE0">
      <w:pPr>
        <w:spacing w:line="360" w:lineRule="auto"/>
        <w:jc w:val="both"/>
      </w:pPr>
    </w:p>
    <w:p w14:paraId="27C4ABE6" w14:textId="4E2F94DE" w:rsidR="002A1205" w:rsidRDefault="007873A7" w:rsidP="00525BE0">
      <w:pPr>
        <w:spacing w:line="360" w:lineRule="auto"/>
        <w:jc w:val="both"/>
        <w:rPr>
          <w:noProof/>
        </w:rPr>
      </w:pPr>
      <w:r w:rsidRPr="00293B68">
        <w:t xml:space="preserve">Our findings </w:t>
      </w:r>
      <w:r>
        <w:t xml:space="preserve">add to the small but </w:t>
      </w:r>
      <w:r w:rsidRPr="00293B68">
        <w:t xml:space="preserve">growing evidence base regarding what works in relation to IOCs. </w:t>
      </w:r>
      <w:r>
        <w:t xml:space="preserve">The mechanisms identified by this research lends support to those identified in previous studies regarding the ‘shaping factors’ for inter organisational and cross-sectoral collaborations. These include organisational factors such as capacity, creating a shared vision, unrealistic aims, trust, communication, governance and leadership </w:t>
      </w:r>
      <w:r w:rsidR="002A1205">
        <w:fldChar w:fldCharType="begin" w:fldLock="1"/>
      </w:r>
      <w:r w:rsidR="00EA4B53">
        <w:instrText>ADDIN CSL_CITATION {"citationItems":[{"id":"ITEM-1","itemData":{"author":[{"dropping-particle":"","family":"Alderwick","given":"Hugh","non-dropping-particle":"","parse-names":false,"suffix":""},{"dropping-particle":"","family":"Hutchings","given":"Andrew","non-dropping-particle":"","parse-names":false,"suffix":""},{"dropping-particle":"","family":"Briggs","given":"Adam","non-dropping-particle":"","parse-names":false,"suffix":""},{"dropping-particle":"","family":"Mays","given":"Nicholas","non-dropping-particle":"","parse-names":false,"suffix":""}],"id":"ITEM-1","issued":{"date-parts":[["2021"]]},"page":"1-16","publisher":"BMC Public Health","title":"The impacts of collaboration between local health care and non-health care organizations and factors shaping how they work : a systematic review of reviews","type":"article-journal"},"uris":["http://www.mendeley.com/documents/?uuid=5cd7d0c2-1345-4851-a43f-fa864eb1a204"]},{"id":"ITEM-2","itemData":{"abstract":"Introduction The idea of partnerships and collaboration across organisational boundaries is not new in the NHS in England, but it is reaching a zenith in policymakers’ minds. The 2017–19 planning guidance for the NHS put it simply: partnership behaviours are becoming ‘the new norm’ and ‘What makes most sense for patients, communities and the taxpayer should always trump the narrower interests of individual organisations.’1 This idea underpins the sustainability and transformation partnerships and the new models of care set out in the Five year forward view for the NHS in England.2 It also builds on the experience of initiatives that have been tried over the past decade, ranging from new forms of organisational links (eg buddying and franchises) to building networks and communities of practitioners to help improve health service delivery. The Health Foundation has contributed to developing the evidence base for networks – for example, by funding programmes to help clinical communities improve quality of care in specific areas of practice,3 reviewing how to develop and manage effective networks to support quality improvement,4 and developing Q, a connected community of people who have improvement expertise from across the UK.5 But less is known about what makes for successful partnerships between providers at an organisational level. For this reason, the Health Foundation commissioned the Health Services Management Centre (HSMC) at the University of Birmingham to look at a range of current organisational partnerships, and draw some tentative learning to help inform and guide both policymakers and providers. This briefing by the Health Foundation and HSMC summarises the main findings of the research report and what providers and policymakers can learn. The research report, Partnering for improvement: inter-organisational developments in the NHS, is available at www.birmingham.ac.uk/partnering-for-improvement.6","author":[{"dropping-particle":"","family":"Miller","given":"Robin","non-dropping-particle":"","parse-names":false,"suffix":""},{"dropping-particle":"","family":"Millar","given":"Ross","non-dropping-particle":"","parse-names":false,"suffix":""}],"container-title":"Health Foundation","id":"ITEM-2","issue":"September","issued":{"date-parts":[["2017"]]},"title":"Partnerships for improvement: ingredients for success","type":"report"},"uris":["http://www.mendeley.com/documents/?uuid=d0c5f80f-2b8d-4582-ae88-734dcb538e8d"]}],"mendeley":{"formattedCitation":"&lt;sup&gt;12,13&lt;/sup&gt;","plainTextFormattedCitation":"12,13","previouslyFormattedCitation":"&lt;sup&gt;12,13&lt;/sup&gt;"},"properties":{"noteIndex":0},"schema":"https://github.com/citation-style-language/schema/raw/master/csl-citation.json"}</w:instrText>
      </w:r>
      <w:r w:rsidR="002A1205">
        <w:fldChar w:fldCharType="separate"/>
      </w:r>
      <w:r w:rsidR="00E25884" w:rsidRPr="00E25884">
        <w:rPr>
          <w:noProof/>
          <w:vertAlign w:val="superscript"/>
        </w:rPr>
        <w:t>12,13</w:t>
      </w:r>
      <w:r w:rsidR="002A1205">
        <w:fldChar w:fldCharType="end"/>
      </w:r>
      <w:r w:rsidR="002A1205">
        <w:rPr>
          <w:noProof/>
        </w:rPr>
        <w:t>.</w:t>
      </w:r>
    </w:p>
    <w:p w14:paraId="46741F12" w14:textId="3475B4FB" w:rsidR="007873A7" w:rsidRDefault="007873A7" w:rsidP="00525BE0">
      <w:pPr>
        <w:spacing w:line="360" w:lineRule="auto"/>
        <w:jc w:val="both"/>
      </w:pPr>
      <w:r>
        <w:t xml:space="preserve">In addition, through its use of realist methods </w:t>
      </w:r>
      <w:r w:rsidRPr="00B45E6B">
        <w:t xml:space="preserve">our contribution </w:t>
      </w:r>
      <w:r>
        <w:t xml:space="preserve">is also able to articulate how, where, and why such factors resonate and for whom. For instance, our synthesis of theoretical, empirical, and stakeholder evidence highlights how building trust and faith, particularly in the early phases of IOCs helps to buffer against potential conflicts, particularly during the later stages of implementation. Our findings support other research which suggests that trust is closely linked with the concept of collaborative synergy (framed here as ‘collaborative behaviour’) and mutual successes </w:t>
      </w:r>
      <w:r>
        <w:fldChar w:fldCharType="begin" w:fldLock="1"/>
      </w:r>
      <w:r w:rsidR="00EA4B53">
        <w:instrText>ADDIN CSL_CITATION {"citationItems":[{"id":"ITEM-1","itemData":{"DOI":"10.1186/s12889-015-1949-1","ISSN":"14712458","abstract":"Background: Community-Based Participatory Research (CBPR) is an approach in which researchers and community stakeholders form equitable partnerships to tackle issues related to community health improvement and knowledge production. Our 2012 realist review of CBPR outcomes reported long-term effects that were touched upon but not fully explained in the retained literature. To further explore such effects, interviews were conducted with academic and community partners of partnerships retained in the review. Realist methodology was used to increase the understanding of what supports partnership synergy in successful long-term CBPR partnerships, and to further document how equitable partnerships can result in numerous benefits including the sustainability of relationships, research and solutions. Methods: Building on our previous realist review of CBPR, we contacted the authors of longitudinal studies of academic-community partnerships retained in the review. Twenty-four participants (community members and researchers) from 11 partnerships were interviewed. Realist logic of analysis was used, involving middle-range theory, context-mechanism-outcome configuration (CMOcs) and the concept of the 'ripple effect'. Results: The analysis supports the central importance of developing and strengthening partnership synergy through trust. The ripple effect concept in conjunction with CMOcs showed that a sense of trust amongst CBPR members was a prominent mechanism leading to partnership sustainability. This in turn resulted in population-level outcomes including: (a) sustaining collaborative efforts toward health improvement; (b) generating spin-off projects; and (c) achieving systemic transformations. Conclusion: These results add to other studies on improving the science of CBPR in partnerships with a high level of power-sharing and co-governance. Our results suggest sustaining CBPR and achieving unanticipated benefits likely depend on trust-related mechanisms and a continuing commitment to power-sharing. These findings have implications for building successful CBPR partnerships to address challenging public health problems and the complex assessment of outcomes.","author":[{"dropping-particle":"","family":"Jagosh","given":"Justin","non-dropping-particle":"","parse-names":false,"suffix":""},{"dropping-particle":"","family":"Bush","given":"Paula L.","non-dropping-particle":"","parse-names":false,"suffix":""},{"dropping-particle":"","family":"Salsberg","given":"Jon","non-dropping-particle":"","parse-names":false,"suffix":""},{"dropping-particle":"","family":"Macaulay","given":"Ann C.","non-dropping-particle":"","parse-names":false,"suffix":""},{"dropping-particle":"","family":"Greenhalgh","given":"Trish","non-dropping-particle":"","parse-names":false,"suffix":""},{"dropping-particle":"","family":"Wong","given":"Geoff","non-dropping-particle":"","parse-names":false,"suffix":""},{"dropping-particle":"","family":"Cargo","given":"Margaret","non-dropping-particle":"","parse-names":false,"suffix":""},{"dropping-particle":"","family":"Green","given":"Lawrence W.","non-dropping-particle":"","parse-names":false,"suffix":""},{"dropping-particle":"","family":"Herbert","given":"Carol P.","non-dropping-particle":"","parse-names":false,"suffix":""},{"dropping-particle":"","family":"Pluye","given":"Pierre","non-dropping-particle":"","parse-names":false,"suffix":""}],"container-title":"BMC Public Health","id":"ITEM-1","issue":"1","issued":{"date-parts":[["2015"]]},"page":"1-11","publisher":"BMC Public Health","title":"A realist evaluation of community-based participatory research: Partnership synergy, trust building and related ripple effects","type":"article-journal","volume":"15"},"uris":["http://www.mendeley.com/documents/?uuid=af51807d-7f01-4ceb-bdad-7d82155332b7"]}],"mendeley":{"formattedCitation":"&lt;sup&gt;54&lt;/sup&gt;","plainTextFormattedCitation":"54","previouslyFormattedCitation":"&lt;sup&gt;54&lt;/sup&gt;"},"properties":{"noteIndex":0},"schema":"https://github.com/citation-style-language/schema/raw/master/csl-citation.json"}</w:instrText>
      </w:r>
      <w:r>
        <w:fldChar w:fldCharType="separate"/>
      </w:r>
      <w:r w:rsidR="00E25884" w:rsidRPr="00E25884">
        <w:rPr>
          <w:noProof/>
          <w:vertAlign w:val="superscript"/>
        </w:rPr>
        <w:t>54</w:t>
      </w:r>
      <w:r>
        <w:fldChar w:fldCharType="end"/>
      </w:r>
      <w:r>
        <w:t xml:space="preserve">. The findings introducing new insights regarding the relationship between trust and risk tolerance to explain </w:t>
      </w:r>
      <w:r w:rsidRPr="009D02B0">
        <w:rPr>
          <w:i/>
          <w:iCs/>
        </w:rPr>
        <w:t>ho</w:t>
      </w:r>
      <w:r w:rsidRPr="00BE602A">
        <w:rPr>
          <w:i/>
          <w:iCs/>
        </w:rPr>
        <w:t>w</w:t>
      </w:r>
      <w:r>
        <w:t xml:space="preserve"> </w:t>
      </w:r>
      <w:r w:rsidRPr="00BE602A">
        <w:t>trust</w:t>
      </w:r>
      <w:r>
        <w:t xml:space="preserve"> is a necessary factor for engaging in collaborative behaviour.  </w:t>
      </w:r>
      <w:r w:rsidR="008E06E1">
        <w:t>T</w:t>
      </w:r>
      <w:r>
        <w:t xml:space="preserve">he concept of faith, while relatively intuitive, has </w:t>
      </w:r>
      <w:r w:rsidR="008E06E1">
        <w:t>o</w:t>
      </w:r>
      <w:r>
        <w:t xml:space="preserve">ften been underrepresented in existing theories of inter organisational collaboration </w:t>
      </w:r>
      <w:r>
        <w:fldChar w:fldCharType="begin" w:fldLock="1"/>
      </w:r>
      <w:r w:rsidR="00EA4B53">
        <w:instrText>ADDIN CSL_CITATION {"citationItems":[{"id":"ITEM-1","itemData":{"author":[{"dropping-particle":"","family":"NHS Employers","given":"","non-dropping-particle":"","parse-names":false,"suffix":""}],"id":"ITEM-1","issued":{"date-parts":[["2017"]]},"page":"1-56","title":"Trustworthy Collaboration","type":"article-journal"},"uris":["http://www.mendeley.com/documents/?uuid=419502eb-b01f-41ca-aec3-bc02a63dec92"]}],"mendeley":{"formattedCitation":"&lt;sup&gt;44&lt;/sup&gt;","plainTextFormattedCitation":"44","previouslyFormattedCitation":"&lt;sup&gt;44&lt;/sup&gt;"},"properties":{"noteIndex":0},"schema":"https://github.com/citation-style-language/schema/raw/master/csl-citation.json"}</w:instrText>
      </w:r>
      <w:r>
        <w:fldChar w:fldCharType="separate"/>
      </w:r>
      <w:r w:rsidR="00E25884" w:rsidRPr="00E25884">
        <w:rPr>
          <w:noProof/>
          <w:vertAlign w:val="superscript"/>
        </w:rPr>
        <w:t>44</w:t>
      </w:r>
      <w:r>
        <w:fldChar w:fldCharType="end"/>
      </w:r>
      <w:r>
        <w:t xml:space="preserve">. </w:t>
      </w:r>
      <w:r w:rsidR="008E06E1">
        <w:t>O</w:t>
      </w:r>
      <w:r>
        <w:t xml:space="preserve">ur findings therefore provide new insights into how the ‘motivation to engage’ in the collaborative process </w:t>
      </w:r>
      <w:r w:rsidR="002A1205">
        <w:fldChar w:fldCharType="begin" w:fldLock="1"/>
      </w:r>
      <w:r w:rsidR="00EA4B53">
        <w:instrText>ADDIN CSL_CITATION {"citationItems":[{"id":"ITEM-1","itemData":{"DOI":"10.1186/s13012-016-0380-z","ISSN":"17485908","PMID":"26860631","abstract":"Background: Increasingly, it is being suggested that translational gaps might be eradicated or narrowed by bringing research users and producers closer together, a theory that is largely untested. This paper reports a national study to fill a gap in the evidence about the conditions, processes and outcomes related to collaboration and implementation. Methods: A longitudinal realist evaluation using multiple qualitative methods case studies was conducted with three Collaborations for Leadership in Applied Health Research in Care (England). Data were collected over four rounds of theory development, refinement and testing. Over 200 participants were involved in semi-structured interviews, non-participant observations of events and meetings, and stakeholder engagement. A combined inductive and deductive data analysis process was focused on proposition refinement and testing iteratively over data collection rounds. Results: The quality of existing relationships between higher education and local health service, and views about whether implementation was a collaborative act, created a path dependency. Where implementation was perceived to be removed from service and there was a lack of organisational connections, this resulted in a focus on knowledge production and transfer, rather than co-production. The collaborations' architectures were counterproductive because they did not facilitate connectivity and had emphasised professional and epistemic boundaries. More distributed leadership was associated with greater potential for engagement. The creation of boundary spanning roles was the most visible investment in implementation, and credible individuals in these roles resulted in cross-boundary work, in facilitation and in direct impacts. The academic-practice divide played out strongly as a context for motivation to engage, in that 'what's in it for me' resulted in variable levels of engagement along a co-operation-collaboration continuum. Learning within and across collaborations was patchy depending on attention to evaluation. Conclusions: These collaborations did not emerge from a vacuum, and they needed time to learn and develop. Their life cycle started with their position on collaboration, knowledge and implementation. More impactful attempts at collective action in implementation might be determined by the deliberate alignment of a number of features, including foundational relationships, vision, values, structures and processes and views about the na…","author":[{"dropping-particle":"","family":"Rycroft-Malone","given":"Jo","non-dropping-particle":"","parse-names":false,"suffix":""},{"dropping-particle":"","family":"Burton","given":"Christopher R.","non-dropping-particle":"","parse-names":false,"suffix":""},{"dropping-particle":"","family":"Wilkinson","given":"Joyce","non-dropping-particle":"","parse-names":false,"suffix":""},{"dropping-particle":"","family":"Harvey","given":"Gill","non-dropping-particle":"","parse-names":false,"suffix":""},{"dropping-particle":"","family":"McCormack","given":"Brendan","non-dropping-particle":"","parse-names":false,"suffix":""},{"dropping-particle":"","family":"Baker","given":"Richard","non-dropping-particle":"","parse-names":false,"suffix":""},{"dropping-particle":"","family":"Dopson","given":"Sue","non-dropping-particle":"","parse-names":false,"suffix":""},{"dropping-particle":"","family":"Graham","given":"Ian D.","non-dropping-particle":"","parse-names":false,"suffix":""},{"dropping-particle":"","family":"Staniszewska","given":"Sophie","non-dropping-particle":"","parse-names":false,"suffix":""},{"dropping-particle":"","family":"Thompson","given":"Carl","non-dropping-particle":"","parse-names":false,"suffix":""},{"dropping-particle":"","family":"Ariss","given":"Steven","non-dropping-particle":"","parse-names":false,"suffix":""},{"dropping-particle":"","family":"Melville-Richards","given":"Lucy","non-dropping-particle":"","parse-names":false,"suffix":""},{"dropping-particle":"","family":"Williams","given":"Lynne","non-dropping-particle":"","parse-names":false,"suffix":""}],"container-title":"Implementation Science","id":"ITEM-1","issue":"1","issued":{"date-parts":[["2016"]]},"page":"1-17","publisher":"Implementation Science","title":"Collective action for implementation: A realist evaluation of organisational collaboration in healthcare","type":"article-journal","volume":"11"},"uris":["http://www.mendeley.com/documents/?uuid=cc344269-70d5-4756-b11d-1d19fd0b5e8f"]}],"mendeley":{"formattedCitation":"&lt;sup&gt;127&lt;/sup&gt;","plainTextFormattedCitation":"127","previouslyFormattedCitation":"&lt;sup&gt;127&lt;/sup&gt;"},"properties":{"noteIndex":0},"schema":"https://github.com/citation-style-language/schema/raw/master/csl-citation.json"}</w:instrText>
      </w:r>
      <w:r w:rsidR="002A1205">
        <w:fldChar w:fldCharType="separate"/>
      </w:r>
      <w:r w:rsidR="00E25884" w:rsidRPr="00E25884">
        <w:rPr>
          <w:noProof/>
          <w:vertAlign w:val="superscript"/>
        </w:rPr>
        <w:t>127</w:t>
      </w:r>
      <w:r w:rsidR="002A1205">
        <w:fldChar w:fldCharType="end"/>
      </w:r>
      <w:r w:rsidR="002A1205">
        <w:t>.</w:t>
      </w:r>
      <w:r>
        <w:t xml:space="preserve"> </w:t>
      </w:r>
    </w:p>
    <w:p w14:paraId="6FD8C842" w14:textId="22ACC658" w:rsidR="007873A7" w:rsidRDefault="007873A7" w:rsidP="00525BE0">
      <w:pPr>
        <w:spacing w:line="360" w:lineRule="auto"/>
        <w:jc w:val="both"/>
      </w:pPr>
      <w:r>
        <w:t xml:space="preserve">Where realist evaluations have focused predominantly on collaborative functioning within the dynamics of IOCs </w:t>
      </w:r>
      <w:r>
        <w:fldChar w:fldCharType="begin" w:fldLock="1"/>
      </w:r>
      <w:r w:rsidR="00EA4B53">
        <w:instrText>ADDIN CSL_CITATION {"citationItems":[{"id":"ITEM-1","itemData":{"DOI":"10.1186/s13012-016-0380-z","ISSN":"17485908","PMID":"26860631","abstract":"Background: Increasingly, it is being suggested that translational gaps might be eradicated or narrowed by bringing research users and producers closer together, a theory that is largely untested. This paper reports a national study to fill a gap in the evidence about the conditions, processes and outcomes related to collaboration and implementation. Methods: A longitudinal realist evaluation using multiple qualitative methods case studies was conducted with three Collaborations for Leadership in Applied Health Research in Care (England). Data were collected over four rounds of theory development, refinement and testing. Over 200 participants were involved in semi-structured interviews, non-participant observations of events and meetings, and stakeholder engagement. A combined inductive and deductive data analysis process was focused on proposition refinement and testing iteratively over data collection rounds. Results: The quality of existing relationships between higher education and local health service, and views about whether implementation was a collaborative act, created a path dependency. Where implementation was perceived to be removed from service and there was a lack of organisational connections, this resulted in a focus on knowledge production and transfer, rather than co-production. The collaborations' architectures were counterproductive because they did not facilitate connectivity and had emphasised professional and epistemic boundaries. More distributed leadership was associated with greater potential for engagement. The creation of boundary spanning roles was the most visible investment in implementation, and credible individuals in these roles resulted in cross-boundary work, in facilitation and in direct impacts. The academic-practice divide played out strongly as a context for motivation to engage, in that 'what's in it for me' resulted in variable levels of engagement along a co-operation-collaboration continuum. Learning within and across collaborations was patchy depending on attention to evaluation. Conclusions: These collaborations did not emerge from a vacuum, and they needed time to learn and develop. Their life cycle started with their position on collaboration, knowledge and implementation. More impactful attempts at collective action in implementation might be determined by the deliberate alignment of a number of features, including foundational relationships, vision, values, structures and processes and views about the na…","author":[{"dropping-particle":"","family":"Rycroft-Malone","given":"Jo","non-dropping-particle":"","parse-names":false,"suffix":""},{"dropping-particle":"","family":"Burton","given":"Christopher R.","non-dropping-particle":"","parse-names":false,"suffix":""},{"dropping-particle":"","family":"Wilkinson","given":"Joyce","non-dropping-particle":"","parse-names":false,"suffix":""},{"dropping-particle":"","family":"Harvey","given":"Gill","non-dropping-particle":"","parse-names":false,"suffix":""},{"dropping-particle":"","family":"McCormack","given":"Brendan","non-dropping-particle":"","parse-names":false,"suffix":""},{"dropping-particle":"","family":"Baker","given":"Richard","non-dropping-particle":"","parse-names":false,"suffix":""},{"dropping-particle":"","family":"Dopson","given":"Sue","non-dropping-particle":"","parse-names":false,"suffix":""},{"dropping-particle":"","family":"Graham","given":"Ian D.","non-dropping-particle":"","parse-names":false,"suffix":""},{"dropping-particle":"","family":"Staniszewska","given":"Sophie","non-dropping-particle":"","parse-names":false,"suffix":""},{"dropping-particle":"","family":"Thompson","given":"Carl","non-dropping-particle":"","parse-names":false,"suffix":""},{"dropping-particle":"","family":"Ariss","given":"Steven","non-dropping-particle":"","parse-names":false,"suffix":""},{"dropping-particle":"","family":"Melville-Richards","given":"Lucy","non-dropping-particle":"","parse-names":false,"suffix":""},{"dropping-particle":"","family":"Williams","given":"Lynne","non-dropping-particle":"","parse-names":false,"suffix":""}],"container-title":"Implementation Science","id":"ITEM-1","issue":"1","issued":{"date-parts":[["2016"]]},"page":"1-17","publisher":"Implementation Science","title":"Collective action for implementation: A realist evaluation of organisational collaboration in healthcare","type":"article-journal","volume":"11"},"uris":["http://www.mendeley.com/documents/?uuid=cc344269-70d5-4756-b11d-1d19fd0b5e8f"]},{"id":"ITEM-2","itemData":{"DOI":"10.1177/2053434518800884","ISSN":"20534353","abstract":"Introduction: In 2010, in a context of severe economic recession, the Basque Government launched the Strategy to tackle the challenge of chronicity in the Basque Country to transform the Basque health system to cope with the challenges of chronicity, ageing, health system fragmentation and sustainability in the long run. Methods: A realist evaluation has been conducted, and through a combination of research methods, information has been analysed to identify context, mechanisms and outcomes. The research provides a snapshot of the experience of a system-wide, complex health system transformation, which aims to identify ‘what has worked, for whom and under what circumstances’. Twenty-two semi-structured interviews held between June 2015 and December 2016, allowed us to obtain both retrospective and real-time accounts on the transformation phenomenon. Results: Research pointed out that system-wide transformation requires time, effort, leadership, vision and narrative, as well as commitment, inclusiveness, collaborative decision-making processes with local implementers, ‘muddling through’ and constant learning. Key levers to shake and shift the health and social care systems towards closer alignment, coordination and integration to meet the needs of people include promoting collaborative relationships between health professionals to ensure care continuity, developing new staff roles, investing in integrated electronic health records, stratifying the population by risk and facilitating bottom-up innovation. Discussion: Research has shown that system-wide changes in health and social care have been viable in the Basque Health System, although the interplay between context, mechanisms and outcomes is more complex than expected, leading to many unexpected factors, patterns and relationships.","author":[{"dropping-particle":"","family":"Urtaran-Laresgoiti","given":"Maider","non-dropping-particle":"","parse-names":false,"suffix":""},{"dropping-particle":"","family":"Álvarez-Rosete","given":"Arturo","non-dropping-particle":"","parse-names":false,"suffix":""},{"dropping-particle":"","family":"Nuño-Solinís","given":"Roberto","non-dropping-particle":"","parse-names":false,"suffix":""}],"container-title":"International Journal of Care Coordination","id":"ITEM-2","issue":"3","issued":{"date-parts":[["2018"]]},"page":"98-108","title":"A system-wide transformation towards integrated care in the Basque Country: A realist evaluation","type":"article-journal","volume":"21"},"uris":["http://www.mendeley.com/documents/?uuid=546ee726-ac2f-440e-bfef-8b59e03a5153"]},{"id":"ITEM-3","itemData":{"DOI":"10.1186/s12913-019-4586-z","ISSN":"14726963","PMID":"31653231","abstract":"Background: People living with and beyond cancer (PLC) receive various forms of specialty care at different locations and many interventions concurrently or over time. They are affected by the operation of professional and organizational silos. This results in undue delays in access, unmet needs, sub-optimal care experiences and clinical outcomes, and human and financial costs for PLCs and healthcare systems. National cancer control programs advocate organizing in a network to coordinate actions, solve fragmentation problems, and thus improve clinical outcomes and care experiences for every dollar invested. The variable outcomes of such networks and factors explaining them have been documented. Governance is the \"missing link\" for understanding outcomes. Governance refers to the coordination of collective action by a body in a position of authority in pursuit of a common goal. The Quebec Cancer Network (QCN) offers the opportunity to study in a natural environment how, why, by whom, for whom, and under what conditions collaborative governance contributes to practices that produce value-added outcomes for PLCs, healthcare providers, and the healthcare system. Methods/design: The study design consists of a longitudinal case study, with multiple nested cases (4 local networks nested in the QCN), mobilizing qualitative and quantitative data and mixed data from various sources and collected using different methods, using the realist evaluation approach. Qualitative data will be used for a thematic analysis of collaborative governance. Quantitative data from validated questionnaires will be analyzed to measure relational coordination and teamwork, care experience, clinical outcomes, and health-related health-related quality of life, as well as a cost analysis of service utilization. Associations between context, governance mechanisms, and outcomes will be sought. Robust data will be produced to support decision-makers to guide network governance towards optimized clinical outcomes and the reduction of the economic toxicity of cancer for PLCs and health systems.","author":[{"dropping-particle":"","family":"Tremblay","given":"Dominique","non-dropping-particle":"","parse-names":false,"suffix":""},{"dropping-particle":"","family":"Touati","given":"Nassera","non-dropping-particle":"","parse-names":false,"suffix":""},{"dropping-particle":"","family":"Poder","given":"Thomas","non-dropping-particle":"","parse-names":false,"suffix":""},{"dropping-particle":"","family":"Vasiliadis","given":"Helen Maria","non-dropping-particle":"","parse-names":false,"suffix":""},{"dropping-particle":"","family":"Bilodeau","given":"Karine","non-dropping-particle":"","parse-names":false,"suffix":""},{"dropping-particle":"","family":"Berbiche","given":"Djamal","non-dropping-particle":"","parse-names":false,"suffix":""},{"dropping-particle":"","family":"Denis","given":"Jean Louis","non-dropping-particle":"","parse-names":false,"suffix":""},{"dropping-particle":"","family":"Pomey","given":"Marie Pascale","non-dropping-particle":"","parse-names":false,"suffix":""},{"dropping-particle":"","family":"Hébert","given":"Johanne","non-dropping-particle":"","parse-names":false,"suffix":""},{"dropping-particle":"","family":"Roch","given":"Geneviève","non-dropping-particle":"","parse-names":false,"suffix":""},{"dropping-particle":"","family":"Prady","given":"Catherine","non-dropping-particle":"","parse-names":false,"suffix":""},{"dropping-particle":"","family":"Lévesque","given":"Lise","non-dropping-particle":"","parse-names":false,"suffix":""}],"container-title":"BMC Health Services Research","id":"ITEM-3","issue":"1","issued":{"date-parts":[["2019"]]},"page":"1-14","publisher":"BMC Health Services Research","title":"Collaborative governance in the Quebec Cancer Network: A realist evaluation of emerging mechanisms of institutionalization, multi-level governance, and value creation using a longitudinal multiple case study design","type":"article-journal","volume":"19"},"uris":["http://www.mendeley.com/documents/?uuid=ba5618f1-f618-4193-997b-163c754086e1"]},{"id":"ITEM-4","itemData":{"DOI":"10.1186/s12889-015-1949-1","ISSN":"14712458","abstract":"Background: Community-Based Participatory Research (CBPR) is an approach in which researchers and community stakeholders form equitable partnerships to tackle issues related to community health improvement and knowledge production. Our 2012 realist review of CBPR outcomes reported long-term effects that were touched upon but not fully explained in the retained literature. To further explore such effects, interviews were conducted with academic and community partners of partnerships retained in the review. Realist methodology was used to increase the understanding of what supports partnership synergy in successful long-term CBPR partnerships, and to further document how equitable partnerships can result in numerous benefits including the sustainability of relationships, research and solutions. Methods: Building on our previous realist review of CBPR, we contacted the authors of longitudinal studies of academic-community partnerships retained in the review. Twenty-four participants (community members and researchers) from 11 partnerships were interviewed. Realist logic of analysis was used, involving middle-range theory, context-mechanism-outcome configuration (CMOcs) and the concept of the 'ripple effect'. Results: The analysis supports the central importance of developing and strengthening partnership synergy through trust. The ripple effect concept in conjunction with CMOcs showed that a sense of trust amongst CBPR members was a prominent mechanism leading to partnership sustainability. This in turn resulted in population-level outcomes including: (a) sustaining collaborative efforts toward health improvement; (b) generating spin-off projects; and (c) achieving systemic transformations. Conclusion: These results add to other studies on improving the science of CBPR in partnerships with a high level of power-sharing and co-governance. Our results suggest sustaining CBPR and achieving unanticipated benefits likely depend on trust-related mechanisms and a continuing commitment to power-sharing. These findings have implications for building successful CBPR partnerships to address challenging public health problems and the complex assessment of outcomes.","author":[{"dropping-particle":"","family":"Jagosh","given":"Justin","non-dropping-particle":"","parse-names":false,"suffix":""},{"dropping-particle":"","family":"Bush","given":"Paula L.","non-dropping-particle":"","parse-names":false,"suffix":""},{"dropping-particle":"","family":"Salsberg","given":"Jon","non-dropping-particle":"","parse-names":false,"suffix":""},{"dropping-particle":"","family":"Macaulay","given":"Ann C.","non-dropping-particle":"","parse-names":false,"suffix":""},{"dropping-particle":"","family":"Greenhalgh","given":"Trish","non-dropping-particle":"","parse-names":false,"suffix":""},{"dropping-particle":"","family":"Wong","given":"Geoff","non-dropping-particle":"","parse-names":false,"suffix":""},{"dropping-particle":"","family":"Cargo","given":"Margaret","non-dropping-particle":"","parse-names":false,"suffix":""},{"dropping-particle":"","family":"Green","given":"Lawrence W.","non-dropping-particle":"","parse-names":false,"suffix":""},{"dropping-particle":"","family":"Herbert","given":"Carol P.","non-dropping-particle":"","parse-names":false,"suffix":""},{"dropping-particle":"","family":"Pluye","given":"Pierre","non-dropping-particle":"","parse-names":false,"suffix":""}],"container-title":"BMC Public Health","id":"ITEM-4","issue":"1","issued":{"date-parts":[["2015"]]},"page":"1-11","publisher":"BMC Public Health","title":"A realist evaluation of community-based participatory research: Partnership synergy, trust building and related ripple effects","type":"article-journal","volume":"15"},"uris":["http://www.mendeley.com/documents/?uuid=af51807d-7f01-4ceb-bdad-7d82155332b7"]}],"mendeley":{"formattedCitation":"&lt;sup&gt;54,127,219,220&lt;/sup&gt;","plainTextFormattedCitation":"54,127,219,220","previouslyFormattedCitation":"&lt;sup&gt;54,127,219,220&lt;/sup&gt;"},"properties":{"noteIndex":0},"schema":"https://github.com/citation-style-language/schema/raw/master/csl-citation.json"}</w:instrText>
      </w:r>
      <w:r>
        <w:fldChar w:fldCharType="separate"/>
      </w:r>
      <w:r w:rsidR="00E25884" w:rsidRPr="00E25884">
        <w:rPr>
          <w:noProof/>
          <w:vertAlign w:val="superscript"/>
        </w:rPr>
        <w:t>54,127,219,220</w:t>
      </w:r>
      <w:r>
        <w:fldChar w:fldCharType="end"/>
      </w:r>
      <w:r>
        <w:t xml:space="preserve">, our extension of understanding collaborative performance </w:t>
      </w:r>
      <w:r w:rsidR="002A1205">
        <w:fldChar w:fldCharType="begin" w:fldLock="1"/>
      </w:r>
      <w:r w:rsidR="00EA4B53">
        <w:instrText>ADDIN CSL_CITATION {"citationItems":[{"id":"ITEM-1","itemData":{"DOI":"10.1111/padm.12048","ISSN":"14679299","abstract":"Much of what has been written about collaboration treats it instrumentally as a means-ends tool of improvement. However, despite considerable collaborative activity there is little evidence that clearly links collaboration to improvements in service-user outcomes or reduced inequalities. In this article we draw on literature from critical public policy and governance studies to recast collaboration as an expression of cultural performance associated with a rather different set of values and measures. We argue that understanding collaboration in the round means that we need to pay attention to all dimensions of performance including cultural performance. We argue that this in turn helps to explain the persistent appeal of collaboration amongst policy makers and practitioners. © 2013 John Wiley &amp; Sons Ltd.","author":[{"dropping-particle":"","family":"Dickinson","given":"Helen","non-dropping-particle":"","parse-names":false,"suffix":""},{"dropping-particle":"","family":"Sullivan","given":"Helen","non-dropping-particle":"","parse-names":false,"suffix":""}],"container-title":"Public Administration","id":"ITEM-1","issue":"1","issued":{"date-parts":[["2014"]]},"page":"161-177","title":"Towards a general theory of collaborative performance: The importance of efficacy and agency","type":"article-journal","volume":"92"},"uris":["http://www.mendeley.com/documents/?uuid=4634c9cd-08ce-43d3-8271-9a9e3d4a1850"]}],"mendeley":{"formattedCitation":"&lt;sup&gt;48&lt;/sup&gt;","plainTextFormattedCitation":"48","previouslyFormattedCitation":"&lt;sup&gt;48&lt;/sup&gt;"},"properties":{"noteIndex":0},"schema":"https://github.com/citation-style-language/schema/raw/master/csl-citation.json"}</w:instrText>
      </w:r>
      <w:r w:rsidR="002A1205">
        <w:fldChar w:fldCharType="separate"/>
      </w:r>
      <w:r w:rsidR="00E25884" w:rsidRPr="00E25884">
        <w:rPr>
          <w:noProof/>
          <w:vertAlign w:val="superscript"/>
        </w:rPr>
        <w:t>48</w:t>
      </w:r>
      <w:r w:rsidR="002A1205">
        <w:fldChar w:fldCharType="end"/>
      </w:r>
      <w:r>
        <w:t xml:space="preserve"> provides an additional insights to </w:t>
      </w:r>
      <w:r w:rsidR="008E06E1">
        <w:t>R</w:t>
      </w:r>
      <w:r>
        <w:t xml:space="preserve">ealist contributions. Studies of IOC </w:t>
      </w:r>
      <w:r w:rsidRPr="003A759C">
        <w:t xml:space="preserve">note the role of performance </w:t>
      </w:r>
      <w:r>
        <w:t xml:space="preserve">highlighting </w:t>
      </w:r>
      <w:r w:rsidRPr="003A759C">
        <w:t>the importance of alignment or ‘things coming together’ across involved organisations in the potential for generating synergy</w:t>
      </w:r>
      <w:r w:rsidR="002A1205">
        <w:t xml:space="preserve"> </w:t>
      </w:r>
      <w:r w:rsidR="002A1205">
        <w:fldChar w:fldCharType="begin" w:fldLock="1"/>
      </w:r>
      <w:r w:rsidR="00EA4B53">
        <w:instrText>ADDIN CSL_CITATION {"citationItems":[{"id":"ITEM-1","itemData":{"DOI":"10.1186/s13012-016-0380-z","ISSN":"17485908","PMID":"26860631","abstract":"Background: Increasingly, it is being suggested that translational gaps might be eradicated or narrowed by bringing research users and producers closer together, a theory that is largely untested. This paper reports a national study to fill a gap in the evidence about the conditions, processes and outcomes related to collaboration and implementation. Methods: A longitudinal realist evaluation using multiple qualitative methods case studies was conducted with three Collaborations for Leadership in Applied Health Research in Care (England). Data were collected over four rounds of theory development, refinement and testing. Over 200 participants were involved in semi-structured interviews, non-participant observations of events and meetings, and stakeholder engagement. A combined inductive and deductive data analysis process was focused on proposition refinement and testing iteratively over data collection rounds. Results: The quality of existing relationships between higher education and local health service, and views about whether implementation was a collaborative act, created a path dependency. Where implementation was perceived to be removed from service and there was a lack of organisational connections, this resulted in a focus on knowledge production and transfer, rather than co-production. The collaborations' architectures were counterproductive because they did not facilitate connectivity and had emphasised professional and epistemic boundaries. More distributed leadership was associated with greater potential for engagement. The creation of boundary spanning roles was the most visible investment in implementation, and credible individuals in these roles resulted in cross-boundary work, in facilitation and in direct impacts. The academic-practice divide played out strongly as a context for motivation to engage, in that 'what's in it for me' resulted in variable levels of engagement along a co-operation-collaboration continuum. Learning within and across collaborations was patchy depending on attention to evaluation. Conclusions: These collaborations did not emerge from a vacuum, and they needed time to learn and develop. Their life cycle started with their position on collaboration, knowledge and implementation. More impactful attempts at collective action in implementation might be determined by the deliberate alignment of a number of features, including foundational relationships, vision, values, structures and processes and views about the na…","author":[{"dropping-particle":"","family":"Rycroft-Malone","given":"Jo","non-dropping-particle":"","parse-names":false,"suffix":""},{"dropping-particle":"","family":"Burton","given":"Christopher R.","non-dropping-particle":"","parse-names":false,"suffix":""},{"dropping-particle":"","family":"Wilkinson","given":"Joyce","non-dropping-particle":"","parse-names":false,"suffix":""},{"dropping-particle":"","family":"Harvey","given":"Gill","non-dropping-particle":"","parse-names":false,"suffix":""},{"dropping-particle":"","family":"McCormack","given":"Brendan","non-dropping-particle":"","parse-names":false,"suffix":""},{"dropping-particle":"","family":"Baker","given":"Richard","non-dropping-particle":"","parse-names":false,"suffix":""},{"dropping-particle":"","family":"Dopson","given":"Sue","non-dropping-particle":"","parse-names":false,"suffix":""},{"dropping-particle":"","family":"Graham","given":"Ian D.","non-dropping-particle":"","parse-names":false,"suffix":""},{"dropping-particle":"","family":"Staniszewska","given":"Sophie","non-dropping-particle":"","parse-names":false,"suffix":""},{"dropping-particle":"","family":"Thompson","given":"Carl","non-dropping-particle":"","parse-names":false,"suffix":""},{"dropping-particle":"","family":"Ariss","given":"Steven","non-dropping-particle":"","parse-names":false,"suffix":""},{"dropping-particle":"","family":"Melville-Richards","given":"Lucy","non-dropping-particle":"","parse-names":false,"suffix":""},{"dropping-particle":"","family":"Williams","given":"Lynne","non-dropping-particle":"","parse-names":false,"suffix":""}],"container-title":"Implementation Science","id":"ITEM-1","issue":"1","issued":{"date-parts":[["2016"]]},"page":"1-17","publisher":"Implementation Science","title":"Collective action for implementation: A realist evaluation of organisational collaboration in healthcare","type":"article-journal","volume":"11"},"uris":["http://www.mendeley.com/documents/?uuid=cc344269-70d5-4756-b11d-1d19fd0b5e8f"]}],"mendeley":{"formattedCitation":"&lt;sup&gt;127&lt;/sup&gt;","plainTextFormattedCitation":"127","previouslyFormattedCitation":"&lt;sup&gt;127&lt;/sup&gt;"},"properties":{"noteIndex":0},"schema":"https://github.com/citation-style-language/schema/raw/master/csl-citation.json"}</w:instrText>
      </w:r>
      <w:r w:rsidR="002A1205">
        <w:fldChar w:fldCharType="separate"/>
      </w:r>
      <w:r w:rsidR="00E25884" w:rsidRPr="00E25884">
        <w:rPr>
          <w:noProof/>
          <w:vertAlign w:val="superscript"/>
        </w:rPr>
        <w:t>127</w:t>
      </w:r>
      <w:r w:rsidR="002A1205">
        <w:fldChar w:fldCharType="end"/>
      </w:r>
      <w:r w:rsidR="002A1205">
        <w:t xml:space="preserve">. </w:t>
      </w:r>
      <w:r>
        <w:t xml:space="preserve">Our review findings explain </w:t>
      </w:r>
      <w:r>
        <w:rPr>
          <w:i/>
          <w:iCs/>
        </w:rPr>
        <w:t>why</w:t>
      </w:r>
      <w:r>
        <w:t xml:space="preserve"> benefits are attained, but also </w:t>
      </w:r>
      <w:r>
        <w:rPr>
          <w:i/>
          <w:iCs/>
        </w:rPr>
        <w:t>how</w:t>
      </w:r>
      <w:r>
        <w:t xml:space="preserve"> they are achieved with the articulation of casual links identified between collaborative functioning and performance.</w:t>
      </w:r>
    </w:p>
    <w:p w14:paraId="6A877A32" w14:textId="325F49BC" w:rsidR="007873A7" w:rsidRPr="005D4B7A" w:rsidRDefault="007873A7" w:rsidP="00525BE0">
      <w:pPr>
        <w:spacing w:line="360" w:lineRule="auto"/>
        <w:jc w:val="both"/>
      </w:pPr>
      <w:r>
        <w:t xml:space="preserve">Our research provides important insights into </w:t>
      </w:r>
      <w:r>
        <w:rPr>
          <w:i/>
          <w:iCs/>
        </w:rPr>
        <w:t>whom</w:t>
      </w:r>
      <w:r>
        <w:t xml:space="preserve"> some of these changes benefit. For example, while consolidation of services may benefit those patients with more mobility and transport access, stakeholder accounts also draw attention to how changes might also disadvantage those who already struggle to access services. Those leading collaborations provide rich accounts of the challenges, conflict and energy required </w:t>
      </w:r>
      <w:r w:rsidR="009E36E6">
        <w:t>for joint</w:t>
      </w:r>
      <w:r>
        <w:t xml:space="preserve"> working to function. The benefits and drivers for doing so were reflected in their desire to support population health, generate efficiencies and economies of scale, promote shared learning and knowledge transfer, but also in furthering reputations and generating competitive advantage.</w:t>
      </w:r>
    </w:p>
    <w:p w14:paraId="6A67B17E" w14:textId="1AD7F916" w:rsidR="007873A7" w:rsidRDefault="007873A7" w:rsidP="00525BE0">
      <w:pPr>
        <w:spacing w:line="360" w:lineRule="auto"/>
        <w:jc w:val="both"/>
      </w:pPr>
      <w:r>
        <w:t xml:space="preserve">As this analysis is qualitative and realist in nature, it is not possible to identify to what degree these performance improvements were realised within the case study examples. However, the research provides further valuable contribution in emphasising the </w:t>
      </w:r>
      <w:r w:rsidRPr="00CC1770">
        <w:t xml:space="preserve">importance of non-traditional outcomes outside of </w:t>
      </w:r>
      <w:r>
        <w:t>conventional measures of</w:t>
      </w:r>
      <w:r w:rsidRPr="00CC1770">
        <w:t xml:space="preserve"> efficiency and effectiveness</w:t>
      </w:r>
      <w:r>
        <w:t>, when evaluating collaborative relationships</w:t>
      </w:r>
      <w:r w:rsidR="005A2F5F">
        <w:t xml:space="preserve"> </w:t>
      </w:r>
      <w:r w:rsidR="005A2F5F">
        <w:fldChar w:fldCharType="begin" w:fldLock="1"/>
      </w:r>
      <w:r w:rsidR="00EA4B53">
        <w:instrText>ADDIN CSL_CITATION {"citationItems":[{"id":"ITEM-1","itemData":{"DOI":"10.1111/padm.12048","ISSN":"14679299","abstract":"Much of what has been written about collaboration treats it instrumentally as a means-ends tool of improvement. However, despite considerable collaborative activity there is little evidence that clearly links collaboration to improvements in service-user outcomes or reduced inequalities. In this article we draw on literature from critical public policy and governance studies to recast collaboration as an expression of cultural performance associated with a rather different set of values and measures. We argue that understanding collaboration in the round means that we need to pay attention to all dimensions of performance including cultural performance. We argue that this in turn helps to explain the persistent appeal of collaboration amongst policy makers and practitioners. © 2013 John Wiley &amp; Sons Ltd.","author":[{"dropping-particle":"","family":"Dickinson","given":"Helen","non-dropping-particle":"","parse-names":false,"suffix":""},{"dropping-particle":"","family":"Sullivan","given":"Helen","non-dropping-particle":"","parse-names":false,"suffix":""}],"container-title":"Public Administration","id":"ITEM-1","issue":"1","issued":{"date-parts":[["2014"]]},"page":"161-177","title":"Towards a general theory of collaborative performance: The importance of efficacy and agency","type":"article-journal","volume":"92"},"uris":["http://www.mendeley.com/documents/?uuid=4634c9cd-08ce-43d3-8271-9a9e3d4a1850"]},{"id":"ITEM-2","itemData":{"DOI":"10.2753/pmr1530-9576310302","ISSN":"1530-9576","abstract":"Cross-sectoral partners hips among public, nonprofit, and for-profit organizations are increasingly gaining prominence in the production and delivery of publicly funded social services. This paper introduces a process-outcome framework to assess the interorganizational networks for delivering family and children services in Los Angeles County. Five collaboration processes of joint decision making, joint program operation, reducing organizational autonomy, sharing resources and building trust as independent variables were used to assess their impacts on five collaboration outcomes—goal achievement, quality of working relationships, broadening partners' views, increasing partner interactions, and equitable influences. The findings suggest that public and nonprofit managers should pay special attention to improve the two processes—resource sharing and trust building—that promote well-functioning interorganizational networks. {ABSTRACT} {FROM} {AUTHOR} Copyright of Public Performance \\&amp; Management Review is the property of {M.E.} Sharpe Inc. and its content may not be copied or emailed to multiple sites or posted to a listserv without the copyright holder's express written permission. However, users may print, download, or email articles for individual use. This abstract may be abridged. No warranty is given about the accuracy of the copy. Users should refer to the original published version of the material for the full abstract. {(Copyright} applies to all Abstracts)","author":[{"dropping-particle":"","family":"Chen","given":"Bin","non-dropping-particle":"","parse-names":false,"suffix":""}],"container-title":"Public Performance &amp; Management Review","id":"ITEM-2","issue":"3","issued":{"date-parts":[["2008"]]},"page":"348-363","title":"Assesing Interorganizational Networks for Public Service Delivery: A Process-Perceived Effectiveness Framework","type":"article-journal","volume":"31"},"uris":["http://www.mendeley.com/documents/?uuid=b2d193d4-5ea6-4a03-b5fe-97f2aadb834f"]}],"mendeley":{"formattedCitation":"&lt;sup&gt;48,221&lt;/sup&gt;","plainTextFormattedCitation":"48,221","previouslyFormattedCitation":"&lt;sup&gt;48,221&lt;/sup&gt;"},"properties":{"noteIndex":0},"schema":"https://github.com/citation-style-language/schema/raw/master/csl-citation.json"}</w:instrText>
      </w:r>
      <w:r w:rsidR="005A2F5F">
        <w:fldChar w:fldCharType="separate"/>
      </w:r>
      <w:r w:rsidR="00E25884" w:rsidRPr="00E25884">
        <w:rPr>
          <w:noProof/>
          <w:vertAlign w:val="superscript"/>
        </w:rPr>
        <w:t>48,221</w:t>
      </w:r>
      <w:r w:rsidR="005A2F5F">
        <w:fldChar w:fldCharType="end"/>
      </w:r>
      <w:r w:rsidR="005A2F5F">
        <w:t xml:space="preserve">. </w:t>
      </w:r>
      <w:r>
        <w:t xml:space="preserve">The articulation of the mechanisms of collaborative performance highlighted in this study lays the foundations for future development </w:t>
      </w:r>
      <w:r w:rsidR="00786E36">
        <w:t>of a</w:t>
      </w:r>
      <w:r>
        <w:t xml:space="preserve"> realist framework for assessing relationships between high-functioning IOCs and their performance against long-term outcomes.</w:t>
      </w:r>
    </w:p>
    <w:p w14:paraId="27112D1B" w14:textId="77777777" w:rsidR="007873A7" w:rsidRDefault="007873A7" w:rsidP="00525BE0">
      <w:pPr>
        <w:spacing w:line="360" w:lineRule="auto"/>
        <w:jc w:val="both"/>
      </w:pPr>
    </w:p>
    <w:p w14:paraId="58FC21B9" w14:textId="77777777" w:rsidR="007873A7" w:rsidRDefault="007873A7" w:rsidP="00786E36">
      <w:pPr>
        <w:pStyle w:val="Heading3"/>
      </w:pPr>
      <w:bookmarkStart w:id="144" w:name="_Toc85066480"/>
      <w:r>
        <w:t>Empirical implications</w:t>
      </w:r>
      <w:bookmarkEnd w:id="144"/>
    </w:p>
    <w:p w14:paraId="5BA6A9E5" w14:textId="77777777" w:rsidR="007873A7" w:rsidRDefault="007873A7" w:rsidP="00525BE0">
      <w:pPr>
        <w:spacing w:line="360" w:lineRule="auto"/>
        <w:jc w:val="both"/>
      </w:pPr>
    </w:p>
    <w:p w14:paraId="23D0A16A" w14:textId="4E55BAC1" w:rsidR="007873A7" w:rsidRDefault="007873A7" w:rsidP="00525BE0">
      <w:pPr>
        <w:spacing w:line="360" w:lineRule="auto"/>
        <w:jc w:val="both"/>
      </w:pPr>
      <w:r>
        <w:t xml:space="preserve">Our research has synthesised a range of evidence and in doing so provides a valuable contribution to the ongoing study of collaboration and integration of health services. Against the background of the current ICS policy </w:t>
      </w:r>
      <w:r w:rsidR="00786E36">
        <w:t>agenda,</w:t>
      </w:r>
      <w:r>
        <w:t xml:space="preserve"> the empirical findings of our research raise important implications for the prospects </w:t>
      </w:r>
      <w:r w:rsidR="00786E36">
        <w:t>of a shift</w:t>
      </w:r>
      <w:r>
        <w:t xml:space="preserve"> towards place-based collaboration. Defined as “</w:t>
      </w:r>
      <w:r w:rsidRPr="00772996">
        <w:t>‘</w:t>
      </w:r>
      <w:r w:rsidRPr="00772996">
        <w:rPr>
          <w:i/>
          <w:iCs/>
        </w:rPr>
        <w:t>the geographical level below an ICS at which most of the work to join up budgets, planning and service delivery for routine health and care services (particularly community-based services) will happen</w:t>
      </w:r>
      <w:r>
        <w:t xml:space="preserve">” </w:t>
      </w:r>
      <w:r>
        <w:fldChar w:fldCharType="begin" w:fldLock="1"/>
      </w:r>
      <w:r w:rsidR="00EA4B53">
        <w:instrText>ADDIN CSL_CITATION {"citationItems":[{"id":"ITEM-1","itemData":{"author":[{"dropping-particle":"","family":"Charles","given":"Anna","non-dropping-particle":"","parse-names":false,"suffix":""},{"dropping-particle":"","family":"Ewbank","given":"Leo","non-dropping-particle":"","parse-names":false,"suffix":""},{"dropping-particle":"","family":"Naylor","given":"Chris","non-dropping-particle":"","parse-names":false,"suffix":""},{"dropping-particle":"","family":"Walsh","given":"Nicola","non-dropping-particle":"","parse-names":false,"suffix":""},{"dropping-particle":"","family":"Murray","given":"Richard","non-dropping-particle":"","parse-names":false,"suffix":""}],"id":"ITEM-1","issue":"April","issued":{"date-parts":[["2021"]]},"title":"Developing place-based partnerships: the foundation of effective integrated care systems","type":"report"},"uris":["http://www.mendeley.com/documents/?uuid=9ce91233-a7b4-4d0a-afdf-90fd3ea5f12d"]}],"mendeley":{"formattedCitation":"&lt;sup&gt;222&lt;/sup&gt;","plainTextFormattedCitation":"222","previouslyFormattedCitation":"&lt;sup&gt;222&lt;/sup&gt;"},"properties":{"noteIndex":0},"schema":"https://github.com/citation-style-language/schema/raw/master/csl-citation.json"}</w:instrText>
      </w:r>
      <w:r>
        <w:fldChar w:fldCharType="separate"/>
      </w:r>
      <w:r w:rsidR="00E25884" w:rsidRPr="00E25884">
        <w:rPr>
          <w:noProof/>
          <w:vertAlign w:val="superscript"/>
        </w:rPr>
        <w:t>222</w:t>
      </w:r>
      <w:r>
        <w:fldChar w:fldCharType="end"/>
      </w:r>
      <w:r>
        <w:t>, the implementation of place-based level collaborations are likely to be essential for the overall functioning of ICSs. The King’s Fund have provided several principles to guide these efforts, including:  starting with a shared local vision; building a new relationship with communities; investing in multi-agency partnerships; building up from what already exists locally; embedding effective place-based leadership; and nurturing joined-up resource management</w:t>
      </w:r>
      <w:r w:rsidR="00CD4612">
        <w:t xml:space="preserve"> </w:t>
      </w:r>
      <w:r w:rsidR="00CD4612">
        <w:fldChar w:fldCharType="begin" w:fldLock="1"/>
      </w:r>
      <w:r w:rsidR="00EA4B53">
        <w:instrText>ADDIN CSL_CITATION {"citationItems":[{"id":"ITEM-1","itemData":{"author":[{"dropping-particle":"","family":"Charles","given":"Anna","non-dropping-particle":"","parse-names":false,"suffix":""},{"dropping-particle":"","family":"Ewbank","given":"Leo","non-dropping-particle":"","parse-names":false,"suffix":""},{"dropping-particle":"","family":"Naylor","given":"Chris","non-dropping-particle":"","parse-names":false,"suffix":""},{"dropping-particle":"","family":"Walsh","given":"Nicola","non-dropping-particle":"","parse-names":false,"suffix":""},{"dropping-particle":"","family":"Murray","given":"Richard","non-dropping-particle":"","parse-names":false,"suffix":""}],"id":"ITEM-1","issue":"April","issued":{"date-parts":[["2021"]]},"title":"Developing place-based partnerships: the foundation of effective integrated care systems","type":"report"},"uris":["http://www.mendeley.com/documents/?uuid=9ce91233-a7b4-4d0a-afdf-90fd3ea5f12d"]}],"mendeley":{"formattedCitation":"&lt;sup&gt;222&lt;/sup&gt;","plainTextFormattedCitation":"222","previouslyFormattedCitation":"&lt;sup&gt;222&lt;/sup&gt;"},"properties":{"noteIndex":0},"schema":"https://github.com/citation-style-language/schema/raw/master/csl-citation.json"}</w:instrText>
      </w:r>
      <w:r w:rsidR="00CD4612">
        <w:fldChar w:fldCharType="separate"/>
      </w:r>
      <w:r w:rsidR="00E25884" w:rsidRPr="00E25884">
        <w:rPr>
          <w:noProof/>
          <w:vertAlign w:val="superscript"/>
        </w:rPr>
        <w:t>222</w:t>
      </w:r>
      <w:r w:rsidR="00CD4612">
        <w:fldChar w:fldCharType="end"/>
      </w:r>
      <w:r w:rsidR="00CD4612">
        <w:t xml:space="preserve">. </w:t>
      </w:r>
      <w:r>
        <w:t xml:space="preserve">There is potential for the theory arising from this project to feed into current discussions around place-based relationship building and the role of anchor institutions. </w:t>
      </w:r>
      <w:r w:rsidR="008E06E1">
        <w:t>T</w:t>
      </w:r>
      <w:r>
        <w:t xml:space="preserve">he role of faith, trust, and other mechanisms signpost what is required in the development of place-based partnerships. </w:t>
      </w:r>
    </w:p>
    <w:p w14:paraId="15CD3694" w14:textId="49EA56C1" w:rsidR="007873A7" w:rsidRDefault="007873A7" w:rsidP="00525BE0">
      <w:pPr>
        <w:spacing w:line="360" w:lineRule="auto"/>
        <w:jc w:val="both"/>
      </w:pPr>
      <w:r>
        <w:t xml:space="preserve">The issue of organisational failure and turnaround is central to both function and performance of IOCs. Failure and turnaround in healthcare organisations has been the subject of a number of evidence reviews </w:t>
      </w:r>
      <w:r w:rsidR="00951ACD">
        <w:fldChar w:fldCharType="begin" w:fldLock="1"/>
      </w:r>
      <w:r w:rsidR="00EA4B53">
        <w:instrText>ADDIN CSL_CITATION {"citationItems":[{"id":"ITEM-1","itemData":{"DOI":"10.1111/j.1467-9302.2004.00421.x","ISSN":"09540962","abstract":"As the performance of public services is increasingly scrutinized, it is now commonplace for some schools, hospitals, local authorities and other public organizations to be deemed 'failing' and for attempts to be made at creating a turnaround in their performance. This article explores the literature on failure and turnaround in for-profit organizations, presents a number of models or frameworks for describing and categorizing failure and turnaround, and examines the relevance and transferability of theoretical and empirical studies in the for-profit sector to the emerging field of failure and turnaround in public services.","author":[{"dropping-particle":"","family":"Walshe","given":"Kieran","non-dropping-particle":"","parse-names":false,"suffix":""},{"dropping-particle":"","family":"Harvey","given":"Gill","non-dropping-particle":"","parse-names":false,"suffix":""},{"dropping-particle":"","family":"Hyde","given":"Paula","non-dropping-particle":"","parse-names":false,"suffix":""},{"dropping-particle":"","family":"Pandit","given":"Naresh","non-dropping-particle":"","parse-names":false,"suffix":""}],"container-title":"Public Money and Management","id":"ITEM-1","issue":"4","issued":{"date-parts":[["2004"]]},"page":"201-208","title":"Organizational failure and turnaround: Lessons for public services from the for-profit sector","type":"article-journal","volume":"24"},"uris":["http://www.mendeley.com/documents/?uuid=7b37c7b6-4c96-45ec-a5d1-cbc2d061a8d6"]},{"id":"ITEM-2","itemData":{"ISSN":"2044-5415","author":[{"dropping-particle":"","family":"Harvey","given":"Gill","non-dropping-particle":"","parse-names":false,"suffix":""},{"dropping-particle":"","family":"Jas","given":"Pauline","non-dropping-particle":"","parse-names":false,"suffix":""},{"dropping-particle":"","family":"Walshe","given":"Kieran","non-dropping-particle":"","parse-names":false,"suffix":""}],"container-title":"BMJ Qual Saf","id":"ITEM-2","issue":"1","issued":{"date-parts":[["2015"]]},"page":"48-55","publisher":"BMJ Publishing Group Ltd","title":"Analysing organisational context: case studies on the contribution of absorptive capacity theory to understanding inter-organisational variation in performance improvement","type":"article-journal","volume":"24"},"uris":["http://www.mendeley.com/documents/?uuid=9533d2a3-ee18-427f-bed9-1476c55e5fa0"]},{"id":"ITEM-3","itemData":{"author":[{"dropping-particle":"","family":"Ravaghi","given":"Hamid","non-dropping-particle":"","parse-names":false,"suffix":""},{"dropping-particle":"","family":"Mannion","given":"Russell","non-dropping-particle":"","parse-names":false,"suffix":""},{"dropping-particle":"","family":"Sajadi","given":"Haniye Sadat","non-dropping-particle":"","parse-names":false,"suffix":""}],"container-title":"Medical journal of the Islamic Republic of Iran","id":"ITEM-3","issued":{"date-parts":[["2017"]]},"page":"76","publisher":"Iran University of Medical Sciences","title":"Organizational failure and turnaround in public sector organizations: A systematic review of the evidence","type":"article-journal","volume":"31"},"uris":["http://www.mendeley.com/documents/?uuid=443e9fe1-9d4f-4b0c-b7d8-bb0793621af9"]}],"mendeley":{"formattedCitation":"&lt;sup&gt;223–225&lt;/sup&gt;","plainTextFormattedCitation":"223–225","previouslyFormattedCitation":"&lt;sup&gt;223–225&lt;/sup&gt;"},"properties":{"noteIndex":0},"schema":"https://github.com/citation-style-language/schema/raw/master/csl-citation.json"}</w:instrText>
      </w:r>
      <w:r w:rsidR="00951ACD">
        <w:fldChar w:fldCharType="separate"/>
      </w:r>
      <w:r w:rsidR="00E25884" w:rsidRPr="00E25884">
        <w:rPr>
          <w:noProof/>
          <w:vertAlign w:val="superscript"/>
        </w:rPr>
        <w:t>223–225</w:t>
      </w:r>
      <w:r w:rsidR="00951ACD">
        <w:fldChar w:fldCharType="end"/>
      </w:r>
      <w:r>
        <w:t xml:space="preserve"> but significant knowledge gaps have remained in relation to identifying the effective methods for turning around and achieving performance improvement in NHS provider organisations.</w:t>
      </w:r>
      <w:r w:rsidR="00951ACD">
        <w:t xml:space="preserve"> </w:t>
      </w:r>
      <w:r>
        <w:t>Our findings assemble a range of insights into the mechanisms and outcomes of turnaround approaches. In doing so, they disentangle what Jas and Skelcher refer to as the ‘excellence theory’ underpinning the features associated with high-performing organisations</w:t>
      </w:r>
      <w:r w:rsidR="00951ACD">
        <w:t xml:space="preserve"> </w:t>
      </w:r>
      <w:r w:rsidR="00951ACD">
        <w:fldChar w:fldCharType="begin" w:fldLock="1"/>
      </w:r>
      <w:r w:rsidR="00EA4B53">
        <w:instrText>ADDIN CSL_CITATION {"citationItems":[{"id":"ITEM-1","itemData":{"DOI":"10.1111/j.1467-8551.2005.00458.x","ISSN":"10453172","abstract":"Public sector performance is currently a significant issue for management practice and policy, and especially the turnaround of those organizations delivering less than acceptable results. Theories of organizational failure and turnaround derive largely from the business sector and require adaptation to the public service. The performance of public organizations is more complex to measure, is related to institutional norms, and the idea of 'failure' is problematic. Empirical findings from a real-time, longitudinal study of poorly performing English local authorities are used to develop an initial theory of performance failure and turnaround suited to public organizations. The paper argues that the typical performance of public organizations over time is cyclical. Where cognition and leadership capability are absent, organizations fail to self-initiate turnaround. In this situation authoritative external intervention is necessary. The strategies applied are principally concerned with building a leadership capability that engages senior politicians and managers in order to overcome inertia and collective action problems. The theory is presented in the form of seven propositions that provide a basis for further research across the public sector. © 2005 British Academy of Management.","author":[{"dropping-particle":"","family":"Jas","given":"Pauline","non-dropping-particle":"","parse-names":false,"suffix":""},{"dropping-particle":"","family":"Skelcher","given":"Chris","non-dropping-particle":"","parse-names":false,"suffix":""}],"container-title":"British Journal of Management","id":"ITEM-1","issue":"3","issued":{"date-parts":[["2005"]]},"page":"195-210","title":"Performance decline and turnaround in public organizations: A theoretical and empirical analysis","type":"article-journal","volume":"16"},"uris":["http://www.mendeley.com/documents/?uuid=9a9b8f43-7550-4056-a8a2-9b584f6ab3f1"]}],"mendeley":{"formattedCitation":"&lt;sup&gt;226&lt;/sup&gt;","plainTextFormattedCitation":"226","previouslyFormattedCitation":"&lt;sup&gt;226&lt;/sup&gt;"},"properties":{"noteIndex":0},"schema":"https://github.com/citation-style-language/schema/raw/master/csl-citation.json"}</w:instrText>
      </w:r>
      <w:r w:rsidR="00951ACD">
        <w:fldChar w:fldCharType="separate"/>
      </w:r>
      <w:r w:rsidR="00E25884" w:rsidRPr="00E25884">
        <w:rPr>
          <w:noProof/>
          <w:vertAlign w:val="superscript"/>
        </w:rPr>
        <w:t>226</w:t>
      </w:r>
      <w:r w:rsidR="00951ACD">
        <w:fldChar w:fldCharType="end"/>
      </w:r>
      <w:r>
        <w:t xml:space="preserve">. </w:t>
      </w:r>
    </w:p>
    <w:p w14:paraId="7CB381C9" w14:textId="5A90215F" w:rsidR="007873A7" w:rsidRDefault="007873A7" w:rsidP="00525BE0">
      <w:pPr>
        <w:spacing w:line="360" w:lineRule="auto"/>
        <w:jc w:val="both"/>
      </w:pPr>
      <w:r>
        <w:t xml:space="preserve">The findings in relation to collaborative performance and cultural efficacy supports </w:t>
      </w:r>
      <w:r w:rsidR="001520BA">
        <w:t>the</w:t>
      </w:r>
      <w:r>
        <w:t xml:space="preserve"> suggestion that ‘absorptive capacity’ theory can provide useful insights into the causes and facilitators of organisational failure and turnaround</w:t>
      </w:r>
      <w:r w:rsidR="00951ACD">
        <w:t xml:space="preserve"> </w:t>
      </w:r>
      <w:r w:rsidR="00951ACD">
        <w:fldChar w:fldCharType="begin" w:fldLock="1"/>
      </w:r>
      <w:r w:rsidR="00EA4B53">
        <w:instrText>ADDIN CSL_CITATION {"citationItems":[{"id":"ITEM-1","itemData":{"ISSN":"2044-5415","author":[{"dropping-particle":"","family":"Harvey","given":"Gill","non-dropping-particle":"","parse-names":false,"suffix":""},{"dropping-particle":"","family":"Jas","given":"Pauline","non-dropping-particle":"","parse-names":false,"suffix":""},{"dropping-particle":"","family":"Walshe","given":"Kieran","non-dropping-particle":"","parse-names":false,"suffix":""}],"container-title":"BMJ Qual Saf","id":"ITEM-1","issue":"1","issued":{"date-parts":[["2015"]]},"page":"48-55","publisher":"BMJ Publishing Group Ltd","title":"Analysing organisational context: case studies on the contribution of absorptive capacity theory to understanding inter-organisational variation in performance improvement","type":"article-journal","volume":"24"},"uris":["http://www.mendeley.com/documents/?uuid=9533d2a3-ee18-427f-bed9-1476c55e5fa0"]},{"id":"ITEM-2","itemData":{"DOI":"10.1080/14719030902817923","ISSN":"14719045","abstract":"Improved performance by public sector organizations is a political imperative in numerous countries. There are particular challenges in turnaround of poorly performing organizations. Theoretical explanations of the performance trajectories of public organizations, and especially the causes of failure, highlight the importance of knowledge processes, often from an organizational learning perspective. Absorptive capacity provides an alternative way of theorizing the relationships between organizational performance and knowledge processes, derived from the resource-based view of the firm and the broader concept of dynamic capabilities. The article reviews the conceptual, theoretical, and methodological implications of applying absorptive capacity to the performance of public organizations. It concludes that the approach has value and presents a number of propositions to be tested through empirical study, alongside some more general challenges for researchers who wish to study the concept further. The high political salience of public organizations' performance, and the costs of failure, mandates a major research effort on these issues. © 2010 Taylor &amp; Francis.","author":[{"dropping-particle":"","family":"Harvey","given":"Gill","non-dropping-particle":"","parse-names":false,"suffix":""},{"dropping-particle":"","family":"Skelcher","given":"Chris","non-dropping-particle":"","parse-names":false,"suffix":""},{"dropping-particle":"","family":"Spencer","given":"Eileen","non-dropping-particle":"","parse-names":false,"suffix":""},{"dropping-particle":"","family":"Jas","given":"Pauline","non-dropping-particle":"","parse-names":false,"suffix":""},{"dropping-particle":"","family":"Walshe","given":"Kieran","non-dropping-particle":"","parse-names":false,"suffix":""}],"container-title":"Public Management Review","id":"ITEM-2","issue":"1","issued":{"date-parts":[["2010"]]},"page":"77-97","title":"Absorptive capacity in a non-market environment","type":"article-journal","volume":"12"},"uris":["http://www.mendeley.com/documents/?uuid=9e521b95-fd83-429f-a32b-71cebd5ccaed"]}],"mendeley":{"formattedCitation":"&lt;sup&gt;224,227&lt;/sup&gt;","plainTextFormattedCitation":"224,227","previouslyFormattedCitation":"&lt;sup&gt;224,227&lt;/sup&gt;"},"properties":{"noteIndex":0},"schema":"https://github.com/citation-style-language/schema/raw/master/csl-citation.json"}</w:instrText>
      </w:r>
      <w:r w:rsidR="00951ACD">
        <w:fldChar w:fldCharType="separate"/>
      </w:r>
      <w:r w:rsidR="00E25884" w:rsidRPr="00E25884">
        <w:rPr>
          <w:noProof/>
          <w:vertAlign w:val="superscript"/>
        </w:rPr>
        <w:t>224,227</w:t>
      </w:r>
      <w:r w:rsidR="00951ACD">
        <w:fldChar w:fldCharType="end"/>
      </w:r>
      <w:r>
        <w:t>. The implications of our research suggest that the success of IOC can be explained in part by organisational learning and the extent to which internal knowledge processes are realigned with changing external environmental conditions</w:t>
      </w:r>
      <w:r w:rsidR="00786E36">
        <w:t>.</w:t>
      </w:r>
    </w:p>
    <w:p w14:paraId="3953CEB5" w14:textId="1852E1A8" w:rsidR="007873A7" w:rsidRDefault="007873A7" w:rsidP="00525BE0">
      <w:pPr>
        <w:spacing w:line="360" w:lineRule="auto"/>
        <w:jc w:val="both"/>
      </w:pPr>
      <w:r>
        <w:t>Our empirical contributions also provide insights into alternative perspectives for understanding IOC. These include the role of reputation and impression management in the establishment of collaborative functioning (building trust) and performance measurement (cultural efficiency). They also identify how quality improvement and organisational development approaches give focus and method to collaborative functioning and shape the long-term outcomes of improved quality, safety, and experience.</w:t>
      </w:r>
      <w:r w:rsidR="00951ACD">
        <w:t xml:space="preserve"> </w:t>
      </w:r>
      <w:r>
        <w:t xml:space="preserve">The implications further capture how ‘techno bureaucratic’ approaches to collaborative performance loom large over the proceedings with efficiency savings and economies of scale being sought after, </w:t>
      </w:r>
      <w:r w:rsidR="008E06E1">
        <w:t xml:space="preserve">and </w:t>
      </w:r>
      <w:r>
        <w:t xml:space="preserve">the role of consultancy and other </w:t>
      </w:r>
      <w:r w:rsidR="008E06E1">
        <w:t>third-party</w:t>
      </w:r>
      <w:r>
        <w:t xml:space="preserve"> evidence informing </w:t>
      </w:r>
      <w:r w:rsidR="008E06E1">
        <w:t>such decision-making</w:t>
      </w:r>
      <w:r>
        <w:t xml:space="preserve"> process</w:t>
      </w:r>
      <w:r w:rsidR="008E06E1">
        <w:t>es</w:t>
      </w:r>
      <w:r>
        <w:t xml:space="preserve">. </w:t>
      </w:r>
    </w:p>
    <w:p w14:paraId="78B32C38" w14:textId="50D2C22B" w:rsidR="007873A7" w:rsidRDefault="007873A7" w:rsidP="00A30217">
      <w:pPr>
        <w:pStyle w:val="Heading3"/>
      </w:pPr>
      <w:bookmarkStart w:id="145" w:name="_Toc85066481"/>
      <w:r>
        <w:t>Policy implications</w:t>
      </w:r>
      <w:bookmarkEnd w:id="145"/>
    </w:p>
    <w:p w14:paraId="0CB45A8E" w14:textId="4597552E" w:rsidR="007873A7" w:rsidRDefault="00786E36" w:rsidP="00525BE0">
      <w:pPr>
        <w:spacing w:line="360" w:lineRule="auto"/>
        <w:jc w:val="both"/>
      </w:pPr>
      <w:r>
        <w:t xml:space="preserve">A central theme running throughout </w:t>
      </w:r>
      <w:r w:rsidR="007873A7">
        <w:t xml:space="preserve">the empirical and stakeholder evidence identified by </w:t>
      </w:r>
      <w:r>
        <w:t>our</w:t>
      </w:r>
      <w:r w:rsidR="007873A7">
        <w:t xml:space="preserve"> review is the care needed when introducing mandated forms of collaboration. Mandated forms of co</w:t>
      </w:r>
      <w:r>
        <w:t xml:space="preserve">llaboration are typically used </w:t>
      </w:r>
      <w:r w:rsidR="007873A7">
        <w:t xml:space="preserve">with Integrated Care Systems, Provider Collaboratives, and Primary Care Networks now operating across England </w:t>
      </w:r>
      <w:r w:rsidR="007873A7">
        <w:fldChar w:fldCharType="begin" w:fldLock="1"/>
      </w:r>
      <w:r w:rsidR="00EA4B53">
        <w:instrText>ADDIN CSL_CITATION {"citationItems":[{"id":"ITEM-1","itemData":{"author":[{"dropping-particle":"","family":"NHS England","given":"","non-dropping-particle":"","parse-names":false,"suffix":""}],"id":"ITEM-1","issued":{"date-parts":[["2019"]]},"number-of-pages":"1-134","title":"The NHS Long Term Plan","type":"report"},"uris":["http://www.mendeley.com/documents/?uuid=cd8c0fe5-1067-4d5a-8695-6fd891ad746d"]}],"mendeley":{"formattedCitation":"&lt;sup&gt;33&lt;/sup&gt;","plainTextFormattedCitation":"33","previouslyFormattedCitation":"&lt;sup&gt;33&lt;/sup&gt;"},"properties":{"noteIndex":0},"schema":"https://github.com/citation-style-language/schema/raw/master/csl-citation.json"}</w:instrText>
      </w:r>
      <w:r w:rsidR="007873A7">
        <w:fldChar w:fldCharType="separate"/>
      </w:r>
      <w:r w:rsidR="00E25884" w:rsidRPr="00E25884">
        <w:rPr>
          <w:noProof/>
          <w:vertAlign w:val="superscript"/>
        </w:rPr>
        <w:t>33</w:t>
      </w:r>
      <w:r w:rsidR="007873A7">
        <w:fldChar w:fldCharType="end"/>
      </w:r>
      <w:r>
        <w:t>. Yet mandated collaboration</w:t>
      </w:r>
      <w:r w:rsidR="007873A7">
        <w:t xml:space="preserve"> is open to criticism regarding the extent to which this </w:t>
      </w:r>
      <w:r>
        <w:t>approach is able</w:t>
      </w:r>
      <w:r w:rsidR="007873A7">
        <w:t xml:space="preserve"> to foster the collaborative mechanisms required for performance improvement </w:t>
      </w:r>
      <w:r w:rsidR="007873A7">
        <w:fldChar w:fldCharType="begin" w:fldLock="1"/>
      </w:r>
      <w:r w:rsidR="00EA4B53">
        <w:instrText>ADDIN CSL_CITATION {"citationItems":[{"id":"ITEM-1","itemData":{"DOI":"10.1136/bmj.n431","abstract":"The government’s proposed reorganisation of the NHS in England must not be rushed through at a time when “physically and emotionally exhausted” staff are still dealing with the covid-19 pandemic, the BMA has warned.BMA council chair Chaand Nagpaul said the NHS was facing the greatest backlog of care ever on top of the continuing pressure of covid-19. Dealing with this would require “significant new resources and an immediate action plan,” and investment must not be diverted to the reorganisation, he said.“Proposals for sweeping reorganisation on such a scale will need greater time for consideration and must not be rushed through while doctors are still tackling the winter surge in …","author":[{"dropping-particle":"","family":"Mahase","given":"Elisabeth","non-dropping-particle":"","parse-names":false,"suffix":""}],"container-title":"BMJ","id":"ITEM-1","issued":{"date-parts":[["2021","2","11"]]},"page":"n431","title":"NHS reorganisation must not be rushed through during pandemic, leaders warn","type":"article-journal","volume":"372"},"uris":["http://www.mendeley.com/documents/?uuid=a8c3049a-a9ab-4c77-9a78-03cdc7f92306"]},{"id":"ITEM-2","itemData":{"DOI":"10.1136/bmj.m4468","abstract":"Major structural change should not be part of the plan for recoveryBefore covid-19 hit, national NHS bodies had asked the government to make changes to NHS legislation.1 These changes were designed to make it easier for NHS organisations in England to collaborate to plan and deliver services—including through establishing joint committees between commissioners and providers.2 Since then, government and the NHS have been focused on managing covid-19. Proposals for new legislation were temporarily shelved.But not for long: legislation for the NHS in England seems to be back on the agenda. Media stories emerged in the summer that the prime minister was considering proposals for a major NHS reorganisation—including changes to bring national NHS bodies under closer political control.3 NHS commentators are calling for legislation to give greater power to local leaders to reorganise care as the NHS recovers from the pandemic.4 And changes to the English public health system currently being considered by government—set in motion by the poorly timed decision to abolish Public Health England back in August—include returning some public health responsibilities to the NHS. …","author":[{"dropping-particle":"","family":"Alderwick","given":"Hugh","non-dropping-particle":"","parse-names":false,"suffix":""}],"container-title":"BMJ","id":"ITEM-2","issued":{"date-parts":[["2020","11","18"]]},"page":"m4468","title":"NHS reorganisation after the pandemic","type":"article-journal","volume":"371"},"uris":["http://www.mendeley.com/documents/?uuid=2e95c6b0-0570-4c17-a2af-3616b402c973"]},{"id":"ITEM-3","itemData":{"DOI":"10.1136/bmj.n1767","abstract":"The health secretary gains sweeping new powers, with unclear consequences for patientsThe NHS in England is about to be reorganised (again). On 6 July, the UK government published the Health and Care Bill 2021-22,1 which details plans for changes to NHS rules and structures in England. Parliamentarians will start debating the bill this week, and government wants the changes in place by April 2022. The bill spans 224 pages and contains measures on the NHS, social care, and public health. But its main focus is the NHS, and, broadly speaking, it is a story of two halves.The first half is a set of changes to promote collaboration in the health system. These changes were proposed by national NHS bodies23 and try to resolve the longstanding tension between the “rules in form”—set out in the Health and Social Care Act 2012—and the “rules in use” in today’s NHS.4 Under these plans, every part of England will be covered by an integrated care system. These currently exist informally in 42 areas, serving populations of around one to three million. Each system will be made up …","author":[{"dropping-particle":"","family":"Alderwick","given":"Hugh","non-dropping-particle":"","parse-names":false,"suffix":""},{"dropping-particle":"","family":"Gardner","given":"Tim","non-dropping-particle":"","parse-names":false,"suffix":""},{"dropping-particle":"","family":"Mays","given":"Nicholas","non-dropping-particle":"","parse-names":false,"suffix":""}],"container-title":"BMJ","id":"ITEM-3","issued":{"date-parts":[["2021","7","13"]]},"page":"n1767","title":"England’s new health and care bill","type":"article-journal","volume":"374"},"uris":["http://www.mendeley.com/documents/?uuid=d6cd6228-5736-4bb8-884a-d9d14b3b2964"]},{"id":"ITEM-4","itemData":{"author":[{"dropping-particle":"","family":"Alderwick","given":"Hugh","non-dropping-particle":"","parse-names":false,"suffix":""},{"dropping-particle":"","family":"Hutchings","given":"Andrew","non-dropping-particle":"","parse-names":false,"suffix":""},{"dropping-particle":"","family":"Briggs","given":"Adam","non-dropping-particle":"","parse-names":false,"suffix":""},{"dropping-particle":"","family":"Mays","given":"Nicholas","non-dropping-particle":"","parse-names":false,"suffix":""}],"id":"ITEM-4","issued":{"date-parts":[["2021"]]},"page":"1-16","publisher":"BMC Public Health","title":"The impacts of collaboration between local health care and non-health care organizations and factors shaping how they work : a systematic review of reviews","type":"article-journal"},"uris":["http://www.mendeley.com/documents/?uuid=5cd7d0c2-1345-4851-a43f-fa864eb1a204"]}],"mendeley":{"formattedCitation":"&lt;sup&gt;12,228–230&lt;/sup&gt;","plainTextFormattedCitation":"12,228–230","previouslyFormattedCitation":"&lt;sup&gt;12,228–230&lt;/sup&gt;"},"properties":{"noteIndex":0},"schema":"https://github.com/citation-style-language/schema/raw/master/csl-citation.json"}</w:instrText>
      </w:r>
      <w:r w:rsidR="007873A7">
        <w:fldChar w:fldCharType="separate"/>
      </w:r>
      <w:r w:rsidR="00E25884" w:rsidRPr="00E25884">
        <w:rPr>
          <w:noProof/>
          <w:vertAlign w:val="superscript"/>
        </w:rPr>
        <w:t>12,228–230</w:t>
      </w:r>
      <w:r w:rsidR="007873A7">
        <w:fldChar w:fldCharType="end"/>
      </w:r>
      <w:r w:rsidR="007873A7">
        <w:t xml:space="preserve">. </w:t>
      </w:r>
    </w:p>
    <w:p w14:paraId="7E02B6F3" w14:textId="49D029D5" w:rsidR="007873A7" w:rsidRDefault="007873A7" w:rsidP="00525BE0">
      <w:pPr>
        <w:spacing w:line="360" w:lineRule="auto"/>
        <w:jc w:val="both"/>
      </w:pPr>
      <w:r>
        <w:t xml:space="preserve">Our evidence therefore raises important concerns regarding the potential for the newly mandated ICS arrangements </w:t>
      </w:r>
      <w:r w:rsidR="00DF25B0">
        <w:t xml:space="preserve">to </w:t>
      </w:r>
      <w:r>
        <w:t xml:space="preserve">impact negatively </w:t>
      </w:r>
      <w:r w:rsidR="00F94F61">
        <w:t xml:space="preserve">on existing collaborations </w:t>
      </w:r>
      <w:r>
        <w:t xml:space="preserve">that have already been built in well-established ICSs </w:t>
      </w:r>
      <w:r>
        <w:fldChar w:fldCharType="begin" w:fldLock="1"/>
      </w:r>
      <w:r w:rsidR="00EA4B53">
        <w:instrText>ADDIN CSL_CITATION {"citationItems":[{"id":"ITEM-1","itemData":{"author":[{"dropping-particle":"","family":"Brennan","given":"Sharon","non-dropping-particle":"","parse-names":false,"suffix":""}],"container-title":"Health Service Journal","id":"ITEM-1","issued":{"date-parts":[["2021"]]},"title":"ICS boundary changes revealed","type":"article-magazine"},"uris":["http://www.mendeley.com/documents/?uuid=80040e8c-1506-474c-9020-3784be376f9c"]}],"mendeley":{"formattedCitation":"&lt;sup&gt;231&lt;/sup&gt;","plainTextFormattedCitation":"231","previouslyFormattedCitation":"&lt;sup&gt;231&lt;/sup&gt;"},"properties":{"noteIndex":0},"schema":"https://github.com/citation-style-language/schema/raw/master/csl-citation.json"}</w:instrText>
      </w:r>
      <w:r>
        <w:fldChar w:fldCharType="separate"/>
      </w:r>
      <w:r w:rsidR="00E25884" w:rsidRPr="00E25884">
        <w:rPr>
          <w:noProof/>
          <w:vertAlign w:val="superscript"/>
        </w:rPr>
        <w:t>231</w:t>
      </w:r>
      <w:r>
        <w:fldChar w:fldCharType="end"/>
      </w:r>
      <w:r>
        <w:t xml:space="preserve">. Our findings suggest that mandating collaboration is likely to make some </w:t>
      </w:r>
      <w:r w:rsidR="00F94F61">
        <w:t xml:space="preserve">of the central mechanisms </w:t>
      </w:r>
      <w:r>
        <w:t>such as building trust and faith, more difficult – particularly within severe resource constrained contexts and limited workforce capacity. However, these findings also draw attention to how the current agenda has the potential to kick start collaboration in many local systems where there previously wa</w:t>
      </w:r>
      <w:r w:rsidR="00786E36">
        <w:t>s little relationship building</w:t>
      </w:r>
      <w:r>
        <w:t xml:space="preserve">. A range of practical implications arise from the findings to support the translation of policy proposals, including the importance of focused activities, the implementation of improvement methodologies, the need for shared purpose, and </w:t>
      </w:r>
      <w:r w:rsidR="00786E36">
        <w:t xml:space="preserve">having </w:t>
      </w:r>
      <w:r>
        <w:t xml:space="preserve">clarity of vision to name but a few. </w:t>
      </w:r>
      <w:r w:rsidR="005709D7">
        <w:t xml:space="preserve">Attending to these mechanisms provide a crucial platform for any IOC and require consideration </w:t>
      </w:r>
      <w:r w:rsidR="002E409C">
        <w:t>when embarking on or sustaining any</w:t>
      </w:r>
      <w:r w:rsidR="005709D7">
        <w:t xml:space="preserve"> collaborative venture.</w:t>
      </w:r>
    </w:p>
    <w:p w14:paraId="3BBBD239" w14:textId="3EA7981D" w:rsidR="002E409C" w:rsidRDefault="007873A7" w:rsidP="00525BE0">
      <w:pPr>
        <w:spacing w:line="360" w:lineRule="auto"/>
        <w:jc w:val="both"/>
      </w:pPr>
      <w:r>
        <w:t>These findings also raise important implications for policy regarding the types of regulation required to support collaborative working. The balance between individual and system accountability remains a contentious issue. Our findings suggest that accountabilities weighted towards the former are likely to limit the risk tolerance for collaborative behaviour to occur. The development of regulatory approaches to performance ratings and accountability is required to ensure that collaborative rather than competitive motivations prevail.</w:t>
      </w:r>
      <w:r w:rsidR="00786E36">
        <w:t xml:space="preserve">  </w:t>
      </w:r>
    </w:p>
    <w:p w14:paraId="7AFE376A" w14:textId="77777777" w:rsidR="007873A7" w:rsidRDefault="007873A7" w:rsidP="00525BE0">
      <w:pPr>
        <w:spacing w:line="360" w:lineRule="auto"/>
        <w:jc w:val="both"/>
      </w:pPr>
    </w:p>
    <w:p w14:paraId="05A0E941" w14:textId="7B8EA142" w:rsidR="007873A7" w:rsidRPr="00A42033" w:rsidRDefault="005709D7" w:rsidP="00786E36">
      <w:pPr>
        <w:pStyle w:val="Heading2"/>
      </w:pPr>
      <w:bookmarkStart w:id="146" w:name="_Toc85066482"/>
      <w:r>
        <w:t xml:space="preserve">Translating </w:t>
      </w:r>
      <w:r w:rsidR="007873A7">
        <w:t xml:space="preserve">Context </w:t>
      </w:r>
      <w:r w:rsidR="007C295E">
        <w:t>Mechanism Outcome Configuration</w:t>
      </w:r>
      <w:r>
        <w:t>s</w:t>
      </w:r>
      <w:r w:rsidR="007873A7">
        <w:t xml:space="preserve"> </w:t>
      </w:r>
      <w:r w:rsidR="007C295E">
        <w:t xml:space="preserve">(CMOC) </w:t>
      </w:r>
      <w:bookmarkEnd w:id="146"/>
      <w:r>
        <w:t>into practice</w:t>
      </w:r>
    </w:p>
    <w:p w14:paraId="0C75ADE9" w14:textId="09FCA228" w:rsidR="00786E36" w:rsidRDefault="00786E36" w:rsidP="00525BE0">
      <w:pPr>
        <w:spacing w:line="360" w:lineRule="auto"/>
        <w:jc w:val="both"/>
      </w:pPr>
    </w:p>
    <w:p w14:paraId="5F34DE33" w14:textId="15F38604" w:rsidR="00786E36" w:rsidRDefault="005709D7" w:rsidP="00525BE0">
      <w:pPr>
        <w:spacing w:line="360" w:lineRule="auto"/>
        <w:jc w:val="both"/>
      </w:pPr>
      <w:r>
        <w:t>Figure 16 summarises how to a</w:t>
      </w:r>
      <w:r w:rsidRPr="005709D7">
        <w:t>chiev</w:t>
      </w:r>
      <w:r>
        <w:t>e a flourishing IOC</w:t>
      </w:r>
      <w:r w:rsidRPr="005709D7">
        <w:t xml:space="preserve"> </w:t>
      </w:r>
      <w:r>
        <w:t xml:space="preserve">requires attention to be paid to the </w:t>
      </w:r>
      <w:r w:rsidR="002E409C">
        <w:t>connections</w:t>
      </w:r>
      <w:r w:rsidRPr="005709D7">
        <w:t xml:space="preserve"> between collaborative functioning and performance</w:t>
      </w:r>
      <w:r>
        <w:t xml:space="preserve">. </w:t>
      </w:r>
      <w:r w:rsidR="002E409C">
        <w:t xml:space="preserve">For those wishing to develop an IOC, the following Table 11 sets out </w:t>
      </w:r>
      <w:r w:rsidR="00DF25B0">
        <w:t>a range of</w:t>
      </w:r>
      <w:r w:rsidR="007873A7">
        <w:t xml:space="preserve"> practical steps that organisations </w:t>
      </w:r>
      <w:r w:rsidR="002E409C">
        <w:t xml:space="preserve">and those in leadership positions </w:t>
      </w:r>
      <w:r w:rsidR="007873A7">
        <w:t>can take</w:t>
      </w:r>
      <w:r w:rsidR="00DF25B0">
        <w:t xml:space="preserve"> in the development of IOCs</w:t>
      </w:r>
      <w:r w:rsidR="007873A7">
        <w:t xml:space="preserve"> </w:t>
      </w:r>
      <w:r w:rsidR="007873A7">
        <w:fldChar w:fldCharType="begin" w:fldLock="1"/>
      </w:r>
      <w:r w:rsidR="00EA4B53">
        <w:instrText>ADDIN CSL_CITATION {"citationItems":[{"id":"ITEM-1","itemData":{"DOI":"10.1186/s13012-016-0380-z","ISSN":"17485908","PMID":"26860631","abstract":"Background: Increasingly, it is being suggested that translational gaps might be eradicated or narrowed by bringing research users and producers closer together, a theory that is largely untested. This paper reports a national study to fill a gap in the evidence about the conditions, processes and outcomes related to collaboration and implementation. Methods: A longitudinal realist evaluation using multiple qualitative methods case studies was conducted with three Collaborations for Leadership in Applied Health Research in Care (England). Data were collected over four rounds of theory development, refinement and testing. Over 200 participants were involved in semi-structured interviews, non-participant observations of events and meetings, and stakeholder engagement. A combined inductive and deductive data analysis process was focused on proposition refinement and testing iteratively over data collection rounds. Results: The quality of existing relationships between higher education and local health service, and views about whether implementation was a collaborative act, created a path dependency. Where implementation was perceived to be removed from service and there was a lack of organisational connections, this resulted in a focus on knowledge production and transfer, rather than co-production. The collaborations' architectures were counterproductive because they did not facilitate connectivity and had emphasised professional and epistemic boundaries. More distributed leadership was associated with greater potential for engagement. The creation of boundary spanning roles was the most visible investment in implementation, and credible individuals in these roles resulted in cross-boundary work, in facilitation and in direct impacts. The academic-practice divide played out strongly as a context for motivation to engage, in that 'what's in it for me' resulted in variable levels of engagement along a co-operation-collaboration continuum. Learning within and across collaborations was patchy depending on attention to evaluation. Conclusions: These collaborations did not emerge from a vacuum, and they needed time to learn and develop. Their life cycle started with their position on collaboration, knowledge and implementation. More impactful attempts at collective action in implementation might be determined by the deliberate alignment of a number of features, including foundational relationships, vision, values, structures and processes and views about the na…","author":[{"dropping-particle":"","family":"Rycroft-Malone","given":"Jo","non-dropping-particle":"","parse-names":false,"suffix":""},{"dropping-particle":"","family":"Burton","given":"Christopher R.","non-dropping-particle":"","parse-names":false,"suffix":""},{"dropping-particle":"","family":"Wilkinson","given":"Joyce","non-dropping-particle":"","parse-names":false,"suffix":""},{"dropping-particle":"","family":"Harvey","given":"Gill","non-dropping-particle":"","parse-names":false,"suffix":""},{"dropping-particle":"","family":"McCormack","given":"Brendan","non-dropping-particle":"","parse-names":false,"suffix":""},{"dropping-particle":"","family":"Baker","given":"Richard","non-dropping-particle":"","parse-names":false,"suffix":""},{"dropping-particle":"","family":"Dopson","given":"Sue","non-dropping-particle":"","parse-names":false,"suffix":""},{"dropping-particle":"","family":"Graham","given":"Ian D.","non-dropping-particle":"","parse-names":false,"suffix":""},{"dropping-particle":"","family":"Staniszewska","given":"Sophie","non-dropping-particle":"","parse-names":false,"suffix":""},{"dropping-particle":"","family":"Thompson","given":"Carl","non-dropping-particle":"","parse-names":false,"suffix":""},{"dropping-particle":"","family":"Ariss","given":"Steven","non-dropping-particle":"","parse-names":false,"suffix":""},{"dropping-particle":"","family":"Melville-Richards","given":"Lucy","non-dropping-particle":"","parse-names":false,"suffix":""},{"dropping-particle":"","family":"Williams","given":"Lynne","non-dropping-particle":"","parse-names":false,"suffix":""}],"container-title":"Implementation Science","id":"ITEM-1","issue":"1","issued":{"date-parts":[["2016"]]},"page":"1-17","publisher":"Implementation Science","title":"Collective action for implementation: A realist evaluation of organisational collaboration in healthcare","type":"article-journal","volume":"11"},"uris":["http://www.mendeley.com/documents/?uuid=cc344269-70d5-4756-b11d-1d19fd0b5e8f"]}],"mendeley":{"formattedCitation":"&lt;sup&gt;127&lt;/sup&gt;","plainTextFormattedCitation":"127","previouslyFormattedCitation":"&lt;sup&gt;127&lt;/sup&gt;"},"properties":{"noteIndex":0},"schema":"https://github.com/citation-style-language/schema/raw/master/csl-citation.json"}</w:instrText>
      </w:r>
      <w:r w:rsidR="007873A7">
        <w:fldChar w:fldCharType="separate"/>
      </w:r>
      <w:r w:rsidR="00E25884" w:rsidRPr="00E25884">
        <w:rPr>
          <w:noProof/>
          <w:vertAlign w:val="superscript"/>
        </w:rPr>
        <w:t>127</w:t>
      </w:r>
      <w:r w:rsidR="007873A7">
        <w:fldChar w:fldCharType="end"/>
      </w:r>
      <w:r w:rsidR="007873A7">
        <w:t xml:space="preserve">. </w:t>
      </w:r>
      <w:r w:rsidR="002E409C">
        <w:t>Building on other contributions that</w:t>
      </w:r>
      <w:r w:rsidR="009F51AD">
        <w:t xml:space="preserve"> have</w:t>
      </w:r>
      <w:r w:rsidR="002E409C">
        <w:t xml:space="preserve"> sought to translate Realist reviews into practical guidance, </w:t>
      </w:r>
      <w:r w:rsidR="009F51AD">
        <w:t>the Table presents a series of</w:t>
      </w:r>
      <w:r w:rsidR="007873A7">
        <w:t xml:space="preserve"> </w:t>
      </w:r>
      <w:r w:rsidR="007873A7" w:rsidRPr="00F53BB0">
        <w:t>‘if… then… because’ action state</w:t>
      </w:r>
      <w:r w:rsidR="007873A7">
        <w:t xml:space="preserve">ments </w:t>
      </w:r>
      <w:r w:rsidR="009F51AD">
        <w:t xml:space="preserve">that </w:t>
      </w:r>
      <w:r w:rsidR="00DF25B0">
        <w:t xml:space="preserve">can act as </w:t>
      </w:r>
      <w:r w:rsidR="007873A7">
        <w:t xml:space="preserve">a guide </w:t>
      </w:r>
      <w:r w:rsidR="00DF25B0">
        <w:t xml:space="preserve">for those tasked with </w:t>
      </w:r>
      <w:r w:rsidR="00F94F61">
        <w:t>developing</w:t>
      </w:r>
      <w:r w:rsidR="007873A7">
        <w:t xml:space="preserve"> </w:t>
      </w:r>
      <w:r w:rsidR="00DF25B0">
        <w:t xml:space="preserve">IOCs </w:t>
      </w:r>
      <w:r w:rsidR="007873A7">
        <w:t xml:space="preserve">that </w:t>
      </w:r>
      <w:r w:rsidR="00F94F61">
        <w:t>can</w:t>
      </w:r>
      <w:r w:rsidR="007873A7">
        <w:t xml:space="preserve"> </w:t>
      </w:r>
      <w:r w:rsidR="00F94F61">
        <w:t>facilitate</w:t>
      </w:r>
      <w:r w:rsidR="007873A7">
        <w:t xml:space="preserve"> performance improvement </w:t>
      </w:r>
      <w:r w:rsidR="007873A7">
        <w:fldChar w:fldCharType="begin" w:fldLock="1"/>
      </w:r>
      <w:r w:rsidR="00EA4B53">
        <w:instrText>ADDIN CSL_CITATION {"citationItems":[{"id":"ITEM-1","itemData":{"DOI":"10.1186/s13012-018-0811-0","ISSN":"17485908","PMID":"30442165","abstract":"Background: Facilitation is a promising implementation intervention, which requires theory-informed evaluation. This paper presents an exemplar of a multi-country realist process evaluation that was embedded in the first international randomised controlled trial evaluating two types of facilitation for implementing urinary continence care recommendations. We aimed to uncover what worked (and did not work), for whom, how, why and in what circumstances during the process of implementing the facilitation interventions in practice. Methods: This realist process evaluation included theory formulation, theory testing and refining. Data were collected in 24 care home sites across four European countries. Data were collected over four time points using multiple qualitative methods: observation (372h), interviews with staff (n=357), residents (n=152), next of kin (n=109) and other stakeholders (n=128), supplemented by facilitator activity logs. A combined inductive and deductive data analysis process focused on realist theory refinement and testing. Results: The content and approach of the two facilitation programmes prompted variable opportunities to align and realign support with the needs and expectations of facilitators and homes. This influenced their level of confidence in fulfilling the facilitator role and ability to deliver the intervention as planned. The success of intervention implementation was largely dependent on whether sites prioritised their involvement in both the study and the facilitation programme. In contexts where the study was prioritised (including release of resources) and where managers and staff support was sustained, this prompted collective engagement (as an attitude and action). Internal facilitators' (IF) personal characteristics and abilities, including personal and formal authority, in combination with a supportive environment prompted by managers triggered the potential for learning over time. Learning over time resulted in a sense of confidence and personal growth, and enactment of the facilitation role, which resulted in practice changes. Conclusion: The scale and multi-country nature of this study provided a novel context to conduct one of the few trial embedded realist-informed process evaluations. In addition to providing an explanatory account of implementation processes, a conceptual platform for future facilitation research is presented. Finally, a realist-informed process evaluation framework is outlined, which could …","author":[{"dropping-particle":"","family":"Rycroft-Malone","given":"Jo","non-dropping-particle":"","parse-names":false,"suffix":""},{"dropping-particle":"","family":"Seers","given":"Kate","non-dropping-particle":"","parse-names":false,"suffix":""},{"dropping-particle":"","family":"Eldh","given":"Ann Catrine","non-dropping-particle":"","parse-names":false,"suffix":""},{"dropping-particle":"","family":"Cox","given":"Karen","non-dropping-particle":"","parse-names":false,"suffix":""},{"dropping-particle":"","family":"Crichton","given":"Nicola","non-dropping-particle":"","parse-names":false,"suffix":""},{"dropping-particle":"","family":"Harvey","given":"Gill","non-dropping-particle":"","parse-names":false,"suffix":""},{"dropping-particle":"","family":"Hawkes","given":"Claire","non-dropping-particle":"","parse-names":false,"suffix":""},{"dropping-particle":"","family":"Kitson","given":"Alison","non-dropping-particle":"","parse-names":false,"suffix":""},{"dropping-particle":"","family":"McCormack","given":"Brendan","non-dropping-particle":"","parse-names":false,"suffix":""},{"dropping-particle":"","family":"McMullan","given":"Christel","non-dropping-particle":"","parse-names":false,"suffix":""},{"dropping-particle":"","family":"Mockford","given":"Carole","non-dropping-particle":"","parse-names":false,"suffix":""},{"dropping-particle":"","family":"Niessen","given":"Theo","non-dropping-particle":"","parse-names":false,"suffix":""},{"dropping-particle":"","family":"Slater","given":"Paul","non-dropping-particle":"","parse-names":false,"suffix":""},{"dropping-particle":"","family":"Titchen","given":"Angie","non-dropping-particle":"","parse-names":false,"suffix":""},{"dropping-particle":"","family":"Zijpp","given":"Teatske","non-dropping-particle":"van der","parse-names":false,"suffix":""},{"dropping-particle":"","family":"Wallin","given":"Lars","non-dropping-particle":"","parse-names":false,"suffix":""}],"container-title":"Implementation Science","id":"ITEM-1","issue":"1","issued":{"date-parts":[["2018"]]},"page":"1-15","publisher":"Implementation Science","title":"A realist process evaluation within the Facilitating Implementation of Research Evidence (FIRE) cluster randomised controlled international trial: An exemplar","type":"article-journal","volume":"13"},"uris":["http://www.mendeley.com/documents/?uuid=558411f1-2a56-4e73-a8b4-98a116a8527f"]},{"id":"ITEM-2","itemData":{"DOI":"10.1186/s13012-015-0321-2","ISSN":"17485908","PMID":"26415961","abstract":"Background: This paper reports how we used a realist review, as part of a wider project to improve collaborative mental health care for prisoners with common mental health problems, to develop a conceptual platform. The importance of offenders gaining support for their mental health, and the need for practitioners across the health service, the criminal justice system, and the third sector to work together to achieve this is recognised internationally. However, the literature does not provide coherent analyses of how these ambitions can be achieved. This paper demonstrates how a realist review can be applied to inform complex intervention development that spans different locations, organisations, professions, and care sectors. Methods: We applied and developed a realist review for the purposes of intervention development, using a three-stage process. (1) An iterative database search strategy (extending beyond criminal justice and offender health) and groups of academics, practitioners, and people with lived experience were used to identify explanatory accounts (n = 347). (2) From these accounts, we developed consolidated explanatory accounts (n = 75). (3) The identified interactions between practitioners and offenders (within their organisational, social, and cultural contexts) were specified in a conceptual platform. We also specify, step by step, how these explanatory accounts were documented, consolidated, and built into a conceptual platform. This addresses an important methodological gap for social scientists and intervention developers about how to develop and articulate programme and implementation theory underpinning complex interventions. Results: An integrated person-centred system is proposed to improve collaborative mental health care for offenders with common mental health problems (near to and after release) by achieving consistency between the goals of different sectors and practitioners, enabling practitioners to apply scientific and experiential knowledge in working judiciously and reflectively, and building systems and aligning resources that are centred on offenders' health and social care needs. Conclusions: As part of a broader programme of work, a realist review can make an important contribution to the specification of theoretically informed interventions that have the potential to improve health outcomes. Our conceptual platform has potential application in related systems of health and social care where integrated, and person-ce…","author":[{"dropping-particle":"","family":"Pearson","given":"M.","non-dropping-particle":"","parse-names":false,"suffix":""},{"dropping-particle":"","family":"Brand","given":"S. L.","non-dropping-particle":"","parse-names":false,"suffix":""},{"dropping-particle":"","family":"Quinn","given":"C.","non-dropping-particle":"","parse-names":false,"suffix":""},{"dropping-particle":"","family":"Shaw","given":"J.","non-dropping-particle":"","parse-names":false,"suffix":""},{"dropping-particle":"","family":"Maguire","given":"M.","non-dropping-particle":"","parse-names":false,"suffix":""},{"dropping-particle":"","family":"Michie","given":"S.","non-dropping-particle":"","parse-names":false,"suffix":""},{"dropping-particle":"","family":"Briscoe","given":"S.","non-dropping-particle":"","parse-names":false,"suffix":""},{"dropping-particle":"","family":"Lennox","given":"C.","non-dropping-particle":"","parse-names":false,"suffix":""},{"dropping-particle":"","family":"Stirzaker","given":"A.","non-dropping-particle":"","parse-names":false,"suffix":""},{"dropping-particle":"","family":"Kirkpatrick","given":"T.","non-dropping-particle":"","parse-names":false,"suffix":""},{"dropping-particle":"","family":"Byng","given":"R.","non-dropping-particle":"","parse-names":false,"suffix":""}],"container-title":"Implementation Science","id":"ITEM-2","issue":"1","issued":{"date-parts":[["2015"]]},"page":"1-12","publisher":"Implementation Science","title":"Using realist review to inform intervention development: Methodological illustration and conceptual platform for collaborative care in offender mental health","type":"article-journal","volume":"10"},"uris":["http://www.mendeley.com/documents/?uuid=76ef2779-6582-4981-ae52-847c57af518b"]}],"mendeley":{"formattedCitation":"&lt;sup&gt;232,233&lt;/sup&gt;","plainTextFormattedCitation":"232,233","previouslyFormattedCitation":"&lt;sup&gt;232,233&lt;/sup&gt;"},"properties":{"noteIndex":0},"schema":"https://github.com/citation-style-language/schema/raw/master/csl-citation.json"}</w:instrText>
      </w:r>
      <w:r w:rsidR="007873A7">
        <w:fldChar w:fldCharType="separate"/>
      </w:r>
      <w:r w:rsidR="00E25884" w:rsidRPr="00E25884">
        <w:rPr>
          <w:noProof/>
          <w:vertAlign w:val="superscript"/>
        </w:rPr>
        <w:t>232,233</w:t>
      </w:r>
      <w:r w:rsidR="007873A7">
        <w:fldChar w:fldCharType="end"/>
      </w:r>
      <w:r w:rsidR="007873A7">
        <w:t xml:space="preserve">. </w:t>
      </w:r>
    </w:p>
    <w:p w14:paraId="6879E1E3" w14:textId="77777777" w:rsidR="002E409C" w:rsidRDefault="002E409C" w:rsidP="00525BE0">
      <w:pPr>
        <w:spacing w:line="360" w:lineRule="auto"/>
        <w:jc w:val="both"/>
      </w:pPr>
    </w:p>
    <w:p w14:paraId="53FA91CE" w14:textId="1F4F01AD" w:rsidR="007873A7" w:rsidRDefault="007873A7" w:rsidP="00525BE0">
      <w:pPr>
        <w:pStyle w:val="Caption"/>
        <w:keepNext/>
        <w:spacing w:line="360" w:lineRule="auto"/>
        <w:jc w:val="both"/>
      </w:pPr>
      <w:bookmarkStart w:id="147" w:name="_Toc106181515"/>
      <w:r>
        <w:t xml:space="preserve">Table </w:t>
      </w:r>
      <w:r w:rsidR="008802A5">
        <w:fldChar w:fldCharType="begin"/>
      </w:r>
      <w:r w:rsidR="008802A5">
        <w:instrText xml:space="preserve"> SEQ Table \* ARABIC </w:instrText>
      </w:r>
      <w:r w:rsidR="008802A5">
        <w:fldChar w:fldCharType="separate"/>
      </w:r>
      <w:r w:rsidR="007F428C">
        <w:rPr>
          <w:noProof/>
        </w:rPr>
        <w:t>11</w:t>
      </w:r>
      <w:r w:rsidR="008802A5">
        <w:rPr>
          <w:noProof/>
        </w:rPr>
        <w:fldChar w:fldCharType="end"/>
      </w:r>
      <w:r>
        <w:t>. Action statements to maximise collaborative functioning and performance</w:t>
      </w:r>
      <w:bookmarkEnd w:id="147"/>
    </w:p>
    <w:tbl>
      <w:tblPr>
        <w:tblStyle w:val="TableGrid"/>
        <w:tblW w:w="0" w:type="auto"/>
        <w:tblLook w:val="04A0" w:firstRow="1" w:lastRow="0" w:firstColumn="1" w:lastColumn="0" w:noHBand="0" w:noVBand="1"/>
      </w:tblPr>
      <w:tblGrid>
        <w:gridCol w:w="1838"/>
        <w:gridCol w:w="7178"/>
      </w:tblGrid>
      <w:tr w:rsidR="007873A7" w14:paraId="31F3F575" w14:textId="77777777" w:rsidTr="007873A7">
        <w:trPr>
          <w:trHeight w:val="330"/>
        </w:trPr>
        <w:tc>
          <w:tcPr>
            <w:tcW w:w="1838" w:type="dxa"/>
          </w:tcPr>
          <w:p w14:paraId="4EB86945" w14:textId="3FB689CA" w:rsidR="007873A7" w:rsidRPr="00AB7FAE" w:rsidRDefault="00F94F61" w:rsidP="00525BE0">
            <w:pPr>
              <w:spacing w:line="360" w:lineRule="auto"/>
              <w:jc w:val="both"/>
              <w:rPr>
                <w:b/>
                <w:bCs/>
                <w:sz w:val="18"/>
                <w:szCs w:val="18"/>
              </w:rPr>
            </w:pPr>
            <w:r>
              <w:rPr>
                <w:b/>
                <w:bCs/>
                <w:sz w:val="18"/>
                <w:szCs w:val="18"/>
              </w:rPr>
              <w:t>IOC tasks</w:t>
            </w:r>
          </w:p>
        </w:tc>
        <w:tc>
          <w:tcPr>
            <w:tcW w:w="7178" w:type="dxa"/>
          </w:tcPr>
          <w:p w14:paraId="13AB6951" w14:textId="77777777" w:rsidR="007873A7" w:rsidRPr="00AB7FAE" w:rsidRDefault="007873A7" w:rsidP="00525BE0">
            <w:pPr>
              <w:spacing w:line="360" w:lineRule="auto"/>
              <w:jc w:val="both"/>
              <w:rPr>
                <w:b/>
                <w:bCs/>
                <w:sz w:val="18"/>
                <w:szCs w:val="18"/>
              </w:rPr>
            </w:pPr>
            <w:r w:rsidRPr="00AB7FAE">
              <w:rPr>
                <w:b/>
                <w:bCs/>
                <w:sz w:val="18"/>
                <w:szCs w:val="18"/>
              </w:rPr>
              <w:t>If (context)… then (outcome)… because (mechanism)… ‘action’ statements</w:t>
            </w:r>
          </w:p>
        </w:tc>
      </w:tr>
      <w:tr w:rsidR="007873A7" w14:paraId="7F8FC034" w14:textId="77777777" w:rsidTr="00BC34A8">
        <w:trPr>
          <w:trHeight w:val="1408"/>
        </w:trPr>
        <w:tc>
          <w:tcPr>
            <w:tcW w:w="1838" w:type="dxa"/>
          </w:tcPr>
          <w:p w14:paraId="771C69B5" w14:textId="77777777" w:rsidR="007873A7" w:rsidRPr="00AB7FAE" w:rsidRDefault="007873A7" w:rsidP="00525BE0">
            <w:pPr>
              <w:spacing w:line="360" w:lineRule="auto"/>
              <w:jc w:val="both"/>
              <w:rPr>
                <w:sz w:val="18"/>
                <w:szCs w:val="18"/>
              </w:rPr>
            </w:pPr>
            <w:r w:rsidRPr="00AB7FAE">
              <w:rPr>
                <w:sz w:val="18"/>
                <w:szCs w:val="18"/>
              </w:rPr>
              <w:t>Leadership behaviours and attributes</w:t>
            </w:r>
          </w:p>
        </w:tc>
        <w:tc>
          <w:tcPr>
            <w:tcW w:w="7178" w:type="dxa"/>
          </w:tcPr>
          <w:p w14:paraId="18104DA7" w14:textId="68A8CB8B"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positive leadership traits and behaviours including empathetic leadership, visibility, showing vulnerability, espousing local benefit, learning from others, persuasiveness, </w:t>
            </w:r>
            <w:r w:rsidR="002E409C">
              <w:rPr>
                <w:sz w:val="18"/>
                <w:szCs w:val="18"/>
              </w:rPr>
              <w:t xml:space="preserve">demonstrating </w:t>
            </w:r>
            <w:r w:rsidRPr="00AB7FAE">
              <w:rPr>
                <w:sz w:val="18"/>
                <w:szCs w:val="18"/>
              </w:rPr>
              <w:t xml:space="preserve">commitment, generosity, consistency of approach, fostering </w:t>
            </w:r>
            <w:r w:rsidR="002E409C">
              <w:rPr>
                <w:sz w:val="18"/>
                <w:szCs w:val="18"/>
              </w:rPr>
              <w:t xml:space="preserve">a </w:t>
            </w:r>
            <w:r w:rsidRPr="00AB7FAE">
              <w:rPr>
                <w:sz w:val="18"/>
                <w:szCs w:val="18"/>
              </w:rPr>
              <w:t>positive culture are in place, these can increase collaborative behaviour by enhancing trust and faith</w:t>
            </w:r>
          </w:p>
          <w:p w14:paraId="447FADC0" w14:textId="5A112762"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negative leadership traits and behaviours such as being ‘missing in action’, not being held accountable, and being overly resistant to change, these can significantly decrease faith and willingness to collaborate</w:t>
            </w:r>
          </w:p>
          <w:p w14:paraId="71396D6C" w14:textId="364FC062" w:rsidR="007873A7" w:rsidRPr="00AB7FAE" w:rsidRDefault="002E409C" w:rsidP="00525BE0">
            <w:pPr>
              <w:pStyle w:val="ListParagraph"/>
              <w:numPr>
                <w:ilvl w:val="0"/>
                <w:numId w:val="11"/>
              </w:numPr>
              <w:spacing w:after="0" w:line="360" w:lineRule="auto"/>
              <w:jc w:val="both"/>
              <w:rPr>
                <w:sz w:val="18"/>
                <w:szCs w:val="18"/>
              </w:rPr>
            </w:pPr>
            <w:r>
              <w:rPr>
                <w:rFonts w:cstheme="minorHAnsi"/>
                <w:sz w:val="18"/>
                <w:szCs w:val="18"/>
              </w:rPr>
              <w:t>If a</w:t>
            </w:r>
            <w:r w:rsidR="007873A7" w:rsidRPr="00AB7FAE">
              <w:rPr>
                <w:rFonts w:cstheme="minorHAnsi"/>
                <w:sz w:val="18"/>
                <w:szCs w:val="18"/>
              </w:rPr>
              <w:t xml:space="preserve"> “culture of improvement</w:t>
            </w:r>
            <w:r w:rsidR="002F6D60">
              <w:rPr>
                <w:rFonts w:cstheme="minorHAnsi"/>
                <w:sz w:val="18"/>
                <w:szCs w:val="18"/>
              </w:rPr>
              <w:t>” for organisations is fostered</w:t>
            </w:r>
            <w:r w:rsidR="007873A7" w:rsidRPr="00AB7FAE">
              <w:rPr>
                <w:rFonts w:cstheme="minorHAnsi"/>
                <w:sz w:val="18"/>
                <w:szCs w:val="18"/>
              </w:rPr>
              <w:t xml:space="preserve"> through performing cultural due diligence, this can promote engagement in collaboration by improving faith</w:t>
            </w:r>
          </w:p>
          <w:p w14:paraId="66A914CC" w14:textId="4F39EC94" w:rsidR="007873A7" w:rsidRPr="00AB7FAE" w:rsidRDefault="007873A7" w:rsidP="00525BE0">
            <w:pPr>
              <w:pStyle w:val="ListParagraph"/>
              <w:numPr>
                <w:ilvl w:val="0"/>
                <w:numId w:val="11"/>
              </w:numPr>
              <w:spacing w:after="0" w:line="360" w:lineRule="auto"/>
              <w:jc w:val="both"/>
              <w:rPr>
                <w:sz w:val="18"/>
                <w:szCs w:val="18"/>
              </w:rPr>
            </w:pPr>
            <w:r w:rsidRPr="00AB7FAE">
              <w:rPr>
                <w:rFonts w:cstheme="minorHAnsi"/>
                <w:sz w:val="18"/>
                <w:szCs w:val="18"/>
              </w:rPr>
              <w:t xml:space="preserve">If the collaboration works towards sharing improvement programmes and strategies across organisations, this can drive organisational performance improvements </w:t>
            </w:r>
            <w:r w:rsidR="00DE1ECD">
              <w:rPr>
                <w:rFonts w:cstheme="minorHAnsi"/>
                <w:sz w:val="18"/>
                <w:szCs w:val="18"/>
              </w:rPr>
              <w:t>by</w:t>
            </w:r>
            <w:r w:rsidRPr="00AB7FAE">
              <w:rPr>
                <w:rFonts w:cstheme="minorHAnsi"/>
                <w:sz w:val="18"/>
                <w:szCs w:val="18"/>
              </w:rPr>
              <w:t xml:space="preserve"> improv</w:t>
            </w:r>
            <w:r w:rsidR="00DE1ECD">
              <w:rPr>
                <w:rFonts w:cstheme="minorHAnsi"/>
                <w:sz w:val="18"/>
                <w:szCs w:val="18"/>
              </w:rPr>
              <w:t>ing</w:t>
            </w:r>
            <w:r w:rsidRPr="00AB7FAE">
              <w:rPr>
                <w:rFonts w:cstheme="minorHAnsi"/>
                <w:sz w:val="18"/>
                <w:szCs w:val="18"/>
              </w:rPr>
              <w:t xml:space="preserve"> collaborative behaviour</w:t>
            </w:r>
          </w:p>
        </w:tc>
      </w:tr>
      <w:tr w:rsidR="007873A7" w14:paraId="18D0867E" w14:textId="77777777" w:rsidTr="007873A7">
        <w:trPr>
          <w:trHeight w:val="349"/>
        </w:trPr>
        <w:tc>
          <w:tcPr>
            <w:tcW w:w="1838" w:type="dxa"/>
          </w:tcPr>
          <w:p w14:paraId="48CD92E3" w14:textId="77777777" w:rsidR="007873A7" w:rsidRPr="00AB7FAE" w:rsidRDefault="007873A7" w:rsidP="00525BE0">
            <w:pPr>
              <w:spacing w:line="360" w:lineRule="auto"/>
              <w:jc w:val="both"/>
              <w:rPr>
                <w:sz w:val="18"/>
                <w:szCs w:val="18"/>
              </w:rPr>
            </w:pPr>
            <w:r w:rsidRPr="00AB7FAE">
              <w:rPr>
                <w:sz w:val="18"/>
                <w:szCs w:val="18"/>
              </w:rPr>
              <w:t>Enhancing trust and interpersonal ties</w:t>
            </w:r>
          </w:p>
        </w:tc>
        <w:tc>
          <w:tcPr>
            <w:tcW w:w="7178" w:type="dxa"/>
          </w:tcPr>
          <w:p w14:paraId="1188DC05" w14:textId="29B7B445"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organisations work on understanding the impact of negative prior experiences in collaborations, they can improve initial trust </w:t>
            </w:r>
            <w:r w:rsidR="002F6D60">
              <w:rPr>
                <w:sz w:val="18"/>
                <w:szCs w:val="18"/>
              </w:rPr>
              <w:t>which</w:t>
            </w:r>
            <w:r w:rsidRPr="00AB7FAE">
              <w:rPr>
                <w:sz w:val="18"/>
                <w:szCs w:val="18"/>
              </w:rPr>
              <w:t xml:space="preserve"> can reduce conflict</w:t>
            </w:r>
          </w:p>
          <w:p w14:paraId="4A6D5F38" w14:textId="3F1D7BEF"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organisations can foster a mutual understanding by formulating and instilling a shared vision, they can reduce conflict </w:t>
            </w:r>
            <w:r w:rsidR="002F6D60">
              <w:rPr>
                <w:sz w:val="18"/>
                <w:szCs w:val="18"/>
              </w:rPr>
              <w:t xml:space="preserve">through generating a </w:t>
            </w:r>
            <w:r w:rsidR="00C7734F">
              <w:rPr>
                <w:sz w:val="18"/>
                <w:szCs w:val="18"/>
              </w:rPr>
              <w:t>co-operative</w:t>
            </w:r>
            <w:r w:rsidRPr="00AB7FAE">
              <w:rPr>
                <w:sz w:val="18"/>
                <w:szCs w:val="18"/>
              </w:rPr>
              <w:t xml:space="preserve"> atmosphere</w:t>
            </w:r>
          </w:p>
          <w:p w14:paraId="60EAB20C" w14:textId="52594A80"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the collaboration can deliver ‘quick wins’ at the beginning of the lifecycle, then they can improve trust and faith because they avoid </w:t>
            </w:r>
            <w:r w:rsidR="00C7734F">
              <w:rPr>
                <w:sz w:val="18"/>
                <w:szCs w:val="18"/>
              </w:rPr>
              <w:t>inertia and maintain</w:t>
            </w:r>
            <w:r w:rsidRPr="00AB7FAE">
              <w:rPr>
                <w:sz w:val="18"/>
                <w:szCs w:val="18"/>
              </w:rPr>
              <w:t xml:space="preserve"> momentum and ‘energy’ </w:t>
            </w:r>
          </w:p>
          <w:p w14:paraId="26BD53DF"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collaborations can understand and mitigate the impact of the regulatory environment, then they can improve faith because it lowers the workforce’s perception of complexity</w:t>
            </w:r>
          </w:p>
          <w:p w14:paraId="48475FDD" w14:textId="57370D09"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the collaboration can prioritise interpersonal communication between organisational actors, face-to-face where possible, then they can improve trust because this helps to build interpersonal relationships</w:t>
            </w:r>
          </w:p>
          <w:p w14:paraId="7535708E" w14:textId="710DFE8D"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there is significant geographical distance between partners, then this can act as a barrier to trust formation, because it can undermine </w:t>
            </w:r>
            <w:r w:rsidR="00C7734F">
              <w:rPr>
                <w:sz w:val="18"/>
                <w:szCs w:val="18"/>
              </w:rPr>
              <w:t xml:space="preserve">the </w:t>
            </w:r>
            <w:r w:rsidRPr="00AB7FAE">
              <w:rPr>
                <w:sz w:val="18"/>
                <w:szCs w:val="18"/>
              </w:rPr>
              <w:t>ability to have informal interactions</w:t>
            </w:r>
          </w:p>
          <w:p w14:paraId="1E2BFE89" w14:textId="70D05958" w:rsidR="007873A7" w:rsidRPr="00AB7FAE" w:rsidRDefault="007873A7" w:rsidP="00C7734F">
            <w:pPr>
              <w:pStyle w:val="ListParagraph"/>
              <w:numPr>
                <w:ilvl w:val="0"/>
                <w:numId w:val="11"/>
              </w:numPr>
              <w:spacing w:after="0" w:line="360" w:lineRule="auto"/>
              <w:jc w:val="both"/>
              <w:rPr>
                <w:sz w:val="18"/>
                <w:szCs w:val="18"/>
              </w:rPr>
            </w:pPr>
            <w:r w:rsidRPr="00AB7FAE">
              <w:rPr>
                <w:sz w:val="18"/>
                <w:szCs w:val="18"/>
              </w:rPr>
              <w:t>If flexibility and a degree of autonomy within the IOC can occur, then it helps build trust because it avoids feelings of a loss of organisational autonomy (conflict)</w:t>
            </w:r>
          </w:p>
        </w:tc>
      </w:tr>
      <w:tr w:rsidR="007873A7" w14:paraId="1903E807" w14:textId="77777777" w:rsidTr="007873A7">
        <w:trPr>
          <w:trHeight w:val="330"/>
        </w:trPr>
        <w:tc>
          <w:tcPr>
            <w:tcW w:w="1838" w:type="dxa"/>
          </w:tcPr>
          <w:p w14:paraId="12C45682" w14:textId="77777777" w:rsidR="007873A7" w:rsidRPr="00AB7FAE" w:rsidRDefault="007873A7" w:rsidP="00525BE0">
            <w:pPr>
              <w:spacing w:line="360" w:lineRule="auto"/>
              <w:jc w:val="both"/>
              <w:rPr>
                <w:sz w:val="18"/>
                <w:szCs w:val="18"/>
              </w:rPr>
            </w:pPr>
            <w:r w:rsidRPr="00AB7FAE">
              <w:rPr>
                <w:sz w:val="18"/>
                <w:szCs w:val="18"/>
              </w:rPr>
              <w:t>Risk tolerance</w:t>
            </w:r>
          </w:p>
        </w:tc>
        <w:tc>
          <w:tcPr>
            <w:tcW w:w="7178" w:type="dxa"/>
          </w:tcPr>
          <w:p w14:paraId="11377EB0" w14:textId="4BB20FF5" w:rsidR="007873A7" w:rsidRPr="00AB7FAE" w:rsidRDefault="007873A7" w:rsidP="00C7734F">
            <w:pPr>
              <w:pStyle w:val="ListParagraph"/>
              <w:numPr>
                <w:ilvl w:val="0"/>
                <w:numId w:val="11"/>
              </w:numPr>
              <w:spacing w:after="0" w:line="360" w:lineRule="auto"/>
              <w:jc w:val="both"/>
              <w:rPr>
                <w:sz w:val="18"/>
                <w:szCs w:val="18"/>
              </w:rPr>
            </w:pPr>
            <w:r w:rsidRPr="00AB7FAE">
              <w:rPr>
                <w:sz w:val="18"/>
                <w:szCs w:val="18"/>
              </w:rPr>
              <w:t>If the collaboration implements an appr</w:t>
            </w:r>
            <w:r w:rsidR="00C7734F">
              <w:rPr>
                <w:sz w:val="18"/>
                <w:szCs w:val="18"/>
              </w:rPr>
              <w:t xml:space="preserve">opriate degree of formalisation, </w:t>
            </w:r>
            <w:r w:rsidRPr="00AB7FAE">
              <w:rPr>
                <w:sz w:val="18"/>
                <w:szCs w:val="18"/>
              </w:rPr>
              <w:t>then it can enable the appropriate environment in which collaborative behaviour can occur</w:t>
            </w:r>
            <w:r w:rsidR="00C7734F">
              <w:rPr>
                <w:sz w:val="18"/>
                <w:szCs w:val="18"/>
              </w:rPr>
              <w:t xml:space="preserve"> which </w:t>
            </w:r>
            <w:r w:rsidRPr="00AB7FAE">
              <w:rPr>
                <w:sz w:val="18"/>
                <w:szCs w:val="18"/>
              </w:rPr>
              <w:t>improves trust and/or confidence</w:t>
            </w:r>
          </w:p>
        </w:tc>
      </w:tr>
      <w:tr w:rsidR="007873A7" w14:paraId="728907A9" w14:textId="77777777" w:rsidTr="007873A7">
        <w:trPr>
          <w:trHeight w:val="330"/>
        </w:trPr>
        <w:tc>
          <w:tcPr>
            <w:tcW w:w="1838" w:type="dxa"/>
          </w:tcPr>
          <w:p w14:paraId="45E90FF6" w14:textId="77777777" w:rsidR="007873A7" w:rsidRPr="00AB7FAE" w:rsidRDefault="007873A7" w:rsidP="00525BE0">
            <w:pPr>
              <w:spacing w:line="360" w:lineRule="auto"/>
              <w:jc w:val="both"/>
              <w:rPr>
                <w:sz w:val="18"/>
                <w:szCs w:val="18"/>
              </w:rPr>
            </w:pPr>
            <w:r w:rsidRPr="00AB7FAE">
              <w:rPr>
                <w:sz w:val="18"/>
                <w:szCs w:val="18"/>
              </w:rPr>
              <w:t>Faith and initial faith</w:t>
            </w:r>
          </w:p>
        </w:tc>
        <w:tc>
          <w:tcPr>
            <w:tcW w:w="7178" w:type="dxa"/>
          </w:tcPr>
          <w:p w14:paraId="19162BC8" w14:textId="34095D44"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organisations include service users and frontline staff in its design, then this will improve faith because this helps keep the vision clearly focused on key outcomes</w:t>
            </w:r>
          </w:p>
          <w:p w14:paraId="029A6237" w14:textId="359547B8"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a clear vision is maintained from the outset, with clear outcomes and a logical path for achievement, then this improves trust because it helps to avoid conflict</w:t>
            </w:r>
          </w:p>
          <w:p w14:paraId="77B68130" w14:textId="271CD085"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the collaborations keep an appropriate level of ambition, it improves faith because it prevents feelings of failure when </w:t>
            </w:r>
            <w:r w:rsidR="00A02983">
              <w:rPr>
                <w:sz w:val="18"/>
                <w:szCs w:val="18"/>
              </w:rPr>
              <w:t>ambitious</w:t>
            </w:r>
            <w:r w:rsidRPr="00AB7FAE">
              <w:rPr>
                <w:sz w:val="18"/>
                <w:szCs w:val="18"/>
              </w:rPr>
              <w:t xml:space="preserve"> goals are not achieved </w:t>
            </w:r>
          </w:p>
          <w:p w14:paraId="2F870AE6" w14:textId="5DACA945"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collaborations involve very large organisations, or many partners, then this can reduce faith, because it causes an increase in </w:t>
            </w:r>
            <w:r w:rsidR="00A02983">
              <w:rPr>
                <w:sz w:val="18"/>
                <w:szCs w:val="18"/>
              </w:rPr>
              <w:t xml:space="preserve">the </w:t>
            </w:r>
            <w:r w:rsidRPr="00AB7FAE">
              <w:rPr>
                <w:sz w:val="18"/>
                <w:szCs w:val="18"/>
              </w:rPr>
              <w:t>perception of complexity</w:t>
            </w:r>
          </w:p>
          <w:p w14:paraId="6AB9D8B8" w14:textId="2DB05975"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organisations can ensure that there is a perception of progress (forward momentum) then this will contribute to faith being maintained because there is ongoing evaluation and implementation of milestones</w:t>
            </w:r>
          </w:p>
          <w:p w14:paraId="76BBE966" w14:textId="33C95810"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organisations implement ‘champions’ in the IOC then this can help to spread the faith in the collaboration because they help share the vision within the workforce</w:t>
            </w:r>
          </w:p>
          <w:p w14:paraId="21F5F71A"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collaborations can prevent a high degree of staff turnover then they can prevent a loss of faith because every staff member that leaves needs to re-learn the vision of the collaboration</w:t>
            </w:r>
          </w:p>
          <w:p w14:paraId="74155C76" w14:textId="477DAEE9" w:rsidR="007873A7" w:rsidRPr="00AB7FAE" w:rsidRDefault="007873A7" w:rsidP="00A02983">
            <w:pPr>
              <w:pStyle w:val="ListParagraph"/>
              <w:numPr>
                <w:ilvl w:val="0"/>
                <w:numId w:val="11"/>
              </w:numPr>
              <w:spacing w:after="0" w:line="360" w:lineRule="auto"/>
              <w:jc w:val="both"/>
              <w:rPr>
                <w:sz w:val="18"/>
                <w:szCs w:val="18"/>
              </w:rPr>
            </w:pPr>
            <w:r w:rsidRPr="00AB7FAE">
              <w:rPr>
                <w:sz w:val="18"/>
                <w:szCs w:val="18"/>
              </w:rPr>
              <w:t>If organisations can understand the reputation that the chosen IOC form has in the public (</w:t>
            </w:r>
            <w:r w:rsidR="00A02983" w:rsidRPr="00AB7FAE">
              <w:rPr>
                <w:sz w:val="18"/>
                <w:szCs w:val="18"/>
              </w:rPr>
              <w:t>e.g.</w:t>
            </w:r>
            <w:r w:rsidRPr="00AB7FAE">
              <w:rPr>
                <w:sz w:val="18"/>
                <w:szCs w:val="18"/>
              </w:rPr>
              <w:t xml:space="preserve"> privatisation) then they can improve faith because they may be able to better understand the impact on the workforce</w:t>
            </w:r>
          </w:p>
        </w:tc>
      </w:tr>
      <w:tr w:rsidR="007873A7" w14:paraId="52439BD8" w14:textId="77777777" w:rsidTr="007873A7">
        <w:trPr>
          <w:trHeight w:val="349"/>
        </w:trPr>
        <w:tc>
          <w:tcPr>
            <w:tcW w:w="1838" w:type="dxa"/>
          </w:tcPr>
          <w:p w14:paraId="0DF7D4B6" w14:textId="77777777" w:rsidR="007873A7" w:rsidRPr="00AB7FAE" w:rsidRDefault="007873A7" w:rsidP="00525BE0">
            <w:pPr>
              <w:spacing w:line="360" w:lineRule="auto"/>
              <w:jc w:val="both"/>
              <w:rPr>
                <w:sz w:val="18"/>
                <w:szCs w:val="18"/>
              </w:rPr>
            </w:pPr>
            <w:r w:rsidRPr="00AB7FAE">
              <w:rPr>
                <w:sz w:val="18"/>
                <w:szCs w:val="18"/>
              </w:rPr>
              <w:t>Managing mandated collaborations</w:t>
            </w:r>
          </w:p>
        </w:tc>
        <w:tc>
          <w:tcPr>
            <w:tcW w:w="7178" w:type="dxa"/>
          </w:tcPr>
          <w:p w14:paraId="77A7F666" w14:textId="4E442478"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those involved can </w:t>
            </w:r>
            <w:r w:rsidR="00A02983">
              <w:rPr>
                <w:sz w:val="18"/>
                <w:szCs w:val="18"/>
              </w:rPr>
              <w:t xml:space="preserve">acknowledge that mandated IOCs </w:t>
            </w:r>
            <w:r w:rsidRPr="00AB7FAE">
              <w:rPr>
                <w:sz w:val="18"/>
                <w:szCs w:val="18"/>
              </w:rPr>
              <w:t>usually manifest in unequal power structure</w:t>
            </w:r>
            <w:r w:rsidR="00A02983">
              <w:rPr>
                <w:sz w:val="18"/>
                <w:szCs w:val="18"/>
              </w:rPr>
              <w:t>s</w:t>
            </w:r>
            <w:r w:rsidRPr="00AB7FAE">
              <w:rPr>
                <w:sz w:val="18"/>
                <w:szCs w:val="18"/>
              </w:rPr>
              <w:t xml:space="preserve"> they can reduce the negative impact of this on trust because they pre-emptively understand that additional conflicts may arise</w:t>
            </w:r>
          </w:p>
          <w:p w14:paraId="01A48E4F" w14:textId="2737F473"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mandated collaborations understand that building relationships and a truly cooperative environment cannot be forced, then this may aid collaborative behaviour </w:t>
            </w:r>
            <w:r w:rsidR="00A02983">
              <w:rPr>
                <w:sz w:val="18"/>
                <w:szCs w:val="18"/>
              </w:rPr>
              <w:t>in leveraging</w:t>
            </w:r>
            <w:r w:rsidRPr="00AB7FAE">
              <w:rPr>
                <w:sz w:val="18"/>
                <w:szCs w:val="18"/>
              </w:rPr>
              <w:t xml:space="preserve"> contractual and ‘confidence’ mechanisms to reduce perception</w:t>
            </w:r>
            <w:r w:rsidR="00A02983">
              <w:rPr>
                <w:sz w:val="18"/>
                <w:szCs w:val="18"/>
              </w:rPr>
              <w:t>s</w:t>
            </w:r>
            <w:r w:rsidRPr="00AB7FAE">
              <w:rPr>
                <w:sz w:val="18"/>
                <w:szCs w:val="18"/>
              </w:rPr>
              <w:t xml:space="preserve"> of risk</w:t>
            </w:r>
          </w:p>
          <w:p w14:paraId="20F42BDE" w14:textId="61A9E222" w:rsidR="007873A7" w:rsidRPr="00AB7FAE" w:rsidRDefault="007873A7" w:rsidP="00A02983">
            <w:pPr>
              <w:pStyle w:val="ListParagraph"/>
              <w:numPr>
                <w:ilvl w:val="0"/>
                <w:numId w:val="11"/>
              </w:numPr>
              <w:spacing w:after="0" w:line="360" w:lineRule="auto"/>
              <w:jc w:val="both"/>
              <w:rPr>
                <w:sz w:val="18"/>
                <w:szCs w:val="18"/>
              </w:rPr>
            </w:pPr>
            <w:r w:rsidRPr="00AB7FAE">
              <w:rPr>
                <w:sz w:val="18"/>
                <w:szCs w:val="18"/>
              </w:rPr>
              <w:t>If the collaboration is mandated, then efforts should still be undertaken to build working interpersonal relationships because this improves trust and thereby collaborative behaviour</w:t>
            </w:r>
          </w:p>
        </w:tc>
      </w:tr>
      <w:tr w:rsidR="007873A7" w14:paraId="024ADC25" w14:textId="77777777" w:rsidTr="007873A7">
        <w:trPr>
          <w:trHeight w:val="330"/>
        </w:trPr>
        <w:tc>
          <w:tcPr>
            <w:tcW w:w="1838" w:type="dxa"/>
          </w:tcPr>
          <w:p w14:paraId="06BE9BA8" w14:textId="77777777" w:rsidR="007873A7" w:rsidRPr="00AB7FAE" w:rsidRDefault="007873A7" w:rsidP="00525BE0">
            <w:pPr>
              <w:spacing w:line="360" w:lineRule="auto"/>
              <w:jc w:val="both"/>
              <w:rPr>
                <w:sz w:val="18"/>
                <w:szCs w:val="18"/>
              </w:rPr>
            </w:pPr>
            <w:r w:rsidRPr="00AB7FAE">
              <w:rPr>
                <w:sz w:val="18"/>
                <w:szCs w:val="18"/>
              </w:rPr>
              <w:t>Confidence and formalisation</w:t>
            </w:r>
          </w:p>
        </w:tc>
        <w:tc>
          <w:tcPr>
            <w:tcW w:w="7178" w:type="dxa"/>
          </w:tcPr>
          <w:p w14:paraId="5966204C" w14:textId="3406358F"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organisations can ensure an appropriate level of formalisation of contract </w:t>
            </w:r>
            <w:r w:rsidR="00A02983">
              <w:rPr>
                <w:sz w:val="18"/>
                <w:szCs w:val="18"/>
              </w:rPr>
              <w:t xml:space="preserve">is in place </w:t>
            </w:r>
            <w:r w:rsidRPr="00AB7FAE">
              <w:rPr>
                <w:sz w:val="18"/>
                <w:szCs w:val="18"/>
              </w:rPr>
              <w:t>then they can increase c</w:t>
            </w:r>
            <w:r w:rsidR="00A02983">
              <w:rPr>
                <w:sz w:val="18"/>
                <w:szCs w:val="18"/>
              </w:rPr>
              <w:t>ollaborative behaviour, because</w:t>
            </w:r>
            <w:r w:rsidRPr="00AB7FAE">
              <w:rPr>
                <w:sz w:val="18"/>
                <w:szCs w:val="18"/>
              </w:rPr>
              <w:t xml:space="preserve"> for more complex, integrative, or mandated collaborations, greater formalisation mitigates risk between partners when engaging in collaborative partners. </w:t>
            </w:r>
          </w:p>
          <w:p w14:paraId="3DF1DA27" w14:textId="443D94E8" w:rsidR="007873A7" w:rsidRPr="00AB7FAE" w:rsidRDefault="007873A7" w:rsidP="00A02983">
            <w:pPr>
              <w:pStyle w:val="ListParagraph"/>
              <w:numPr>
                <w:ilvl w:val="0"/>
                <w:numId w:val="11"/>
              </w:numPr>
              <w:spacing w:after="0" w:line="360" w:lineRule="auto"/>
              <w:jc w:val="both"/>
              <w:rPr>
                <w:sz w:val="18"/>
                <w:szCs w:val="18"/>
              </w:rPr>
            </w:pPr>
            <w:r w:rsidRPr="00AB7FAE">
              <w:rPr>
                <w:sz w:val="18"/>
                <w:szCs w:val="18"/>
              </w:rPr>
              <w:t xml:space="preserve">If collaborators can perform due diligence around potential areas of disagreement, and enshrining accountability mechanisms in contract, then this can improve trust because it can help to amicably resolve conflicts </w:t>
            </w:r>
            <w:r w:rsidR="00A02983">
              <w:rPr>
                <w:sz w:val="18"/>
                <w:szCs w:val="18"/>
              </w:rPr>
              <w:t>later on</w:t>
            </w:r>
          </w:p>
        </w:tc>
      </w:tr>
      <w:tr w:rsidR="007873A7" w14:paraId="76342CEC" w14:textId="77777777" w:rsidTr="007873A7">
        <w:trPr>
          <w:trHeight w:val="330"/>
        </w:trPr>
        <w:tc>
          <w:tcPr>
            <w:tcW w:w="1838" w:type="dxa"/>
          </w:tcPr>
          <w:p w14:paraId="0CEC1FFB" w14:textId="77777777" w:rsidR="007873A7" w:rsidRPr="00AB7FAE" w:rsidRDefault="007873A7" w:rsidP="00525BE0">
            <w:pPr>
              <w:spacing w:line="360" w:lineRule="auto"/>
              <w:jc w:val="both"/>
              <w:rPr>
                <w:sz w:val="18"/>
                <w:szCs w:val="18"/>
              </w:rPr>
            </w:pPr>
            <w:r w:rsidRPr="00AB7FAE">
              <w:rPr>
                <w:sz w:val="18"/>
                <w:szCs w:val="18"/>
              </w:rPr>
              <w:t>Managing and resolving conflict</w:t>
            </w:r>
          </w:p>
        </w:tc>
        <w:tc>
          <w:tcPr>
            <w:tcW w:w="7178" w:type="dxa"/>
          </w:tcPr>
          <w:p w14:paraId="59939DED"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shared and clear accountability is in place, then </w:t>
            </w:r>
            <w:r>
              <w:rPr>
                <w:sz w:val="18"/>
                <w:szCs w:val="18"/>
              </w:rPr>
              <w:t xml:space="preserve">IOC </w:t>
            </w:r>
            <w:r w:rsidRPr="00AB7FAE">
              <w:rPr>
                <w:sz w:val="18"/>
                <w:szCs w:val="18"/>
              </w:rPr>
              <w:t xml:space="preserve">conflict can be avoided because of these improved conflict resolution mechanisms </w:t>
            </w:r>
          </w:p>
          <w:p w14:paraId="0F1E7158"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the IOC has clear dispute mechanisms in place, with adjudication by an unbiased third party, then trust can be improved because conflicts are more easily resolved</w:t>
            </w:r>
          </w:p>
          <w:p w14:paraId="1DEF08E0"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there is a clear and shared vision in place, then this improves trust, because it helps to avoid conflicts occurring</w:t>
            </w:r>
          </w:p>
        </w:tc>
      </w:tr>
      <w:tr w:rsidR="007873A7" w14:paraId="3E7825EF" w14:textId="77777777" w:rsidTr="007873A7">
        <w:trPr>
          <w:trHeight w:val="330"/>
        </w:trPr>
        <w:tc>
          <w:tcPr>
            <w:tcW w:w="1838" w:type="dxa"/>
          </w:tcPr>
          <w:p w14:paraId="4AAC58BD" w14:textId="77777777" w:rsidR="007873A7" w:rsidRPr="00AB7FAE" w:rsidRDefault="007873A7" w:rsidP="00525BE0">
            <w:pPr>
              <w:spacing w:line="360" w:lineRule="auto"/>
              <w:jc w:val="both"/>
              <w:rPr>
                <w:sz w:val="18"/>
                <w:szCs w:val="18"/>
              </w:rPr>
            </w:pPr>
            <w:r w:rsidRPr="00AB7FAE">
              <w:rPr>
                <w:sz w:val="18"/>
                <w:szCs w:val="18"/>
              </w:rPr>
              <w:t>Ensuring capacity for implementing the collaboration</w:t>
            </w:r>
          </w:p>
        </w:tc>
        <w:tc>
          <w:tcPr>
            <w:tcW w:w="7178" w:type="dxa"/>
          </w:tcPr>
          <w:p w14:paraId="50D52001"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organisations recognise that implementing a collaboration requires significant time, effort, and financial input, then they will have improved faith because their perception of progress will not be negatively impacted</w:t>
            </w:r>
          </w:p>
          <w:p w14:paraId="1B399BEF"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 xml:space="preserve">If IOCs understand that initial performance drops may occur while resources are redirected towards the implementation of the collaboration, then collaborative behaviour will be enhanced because losses of faith will not take place </w:t>
            </w:r>
          </w:p>
          <w:p w14:paraId="0C1FE3F0"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organisations begin a collaboration without first ensuring there is adequate capacity, then this can undermine faith and trust between partners because their perception of progress will be negatively impacted. Additionally, if funding to implement collaborations is sourced externally and it is not forthcoming, then faith and trust can be critically affected because capacity is no longer in place.</w:t>
            </w:r>
          </w:p>
        </w:tc>
      </w:tr>
      <w:tr w:rsidR="007873A7" w14:paraId="159CDD0F" w14:textId="77777777" w:rsidTr="007873A7">
        <w:trPr>
          <w:trHeight w:val="349"/>
        </w:trPr>
        <w:tc>
          <w:tcPr>
            <w:tcW w:w="1838" w:type="dxa"/>
          </w:tcPr>
          <w:p w14:paraId="2254210F" w14:textId="77777777" w:rsidR="007873A7" w:rsidRPr="00AB7FAE" w:rsidRDefault="007873A7" w:rsidP="00525BE0">
            <w:pPr>
              <w:spacing w:line="360" w:lineRule="auto"/>
              <w:jc w:val="both"/>
              <w:rPr>
                <w:sz w:val="18"/>
                <w:szCs w:val="18"/>
              </w:rPr>
            </w:pPr>
            <w:r w:rsidRPr="00AB7FAE">
              <w:rPr>
                <w:sz w:val="18"/>
                <w:szCs w:val="18"/>
              </w:rPr>
              <w:t>Cultural integration</w:t>
            </w:r>
          </w:p>
        </w:tc>
        <w:tc>
          <w:tcPr>
            <w:tcW w:w="7178" w:type="dxa"/>
          </w:tcPr>
          <w:p w14:paraId="1085111F" w14:textId="1417AC03"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a shared culture can be fostered between organisations, then trust can be improved b</w:t>
            </w:r>
            <w:r w:rsidR="00A02983">
              <w:rPr>
                <w:sz w:val="18"/>
                <w:szCs w:val="18"/>
              </w:rPr>
              <w:t>ecause it helps to avoid cultural</w:t>
            </w:r>
            <w:r w:rsidRPr="00AB7FAE">
              <w:rPr>
                <w:sz w:val="18"/>
                <w:szCs w:val="18"/>
              </w:rPr>
              <w:t xml:space="preserve"> conflict</w:t>
            </w:r>
            <w:r w:rsidR="00A02983">
              <w:rPr>
                <w:sz w:val="18"/>
                <w:szCs w:val="18"/>
              </w:rPr>
              <w:t>s</w:t>
            </w:r>
          </w:p>
          <w:p w14:paraId="5BEE8F7A"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the IOC is cross-sector or cross-service, then it may have a greater cultural divide because of differing professional backgrounds, which makes cultural integration more difficult</w:t>
            </w:r>
          </w:p>
          <w:p w14:paraId="6A032484" w14:textId="77777777" w:rsidR="007873A7" w:rsidRPr="00AB7FAE" w:rsidRDefault="007873A7" w:rsidP="00525BE0">
            <w:pPr>
              <w:pStyle w:val="ListParagraph"/>
              <w:numPr>
                <w:ilvl w:val="0"/>
                <w:numId w:val="11"/>
              </w:numPr>
              <w:spacing w:after="0" w:line="360" w:lineRule="auto"/>
              <w:jc w:val="both"/>
              <w:rPr>
                <w:sz w:val="18"/>
                <w:szCs w:val="18"/>
              </w:rPr>
            </w:pPr>
            <w:r w:rsidRPr="00AB7FAE">
              <w:rPr>
                <w:sz w:val="18"/>
                <w:szCs w:val="18"/>
              </w:rPr>
              <w:t>If IOCs perform cultural due diligence prior to implementing the collaboration and implement a plan for cultural integration, then they can improve trust because it avoids unforeseen conflicts occurring later in the process</w:t>
            </w:r>
          </w:p>
        </w:tc>
      </w:tr>
    </w:tbl>
    <w:p w14:paraId="3DD93AA7" w14:textId="06F0AA27" w:rsidR="007873A7" w:rsidRDefault="007873A7" w:rsidP="00525BE0">
      <w:pPr>
        <w:pStyle w:val="Heading2"/>
        <w:spacing w:line="360" w:lineRule="auto"/>
        <w:jc w:val="both"/>
      </w:pPr>
    </w:p>
    <w:p w14:paraId="59BC59A2" w14:textId="388465F2" w:rsidR="00DE1ECD" w:rsidRPr="0049544F" w:rsidRDefault="00DE1ECD" w:rsidP="006D770F">
      <w:pPr>
        <w:spacing w:line="360" w:lineRule="auto"/>
      </w:pPr>
      <w:r>
        <w:t>A consideration of ‘</w:t>
      </w:r>
      <w:r w:rsidRPr="00DE1ECD">
        <w:t>if… then… because’ action statements</w:t>
      </w:r>
      <w:r>
        <w:t xml:space="preserve"> can </w:t>
      </w:r>
      <w:r w:rsidR="00612F42">
        <w:t>provide valuable support and guidance for anyone wishing to understand and develop an IOC.</w:t>
      </w:r>
    </w:p>
    <w:p w14:paraId="4AC88AD0" w14:textId="115BB9B9" w:rsidR="007873A7" w:rsidRDefault="007873A7" w:rsidP="00525BE0">
      <w:pPr>
        <w:pStyle w:val="Heading2"/>
        <w:spacing w:line="360" w:lineRule="auto"/>
        <w:jc w:val="both"/>
      </w:pPr>
    </w:p>
    <w:p w14:paraId="265EADB2" w14:textId="28A9A5FD" w:rsidR="00612F42" w:rsidRDefault="00612F42" w:rsidP="00525BE0">
      <w:pPr>
        <w:pStyle w:val="Heading2"/>
        <w:spacing w:line="360" w:lineRule="auto"/>
        <w:jc w:val="both"/>
      </w:pPr>
      <w:bookmarkStart w:id="148" w:name="_Toc85066483"/>
    </w:p>
    <w:p w14:paraId="0A823BC9" w14:textId="3FA13690" w:rsidR="007873A7" w:rsidRDefault="00612F42" w:rsidP="00525BE0">
      <w:pPr>
        <w:pStyle w:val="Heading2"/>
        <w:spacing w:line="360" w:lineRule="auto"/>
        <w:jc w:val="both"/>
      </w:pPr>
      <w:r>
        <w:t>D</w:t>
      </w:r>
      <w:r w:rsidR="007873A7">
        <w:t>iagnos</w:t>
      </w:r>
      <w:r>
        <w:t>ing the readiness and progress of a collaboration:</w:t>
      </w:r>
      <w:r w:rsidR="007873A7">
        <w:t xml:space="preserve"> </w:t>
      </w:r>
      <w:bookmarkEnd w:id="148"/>
      <w:r>
        <w:t>A developmental survey</w:t>
      </w:r>
      <w:r w:rsidR="007873A7">
        <w:t xml:space="preserve"> </w:t>
      </w:r>
    </w:p>
    <w:p w14:paraId="413C48EA" w14:textId="77777777" w:rsidR="007873A7" w:rsidRDefault="007873A7" w:rsidP="00525BE0">
      <w:pPr>
        <w:spacing w:line="360" w:lineRule="auto"/>
        <w:jc w:val="both"/>
      </w:pPr>
    </w:p>
    <w:p w14:paraId="2B2A0D55" w14:textId="3CD24356" w:rsidR="000D6339" w:rsidRDefault="00612F42" w:rsidP="00525BE0">
      <w:pPr>
        <w:spacing w:line="360" w:lineRule="auto"/>
        <w:jc w:val="both"/>
      </w:pPr>
      <w:r>
        <w:t>Based on the development of our action statements, o</w:t>
      </w:r>
      <w:r w:rsidR="00A02983">
        <w:t>ur findings</w:t>
      </w:r>
      <w:r w:rsidR="007873A7">
        <w:t xml:space="preserve"> have enabled the creation of </w:t>
      </w:r>
      <w:r>
        <w:t xml:space="preserve">a </w:t>
      </w:r>
      <w:r w:rsidR="007873A7">
        <w:t xml:space="preserve">survey to help organisations assess their readiness for collaboration </w:t>
      </w:r>
      <w:r>
        <w:t xml:space="preserve">or assess the progress being made by a particular </w:t>
      </w:r>
      <w:r w:rsidR="007873A7">
        <w:t xml:space="preserve">collaboration. </w:t>
      </w:r>
    </w:p>
    <w:p w14:paraId="65B5BF27" w14:textId="0F8C1E07" w:rsidR="007873A7" w:rsidRDefault="007873A7" w:rsidP="006D770F">
      <w:pPr>
        <w:spacing w:line="360" w:lineRule="auto"/>
        <w:jc w:val="both"/>
      </w:pPr>
      <w:r>
        <w:t xml:space="preserve">The readiness for collaboration survey has been piloted with a Mental Health Provider Collaborative </w:t>
      </w:r>
      <w:r w:rsidR="001D4404">
        <w:t>(appendix</w:t>
      </w:r>
      <w:r w:rsidR="001D4404">
        <w:rPr>
          <w:color w:val="FF0000"/>
        </w:rPr>
        <w:t xml:space="preserve"> 4)</w:t>
      </w:r>
      <w:r w:rsidR="00612F42">
        <w:t>, with a</w:t>
      </w:r>
      <w:r>
        <w:t xml:space="preserve"> subsequent workshop to discuss the findings t</w:t>
      </w:r>
      <w:r w:rsidR="00612F42">
        <w:t>a</w:t>
      </w:r>
      <w:r>
        <w:t>k</w:t>
      </w:r>
      <w:r w:rsidR="00612F42">
        <w:t>ing</w:t>
      </w:r>
      <w:r>
        <w:t xml:space="preserve"> place on </w:t>
      </w:r>
      <w:r w:rsidR="00612F42">
        <w:t xml:space="preserve">September </w:t>
      </w:r>
      <w:r>
        <w:t>13</w:t>
      </w:r>
      <w:r w:rsidRPr="009C55AF">
        <w:rPr>
          <w:vertAlign w:val="superscript"/>
        </w:rPr>
        <w:t>th</w:t>
      </w:r>
      <w:r>
        <w:t xml:space="preserve"> 2021. For </w:t>
      </w:r>
      <w:r w:rsidR="00FA7588">
        <w:t xml:space="preserve">the </w:t>
      </w:r>
      <w:r w:rsidR="00FA7588" w:rsidRPr="00FA7588">
        <w:t>21 respondents</w:t>
      </w:r>
      <w:r w:rsidR="00FA7588">
        <w:t xml:space="preserve"> who completed the survey</w:t>
      </w:r>
      <w:r>
        <w:t xml:space="preserve">, </w:t>
      </w:r>
      <w:r w:rsidR="00612F42">
        <w:t>the results</w:t>
      </w:r>
      <w:r w:rsidR="000D6339">
        <w:t xml:space="preserve"> </w:t>
      </w:r>
      <w:r w:rsidR="002303A4">
        <w:t>raised</w:t>
      </w:r>
      <w:r>
        <w:t xml:space="preserve">  concerns </w:t>
      </w:r>
      <w:r w:rsidR="002303A4">
        <w:t xml:space="preserve">about the </w:t>
      </w:r>
      <w:r>
        <w:t xml:space="preserve">time and resource capacity for implementing the collaboration, as well as a </w:t>
      </w:r>
      <w:r w:rsidR="000D6339">
        <w:t xml:space="preserve">challenging landscape associated with </w:t>
      </w:r>
      <w:r>
        <w:t xml:space="preserve">significant history of competition with their partners (figure </w:t>
      </w:r>
      <w:r w:rsidR="007F428C">
        <w:t>1</w:t>
      </w:r>
      <w:r w:rsidR="008802A5">
        <w:t>8</w:t>
      </w:r>
      <w:r>
        <w:t xml:space="preserve">). </w:t>
      </w:r>
      <w:r w:rsidR="000D6339">
        <w:t>That said</w:t>
      </w:r>
      <w:r>
        <w:t xml:space="preserve">, </w:t>
      </w:r>
      <w:r w:rsidR="000D6339">
        <w:t xml:space="preserve">the </w:t>
      </w:r>
      <w:r>
        <w:t xml:space="preserve">respondents </w:t>
      </w:r>
      <w:r w:rsidR="000D6339">
        <w:t>agreed</w:t>
      </w:r>
      <w:r>
        <w:t xml:space="preserve"> that there was a shared vision for collaborati</w:t>
      </w:r>
      <w:r w:rsidR="000D6339">
        <w:t>on</w:t>
      </w:r>
      <w:r>
        <w:t xml:space="preserve"> with their partners.</w:t>
      </w:r>
    </w:p>
    <w:p w14:paraId="30B5E109" w14:textId="49DA688E" w:rsidR="00FA7588" w:rsidRDefault="00FA7588" w:rsidP="00525BE0">
      <w:pPr>
        <w:spacing w:line="360" w:lineRule="auto"/>
        <w:jc w:val="both"/>
        <w:rPr>
          <w:noProof/>
          <w:lang w:eastAsia="en-GB"/>
        </w:rPr>
      </w:pPr>
    </w:p>
    <w:p w14:paraId="007856E1" w14:textId="11F3FD74" w:rsidR="00FA7588" w:rsidRDefault="00FA7588" w:rsidP="00525BE0">
      <w:pPr>
        <w:spacing w:line="360" w:lineRule="auto"/>
        <w:jc w:val="both"/>
        <w:rPr>
          <w:noProof/>
          <w:lang w:eastAsia="en-GB"/>
        </w:rPr>
      </w:pPr>
      <w:r w:rsidRPr="00A62277">
        <w:rPr>
          <w:noProof/>
          <w:lang w:eastAsia="en-GB"/>
        </w:rPr>
        <w:drawing>
          <wp:inline distT="0" distB="0" distL="0" distR="0" wp14:anchorId="0AC2C0DF" wp14:editId="35CF7DFF">
            <wp:extent cx="5731510" cy="3546475"/>
            <wp:effectExtent l="0" t="0" r="2540" b="0"/>
            <wp:docPr id="18" name="Graphic 7">
              <a:extLst xmlns:a="http://schemas.openxmlformats.org/drawingml/2006/main">
                <a:ext uri="{FF2B5EF4-FFF2-40B4-BE49-F238E27FC236}">
                  <a16:creationId xmlns:a16="http://schemas.microsoft.com/office/drawing/2014/main" id="{EF98E7CD-8C34-6D42-88AC-DB1CC456F4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7">
                      <a:extLst>
                        <a:ext uri="{FF2B5EF4-FFF2-40B4-BE49-F238E27FC236}">
                          <a16:creationId xmlns:a16="http://schemas.microsoft.com/office/drawing/2014/main" id="{EF98E7CD-8C34-6D42-88AC-DB1CC456F41E}"/>
                        </a:ext>
                      </a:extLst>
                    </pic:cNvPr>
                    <pic:cNvPicPr>
                      <a:picLocks noChangeAspect="1"/>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5731510" cy="3546475"/>
                    </a:xfrm>
                    <a:prstGeom prst="rect">
                      <a:avLst/>
                    </a:prstGeom>
                  </pic:spPr>
                </pic:pic>
              </a:graphicData>
            </a:graphic>
          </wp:inline>
        </w:drawing>
      </w:r>
    </w:p>
    <w:p w14:paraId="7E860611" w14:textId="04FD653D" w:rsidR="00FA7588" w:rsidRDefault="00FA7588" w:rsidP="00FA7588">
      <w:pPr>
        <w:pStyle w:val="Caption"/>
        <w:spacing w:line="360" w:lineRule="auto"/>
        <w:jc w:val="both"/>
      </w:pPr>
      <w:r>
        <w:t xml:space="preserve">Figure </w:t>
      </w:r>
      <w:r w:rsidR="00612F42">
        <w:t>1</w:t>
      </w:r>
      <w:r w:rsidR="008802A5">
        <w:t>8</w:t>
      </w:r>
      <w:r w:rsidR="00612F42">
        <w:rPr>
          <w:noProof/>
        </w:rPr>
        <w:t xml:space="preserve"> </w:t>
      </w:r>
      <w:r>
        <w:t xml:space="preserve"> Example question response.</w:t>
      </w:r>
    </w:p>
    <w:p w14:paraId="6422CAC0" w14:textId="3E9EBDCC" w:rsidR="007873A7" w:rsidRDefault="000D6339" w:rsidP="00525BE0">
      <w:pPr>
        <w:spacing w:line="360" w:lineRule="auto"/>
        <w:jc w:val="both"/>
      </w:pPr>
      <w:r>
        <w:t>Feedback from</w:t>
      </w:r>
      <w:r w:rsidR="007873A7">
        <w:t xml:space="preserve"> piloting of the survey indicated that it provided a valuable means for stimulating discussion </w:t>
      </w:r>
      <w:r w:rsidR="002303A4">
        <w:t>regarding</w:t>
      </w:r>
      <w:r w:rsidR="007873A7">
        <w:t xml:space="preserve"> the perceived readiness for collaboration. However, </w:t>
      </w:r>
      <w:r>
        <w:t xml:space="preserve">feedback also suggested </w:t>
      </w:r>
      <w:r w:rsidR="007873A7">
        <w:t>refinements were required to enhance the clarity of specific question items. Given the potential range of organisations and individuals involved in the collaboration, a larger sample may be needed from each organisation to be able to compare answ</w:t>
      </w:r>
      <w:r w:rsidR="00FA7588">
        <w:t>ers from different perspectives o</w:t>
      </w:r>
      <w:r w:rsidR="007873A7">
        <w:t xml:space="preserve">r stratified sampling to gain more in-depth insights into particular groups.  </w:t>
      </w:r>
    </w:p>
    <w:p w14:paraId="2F1975C6" w14:textId="77777777" w:rsidR="000D6339" w:rsidRDefault="000D6339" w:rsidP="00525BE0">
      <w:pPr>
        <w:spacing w:line="360" w:lineRule="auto"/>
        <w:jc w:val="both"/>
      </w:pPr>
    </w:p>
    <w:p w14:paraId="2FF1FA1E" w14:textId="215FB817" w:rsidR="007873A7" w:rsidRDefault="007873A7" w:rsidP="007F428C">
      <w:pPr>
        <w:pStyle w:val="Heading2"/>
        <w:jc w:val="both"/>
      </w:pPr>
      <w:bookmarkStart w:id="149" w:name="_Toc85066484"/>
      <w:r>
        <w:t>Designing a maturity index for collaboration</w:t>
      </w:r>
      <w:bookmarkEnd w:id="149"/>
    </w:p>
    <w:p w14:paraId="70260672" w14:textId="77777777" w:rsidR="007F428C" w:rsidRPr="007F428C" w:rsidRDefault="007F428C" w:rsidP="007F428C"/>
    <w:p w14:paraId="71151C46" w14:textId="1E205D07" w:rsidR="007873A7" w:rsidRDefault="002303A4" w:rsidP="00525BE0">
      <w:pPr>
        <w:spacing w:line="360" w:lineRule="auto"/>
        <w:jc w:val="both"/>
      </w:pPr>
      <w:r>
        <w:t>Alongside an understanding of</w:t>
      </w:r>
      <w:r w:rsidR="007873A7">
        <w:t xml:space="preserve"> collaborative readiness and progression</w:t>
      </w:r>
      <w:r>
        <w:t xml:space="preserve"> through a survey</w:t>
      </w:r>
      <w:r w:rsidR="007873A7">
        <w:t xml:space="preserve">, </w:t>
      </w:r>
      <w:r>
        <w:t>our findings can also provide a range of insights into the ‘maturity’ of an IOC. Building on the notable contribution of</w:t>
      </w:r>
      <w:r w:rsidR="007873A7">
        <w:t xml:space="preserve"> Westrum</w:t>
      </w:r>
      <w:r>
        <w:t xml:space="preserve"> in </w:t>
      </w:r>
      <w:r w:rsidR="007873A7">
        <w:t xml:space="preserve">understanding maturity </w:t>
      </w:r>
      <w:r w:rsidR="007F428C">
        <w:fldChar w:fldCharType="begin" w:fldLock="1"/>
      </w:r>
      <w:r w:rsidR="00EA4B53">
        <w:instrText>ADDIN CSL_CITATION {"citationItems":[{"id":"ITEM-1","itemData":{"DOI":"10.1136/qshc.2003.009522","ISSN":"14753898","PMID":"15576687","abstract":"There is wide belief that organisational culture shapes many aspects of performance, including safety. Yet proof of this relationship in a medical context is hard to find. In contrast to human factors, whose contributions are many and notable, culture's impact remains a commonsense, rather than a scientific, concept. The objectives of this paper are to show that organisational culture bears a predictive relationship with safety and that particular kinds of organisational culture improve safety, and to develop a typology predictive of safety performance. Because information flow is both influential and also indicative of other aspects of culture, it can be used to predict how organisations or parts of them will behave when signs of trouble arise. From case studies and some systematic research it appears that information culture is indeed associated with error reporting and with performance, including safety. Yet this relationship between culture and safety requires more exploration before the connection can be considered definitive.","author":[{"dropping-particle":"","family":"Westrum","given":"R.","non-dropping-particle":"","parse-names":false,"suffix":""}],"container-title":"Quality and Safety in Health Care","id":"ITEM-1","issue":"SUPPL. 2","issued":{"date-parts":[["2004"]]},"page":"22-27","title":"A typology of organisational cultures","type":"article-journal","volume":"13"},"uris":["http://www.mendeley.com/documents/?uuid=0da28549-7d80-4cd8-9982-fee5ad33c397"]}],"mendeley":{"formattedCitation":"&lt;sup&gt;234&lt;/sup&gt;","plainTextFormattedCitation":"234","previouslyFormattedCitation":"&lt;sup&gt;234&lt;/sup&gt;"},"properties":{"noteIndex":0},"schema":"https://github.com/citation-style-language/schema/raw/master/csl-citation.json"}</w:instrText>
      </w:r>
      <w:r w:rsidR="007F428C">
        <w:fldChar w:fldCharType="separate"/>
      </w:r>
      <w:r w:rsidR="00E25884" w:rsidRPr="00E25884">
        <w:rPr>
          <w:noProof/>
          <w:vertAlign w:val="superscript"/>
        </w:rPr>
        <w:t>234</w:t>
      </w:r>
      <w:r w:rsidR="007F428C">
        <w:fldChar w:fldCharType="end"/>
      </w:r>
      <w:r>
        <w:t xml:space="preserve"> is the </w:t>
      </w:r>
      <w:r w:rsidRPr="0049544F">
        <w:t xml:space="preserve">idea </w:t>
      </w:r>
      <w:r w:rsidR="007873A7" w:rsidRPr="00EE1473">
        <w:t xml:space="preserve">of </w:t>
      </w:r>
      <w:r w:rsidR="00EE1473" w:rsidRPr="00EE1473">
        <w:t>creating</w:t>
      </w:r>
      <w:r w:rsidR="00EE1473">
        <w:t xml:space="preserve"> a</w:t>
      </w:r>
      <w:r w:rsidR="00EE1473" w:rsidRPr="0049544F">
        <w:t xml:space="preserve"> </w:t>
      </w:r>
      <w:r w:rsidR="007873A7" w:rsidRPr="00EE1473">
        <w:t>climate</w:t>
      </w:r>
      <w:r w:rsidR="00EE1473" w:rsidRPr="00EE1473">
        <w:t xml:space="preserve"> </w:t>
      </w:r>
      <w:r w:rsidR="007873A7" w:rsidRPr="006D770F">
        <w:t>that provide</w:t>
      </w:r>
      <w:r w:rsidR="00EE1473">
        <w:t>s</w:t>
      </w:r>
      <w:r w:rsidR="007873A7" w:rsidRPr="006D770F">
        <w:t xml:space="preserve"> </w:t>
      </w:r>
      <w:r w:rsidR="00EE1473" w:rsidRPr="006D770F">
        <w:t>“</w:t>
      </w:r>
      <w:r w:rsidR="007873A7" w:rsidRPr="006D770F">
        <w:t>good information flow</w:t>
      </w:r>
      <w:r w:rsidR="00EE1473" w:rsidRPr="006D770F">
        <w:t xml:space="preserve">” </w:t>
      </w:r>
      <w:r w:rsidR="00EE1473">
        <w:t>that is able to</w:t>
      </w:r>
      <w:r w:rsidR="00EE1473" w:rsidRPr="006D770F">
        <w:t xml:space="preserve"> “</w:t>
      </w:r>
      <w:r w:rsidR="007873A7" w:rsidRPr="006D770F">
        <w:t>support and encourage other kinds of cooperative and mission enhancing behaviour, such as problem solving, innovation, and inter-departmental bridging</w:t>
      </w:r>
      <w:r w:rsidR="007873A7" w:rsidRPr="0049544F">
        <w:t>”.</w:t>
      </w:r>
      <w:r w:rsidR="007873A7">
        <w:t xml:space="preserve"> Westrum characterises different levels of maturity by different types of culture:</w:t>
      </w:r>
    </w:p>
    <w:p w14:paraId="51EA9F4B" w14:textId="77777777" w:rsidR="007873A7" w:rsidRDefault="007873A7" w:rsidP="00525BE0">
      <w:pPr>
        <w:pStyle w:val="ListParagraph"/>
        <w:numPr>
          <w:ilvl w:val="0"/>
          <w:numId w:val="21"/>
        </w:numPr>
        <w:spacing w:line="360" w:lineRule="auto"/>
        <w:jc w:val="both"/>
      </w:pPr>
      <w:r>
        <w:t>A pathological culture: characterised by low cooperation, shirking of responsibilities, and not open to change</w:t>
      </w:r>
    </w:p>
    <w:p w14:paraId="30EDCF72" w14:textId="77777777" w:rsidR="007873A7" w:rsidRDefault="007873A7" w:rsidP="00525BE0">
      <w:pPr>
        <w:pStyle w:val="ListParagraph"/>
        <w:numPr>
          <w:ilvl w:val="0"/>
          <w:numId w:val="21"/>
        </w:numPr>
        <w:spacing w:line="360" w:lineRule="auto"/>
        <w:jc w:val="both"/>
      </w:pPr>
      <w:r>
        <w:t>A bureaucratic culture: characterised by modest cooperation and focused responsibilities</w:t>
      </w:r>
    </w:p>
    <w:p w14:paraId="53F249AC" w14:textId="4987DA92" w:rsidR="007873A7" w:rsidRDefault="007873A7" w:rsidP="00FA7588">
      <w:pPr>
        <w:pStyle w:val="ListParagraph"/>
        <w:numPr>
          <w:ilvl w:val="0"/>
          <w:numId w:val="21"/>
        </w:numPr>
        <w:spacing w:line="360" w:lineRule="auto"/>
        <w:jc w:val="both"/>
      </w:pPr>
      <w:r>
        <w:t>A generative culture: characterised by high degrees of cooperation and sharing of risks</w:t>
      </w:r>
    </w:p>
    <w:p w14:paraId="1101313D" w14:textId="6BAF132E" w:rsidR="007873A7" w:rsidRDefault="007873A7" w:rsidP="00525BE0">
      <w:pPr>
        <w:spacing w:after="120" w:line="360" w:lineRule="auto"/>
        <w:jc w:val="both"/>
      </w:pPr>
      <w:r>
        <w:t xml:space="preserve">Westrum’s development of a maturity matrix aims to translate </w:t>
      </w:r>
      <w:r w:rsidR="00EE1473">
        <w:t xml:space="preserve">such </w:t>
      </w:r>
      <w:r>
        <w:t>ideas into reflective tools for discussion and reflection. Table 1</w:t>
      </w:r>
      <w:r w:rsidR="007F428C">
        <w:t>2</w:t>
      </w:r>
      <w:r>
        <w:t xml:space="preserve"> outlines our translation of </w:t>
      </w:r>
      <w:r w:rsidR="00EE1473">
        <w:t>Westrum</w:t>
      </w:r>
      <w:r>
        <w:t xml:space="preserve"> into a </w:t>
      </w:r>
      <w:r w:rsidR="00EE1473">
        <w:t xml:space="preserve">maturity </w:t>
      </w:r>
      <w:r>
        <w:t xml:space="preserve">matrix depicting different </w:t>
      </w:r>
      <w:r w:rsidRPr="00A70592">
        <w:t>culture</w:t>
      </w:r>
      <w:r>
        <w:t>s of collaboration. Further testing is needed to ensure applicability to different collaborative types. Nonetheless, they present a good starting point for adaptation by other practitioners and researchers alike.</w:t>
      </w:r>
    </w:p>
    <w:p w14:paraId="75CABE42" w14:textId="77777777" w:rsidR="007873A7" w:rsidRDefault="007873A7" w:rsidP="00525BE0">
      <w:pPr>
        <w:spacing w:line="360" w:lineRule="auto"/>
        <w:jc w:val="both"/>
        <w:sectPr w:rsidR="007873A7">
          <w:pgSz w:w="11906" w:h="16838"/>
          <w:pgMar w:top="1440" w:right="1440" w:bottom="1440" w:left="1440" w:header="708" w:footer="708" w:gutter="0"/>
          <w:cols w:space="708"/>
          <w:docGrid w:linePitch="360"/>
        </w:sectPr>
      </w:pPr>
    </w:p>
    <w:p w14:paraId="7DF1E6A7" w14:textId="34AA7599" w:rsidR="007873A7" w:rsidRPr="006D770F" w:rsidRDefault="007873A7" w:rsidP="00525BE0">
      <w:pPr>
        <w:spacing w:line="360" w:lineRule="auto"/>
        <w:jc w:val="both"/>
      </w:pPr>
      <w:bookmarkStart w:id="150" w:name="_Toc106181516"/>
      <w:r w:rsidRPr="006D770F">
        <w:t xml:space="preserve">Table </w:t>
      </w:r>
      <w:fldSimple w:instr=" SEQ Table \* ARABIC ">
        <w:r w:rsidR="007F428C" w:rsidRPr="006D770F">
          <w:rPr>
            <w:noProof/>
          </w:rPr>
          <w:t>12</w:t>
        </w:r>
      </w:fldSimple>
      <w:r w:rsidRPr="006D770F">
        <w:t>. Maturity matrix for collaboration. You can rate for each element according to which type of culture you perceive your organisation to have.</w:t>
      </w:r>
      <w:bookmarkEnd w:id="150"/>
    </w:p>
    <w:p w14:paraId="442A9E76" w14:textId="77777777" w:rsidR="007873A7" w:rsidRDefault="007873A7" w:rsidP="00525BE0">
      <w:pPr>
        <w:spacing w:line="360" w:lineRule="auto"/>
        <w:jc w:val="both"/>
      </w:pPr>
      <w:r>
        <w:rPr>
          <w:noProof/>
          <w:lang w:eastAsia="en-GB"/>
        </w:rPr>
        <mc:AlternateContent>
          <mc:Choice Requires="wps">
            <w:drawing>
              <wp:anchor distT="0" distB="0" distL="114300" distR="114300" simplePos="0" relativeHeight="251674624" behindDoc="0" locked="0" layoutInCell="1" allowOverlap="1" wp14:anchorId="3DB77DD7" wp14:editId="43637028">
                <wp:simplePos x="0" y="0"/>
                <wp:positionH relativeFrom="column">
                  <wp:posOffset>2105025</wp:posOffset>
                </wp:positionH>
                <wp:positionV relativeFrom="paragraph">
                  <wp:posOffset>193708</wp:posOffset>
                </wp:positionV>
                <wp:extent cx="6557211" cy="0"/>
                <wp:effectExtent l="0" t="76200" r="0" b="88900"/>
                <wp:wrapNone/>
                <wp:docPr id="16" name="Straight Arrow Connector 16"/>
                <wp:cNvGraphicFramePr/>
                <a:graphic xmlns:a="http://schemas.openxmlformats.org/drawingml/2006/main">
                  <a:graphicData uri="http://schemas.microsoft.com/office/word/2010/wordprocessingShape">
                    <wps:wsp>
                      <wps:cNvCnPr/>
                      <wps:spPr>
                        <a:xfrm>
                          <a:off x="0" y="0"/>
                          <a:ext cx="6557211" cy="0"/>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7153A130" id="Straight Arrow Connector 16" o:spid="_x0000_s1026" type="#_x0000_t32" style="position:absolute;margin-left:165.75pt;margin-top:15.25pt;width:516.3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" strokecolor="#4472c4 [3204]" strokeweight="3pt">
                <v:stroke endarrow="block" joinstyle="miter"/>
              </v:shape>
            </w:pict>
          </mc:Fallback>
        </mc:AlternateContent>
      </w:r>
      <w:r>
        <w:t xml:space="preserve">Level of maturity </w:t>
      </w:r>
    </w:p>
    <w:tbl>
      <w:tblPr>
        <w:tblStyle w:val="TableGrid"/>
        <w:tblW w:w="0" w:type="auto"/>
        <w:tblLook w:val="04A0" w:firstRow="1" w:lastRow="0" w:firstColumn="1" w:lastColumn="0" w:noHBand="0" w:noVBand="1"/>
      </w:tblPr>
      <w:tblGrid>
        <w:gridCol w:w="3487"/>
        <w:gridCol w:w="3487"/>
        <w:gridCol w:w="3487"/>
        <w:gridCol w:w="3487"/>
      </w:tblGrid>
      <w:tr w:rsidR="007873A7" w14:paraId="466FD6D9" w14:textId="77777777" w:rsidTr="007873A7">
        <w:tc>
          <w:tcPr>
            <w:tcW w:w="3487" w:type="dxa"/>
          </w:tcPr>
          <w:p w14:paraId="320DF035" w14:textId="77777777" w:rsidR="007873A7" w:rsidRPr="00CB7A7A" w:rsidRDefault="007873A7" w:rsidP="00525BE0">
            <w:pPr>
              <w:spacing w:line="360" w:lineRule="auto"/>
              <w:jc w:val="both"/>
              <w:rPr>
                <w:sz w:val="18"/>
                <w:szCs w:val="18"/>
              </w:rPr>
            </w:pPr>
          </w:p>
        </w:tc>
        <w:tc>
          <w:tcPr>
            <w:tcW w:w="3487" w:type="dxa"/>
          </w:tcPr>
          <w:p w14:paraId="5BC4E4D6" w14:textId="77777777" w:rsidR="007873A7" w:rsidRPr="00CB7A7A" w:rsidRDefault="007873A7" w:rsidP="00525BE0">
            <w:pPr>
              <w:spacing w:line="360" w:lineRule="auto"/>
              <w:jc w:val="both"/>
              <w:rPr>
                <w:sz w:val="18"/>
                <w:szCs w:val="18"/>
              </w:rPr>
            </w:pPr>
            <w:r w:rsidRPr="00CB7A7A">
              <w:rPr>
                <w:sz w:val="18"/>
                <w:szCs w:val="18"/>
              </w:rPr>
              <w:t>Pathological for collaboration</w:t>
            </w:r>
          </w:p>
        </w:tc>
        <w:tc>
          <w:tcPr>
            <w:tcW w:w="3487" w:type="dxa"/>
          </w:tcPr>
          <w:p w14:paraId="2B8BDFCD" w14:textId="77777777" w:rsidR="007873A7" w:rsidRPr="00CB7A7A" w:rsidRDefault="007873A7" w:rsidP="00525BE0">
            <w:pPr>
              <w:spacing w:line="360" w:lineRule="auto"/>
              <w:jc w:val="both"/>
              <w:rPr>
                <w:sz w:val="18"/>
                <w:szCs w:val="18"/>
              </w:rPr>
            </w:pPr>
            <w:r w:rsidRPr="00CB7A7A">
              <w:rPr>
                <w:sz w:val="18"/>
                <w:szCs w:val="18"/>
              </w:rPr>
              <w:t>Bureaucratic for collaboration</w:t>
            </w:r>
          </w:p>
        </w:tc>
        <w:tc>
          <w:tcPr>
            <w:tcW w:w="3487" w:type="dxa"/>
          </w:tcPr>
          <w:p w14:paraId="30159131" w14:textId="77777777" w:rsidR="007873A7" w:rsidRPr="00CB7A7A" w:rsidRDefault="007873A7" w:rsidP="00525BE0">
            <w:pPr>
              <w:spacing w:line="360" w:lineRule="auto"/>
              <w:jc w:val="both"/>
              <w:rPr>
                <w:sz w:val="18"/>
                <w:szCs w:val="18"/>
              </w:rPr>
            </w:pPr>
            <w:r w:rsidRPr="00CB7A7A">
              <w:rPr>
                <w:sz w:val="18"/>
                <w:szCs w:val="18"/>
              </w:rPr>
              <w:t>Generative for collaboration</w:t>
            </w:r>
          </w:p>
        </w:tc>
      </w:tr>
      <w:tr w:rsidR="007873A7" w14:paraId="485A54A3" w14:textId="77777777" w:rsidTr="007873A7">
        <w:tc>
          <w:tcPr>
            <w:tcW w:w="3487" w:type="dxa"/>
          </w:tcPr>
          <w:p w14:paraId="4B9218B3" w14:textId="77777777" w:rsidR="007873A7" w:rsidRPr="00CB7A7A" w:rsidRDefault="007873A7" w:rsidP="00525BE0">
            <w:pPr>
              <w:spacing w:line="360" w:lineRule="auto"/>
              <w:jc w:val="both"/>
              <w:rPr>
                <w:b/>
                <w:bCs/>
                <w:sz w:val="18"/>
                <w:szCs w:val="18"/>
              </w:rPr>
            </w:pPr>
            <w:r w:rsidRPr="00CB7A7A">
              <w:rPr>
                <w:b/>
                <w:bCs/>
                <w:sz w:val="18"/>
                <w:szCs w:val="18"/>
              </w:rPr>
              <w:t>Key elements</w:t>
            </w:r>
          </w:p>
        </w:tc>
        <w:tc>
          <w:tcPr>
            <w:tcW w:w="3487" w:type="dxa"/>
          </w:tcPr>
          <w:p w14:paraId="3ECA6B03" w14:textId="77777777" w:rsidR="007873A7" w:rsidRPr="00CB7A7A" w:rsidRDefault="007873A7" w:rsidP="00525BE0">
            <w:pPr>
              <w:spacing w:line="360" w:lineRule="auto"/>
              <w:jc w:val="both"/>
              <w:rPr>
                <w:sz w:val="18"/>
                <w:szCs w:val="18"/>
              </w:rPr>
            </w:pPr>
          </w:p>
        </w:tc>
        <w:tc>
          <w:tcPr>
            <w:tcW w:w="3487" w:type="dxa"/>
          </w:tcPr>
          <w:p w14:paraId="76781FB6" w14:textId="77777777" w:rsidR="007873A7" w:rsidRPr="00CB7A7A" w:rsidRDefault="007873A7" w:rsidP="00525BE0">
            <w:pPr>
              <w:spacing w:line="360" w:lineRule="auto"/>
              <w:jc w:val="both"/>
              <w:rPr>
                <w:sz w:val="18"/>
                <w:szCs w:val="18"/>
              </w:rPr>
            </w:pPr>
          </w:p>
        </w:tc>
        <w:tc>
          <w:tcPr>
            <w:tcW w:w="3487" w:type="dxa"/>
          </w:tcPr>
          <w:p w14:paraId="79659036" w14:textId="77777777" w:rsidR="007873A7" w:rsidRPr="00CB7A7A" w:rsidRDefault="007873A7" w:rsidP="00525BE0">
            <w:pPr>
              <w:spacing w:line="360" w:lineRule="auto"/>
              <w:jc w:val="both"/>
              <w:rPr>
                <w:sz w:val="18"/>
                <w:szCs w:val="18"/>
              </w:rPr>
            </w:pPr>
          </w:p>
        </w:tc>
      </w:tr>
      <w:tr w:rsidR="007873A7" w14:paraId="406639BD" w14:textId="77777777" w:rsidTr="007873A7">
        <w:tc>
          <w:tcPr>
            <w:tcW w:w="3487" w:type="dxa"/>
          </w:tcPr>
          <w:p w14:paraId="4C6DD625" w14:textId="77777777" w:rsidR="007873A7" w:rsidRPr="00CB7A7A" w:rsidRDefault="007873A7" w:rsidP="00525BE0">
            <w:pPr>
              <w:spacing w:line="360" w:lineRule="auto"/>
              <w:jc w:val="both"/>
              <w:rPr>
                <w:sz w:val="18"/>
                <w:szCs w:val="18"/>
              </w:rPr>
            </w:pPr>
            <w:r w:rsidRPr="00CB7A7A">
              <w:rPr>
                <w:sz w:val="18"/>
                <w:szCs w:val="18"/>
              </w:rPr>
              <w:t>Trust (I.e., “A psychological state comprising the intention to accept vulnerability based upon positive expectations of the intentions or behaviour of another”)</w:t>
            </w:r>
          </w:p>
        </w:tc>
        <w:tc>
          <w:tcPr>
            <w:tcW w:w="3487" w:type="dxa"/>
          </w:tcPr>
          <w:p w14:paraId="2CBD169E" w14:textId="77777777" w:rsidR="007873A7" w:rsidRPr="00CB7A7A" w:rsidRDefault="007873A7" w:rsidP="00525BE0">
            <w:pPr>
              <w:spacing w:line="360" w:lineRule="auto"/>
              <w:jc w:val="both"/>
              <w:rPr>
                <w:sz w:val="18"/>
                <w:szCs w:val="18"/>
              </w:rPr>
            </w:pPr>
            <w:r w:rsidRPr="00CB7A7A">
              <w:rPr>
                <w:sz w:val="18"/>
                <w:szCs w:val="18"/>
              </w:rPr>
              <w:t>There is a low level of perceived trust between partners. This may be due to a history of competition with the partner or poor history of collaboration, and due to conflicts. There may be an unequal sense of power structure where one partner may receive more benefits of the collaboration than the other.</w:t>
            </w:r>
          </w:p>
        </w:tc>
        <w:tc>
          <w:tcPr>
            <w:tcW w:w="3487" w:type="dxa"/>
          </w:tcPr>
          <w:p w14:paraId="6D1988AF" w14:textId="77777777" w:rsidR="007873A7" w:rsidRPr="00CB7A7A" w:rsidRDefault="007873A7" w:rsidP="00525BE0">
            <w:pPr>
              <w:spacing w:line="360" w:lineRule="auto"/>
              <w:jc w:val="both"/>
              <w:rPr>
                <w:sz w:val="18"/>
                <w:szCs w:val="18"/>
              </w:rPr>
            </w:pPr>
            <w:r w:rsidRPr="00CB7A7A">
              <w:rPr>
                <w:sz w:val="18"/>
                <w:szCs w:val="18"/>
              </w:rPr>
              <w:t>There is a medium level of perceived trust between partners. There may be a history of competition on one hand but the reputation of the partner is strong, and few conflicts have occurred with them and they have been resolved amicably. There may be an unequal perception of power structure, but the partner seems unlikely to take advantage of it.</w:t>
            </w:r>
          </w:p>
        </w:tc>
        <w:tc>
          <w:tcPr>
            <w:tcW w:w="3487" w:type="dxa"/>
          </w:tcPr>
          <w:p w14:paraId="079D80E3" w14:textId="77777777" w:rsidR="007873A7" w:rsidRPr="00CB7A7A" w:rsidRDefault="007873A7" w:rsidP="00525BE0">
            <w:pPr>
              <w:spacing w:line="360" w:lineRule="auto"/>
              <w:jc w:val="both"/>
              <w:rPr>
                <w:sz w:val="18"/>
                <w:szCs w:val="18"/>
              </w:rPr>
            </w:pPr>
            <w:r w:rsidRPr="00CB7A7A">
              <w:rPr>
                <w:sz w:val="18"/>
                <w:szCs w:val="18"/>
              </w:rPr>
              <w:t>There is a high level of perceived trust between partners. Conflicts, when they seldom occur, are solved amicably. Any history of competition is forgotten. There is no perception of any risk when it comes to relying on the collaborator to act altruistically. Any issues with the power structure in the collaboration do not present any barrier and are not perceived to be likely to be taken advantage of.</w:t>
            </w:r>
          </w:p>
        </w:tc>
      </w:tr>
      <w:tr w:rsidR="007873A7" w14:paraId="0D7700E0" w14:textId="77777777" w:rsidTr="007873A7">
        <w:tc>
          <w:tcPr>
            <w:tcW w:w="3487" w:type="dxa"/>
          </w:tcPr>
          <w:p w14:paraId="2CC1E71F" w14:textId="77777777" w:rsidR="007873A7" w:rsidRPr="00CB7A7A" w:rsidRDefault="007873A7" w:rsidP="00525BE0">
            <w:pPr>
              <w:spacing w:line="360" w:lineRule="auto"/>
              <w:jc w:val="both"/>
              <w:rPr>
                <w:sz w:val="18"/>
                <w:szCs w:val="18"/>
              </w:rPr>
            </w:pPr>
            <w:r w:rsidRPr="00CB7A7A">
              <w:rPr>
                <w:sz w:val="18"/>
                <w:szCs w:val="18"/>
              </w:rPr>
              <w:t>Faith (i.e., a motivation, or ‘energy’ to work on the collaboration)</w:t>
            </w:r>
          </w:p>
        </w:tc>
        <w:tc>
          <w:tcPr>
            <w:tcW w:w="3487" w:type="dxa"/>
          </w:tcPr>
          <w:p w14:paraId="25CC5379" w14:textId="77777777" w:rsidR="007873A7" w:rsidRPr="00CB7A7A" w:rsidRDefault="007873A7" w:rsidP="00525BE0">
            <w:pPr>
              <w:spacing w:line="360" w:lineRule="auto"/>
              <w:jc w:val="both"/>
              <w:rPr>
                <w:sz w:val="18"/>
                <w:szCs w:val="18"/>
              </w:rPr>
            </w:pPr>
            <w:r w:rsidRPr="00CB7A7A">
              <w:rPr>
                <w:sz w:val="18"/>
                <w:szCs w:val="18"/>
              </w:rPr>
              <w:t>There is a low level of perceived faith in the collaboration in your organisation. This is likely because members of the workforce perceive it to be not worth working on or otherwise extremely difficult to achieve properly. This is because it could be far too ambitious and overly complex. Likewise, there is a perception that there is not enough resource to implement the collaboration properly. There may also be little sense of progress towards achieving the aims of the collaboration. Leadership may also not be sufficiently supportive in a manner that enables implementing the collaboration.</w:t>
            </w:r>
          </w:p>
        </w:tc>
        <w:tc>
          <w:tcPr>
            <w:tcW w:w="3487" w:type="dxa"/>
          </w:tcPr>
          <w:p w14:paraId="2AAB202D" w14:textId="77777777" w:rsidR="007873A7" w:rsidRPr="00CB7A7A" w:rsidRDefault="007873A7" w:rsidP="00525BE0">
            <w:pPr>
              <w:spacing w:line="360" w:lineRule="auto"/>
              <w:jc w:val="both"/>
              <w:rPr>
                <w:sz w:val="18"/>
                <w:szCs w:val="18"/>
              </w:rPr>
            </w:pPr>
            <w:r w:rsidRPr="00CB7A7A">
              <w:rPr>
                <w:sz w:val="18"/>
                <w:szCs w:val="18"/>
              </w:rPr>
              <w:t>There is a medium level of perceived faith in the collaboration in your organisation. The workforce may perceive the collaboration as tentatively worth working on but progress overall may be slow. Workers may feel the collaboration will be difficult to achieve but not entirely impossible. They feel there is adequate resource available to implement it but that it will be an uphill battle. Leadership is on board with the collaboration but may not be properly focused on implementing it.</w:t>
            </w:r>
          </w:p>
        </w:tc>
        <w:tc>
          <w:tcPr>
            <w:tcW w:w="3487" w:type="dxa"/>
          </w:tcPr>
          <w:p w14:paraId="01FE2250" w14:textId="77777777" w:rsidR="007873A7" w:rsidRPr="00CB7A7A" w:rsidRDefault="007873A7" w:rsidP="00525BE0">
            <w:pPr>
              <w:spacing w:line="360" w:lineRule="auto"/>
              <w:jc w:val="both"/>
              <w:rPr>
                <w:sz w:val="18"/>
                <w:szCs w:val="18"/>
              </w:rPr>
            </w:pPr>
            <w:r w:rsidRPr="00CB7A7A">
              <w:rPr>
                <w:sz w:val="18"/>
                <w:szCs w:val="18"/>
              </w:rPr>
              <w:t>There is a high level of faith in your organisation. The workforce is enthusiastic to work on the collaboration, and morale is high. Sense of progression towards the aims and objectives of the collaboration is strong.</w:t>
            </w:r>
          </w:p>
        </w:tc>
      </w:tr>
      <w:tr w:rsidR="007873A7" w14:paraId="6D168614" w14:textId="77777777" w:rsidTr="007873A7">
        <w:tc>
          <w:tcPr>
            <w:tcW w:w="3487" w:type="dxa"/>
          </w:tcPr>
          <w:p w14:paraId="2969527E" w14:textId="77777777" w:rsidR="007873A7" w:rsidRPr="00CB7A7A" w:rsidRDefault="007873A7" w:rsidP="00525BE0">
            <w:pPr>
              <w:spacing w:line="360" w:lineRule="auto"/>
              <w:jc w:val="both"/>
              <w:rPr>
                <w:sz w:val="18"/>
                <w:szCs w:val="18"/>
              </w:rPr>
            </w:pPr>
            <w:r w:rsidRPr="00CB7A7A">
              <w:rPr>
                <w:sz w:val="18"/>
                <w:szCs w:val="18"/>
              </w:rPr>
              <w:t>Confidence (i.e., the belief that your partner(s) will behave collaboratively because they are obligated to)</w:t>
            </w:r>
          </w:p>
        </w:tc>
        <w:tc>
          <w:tcPr>
            <w:tcW w:w="3487" w:type="dxa"/>
          </w:tcPr>
          <w:p w14:paraId="488E7055" w14:textId="77777777" w:rsidR="007873A7" w:rsidRPr="00CB7A7A" w:rsidRDefault="007873A7" w:rsidP="00525BE0">
            <w:pPr>
              <w:spacing w:line="360" w:lineRule="auto"/>
              <w:jc w:val="both"/>
              <w:rPr>
                <w:sz w:val="18"/>
                <w:szCs w:val="18"/>
              </w:rPr>
            </w:pPr>
            <w:r w:rsidRPr="00CB7A7A">
              <w:rPr>
                <w:sz w:val="18"/>
                <w:szCs w:val="18"/>
              </w:rPr>
              <w:t>Your collaboration is mandated or is very integrative (i.e., a merger), but does not have appropriate legal frameworks in place to enable collaborative behaviour. Or, it is a voluntary or non-integrative type of partnership (i.e., an informal arrangement) but has an overabundance of legal frameworks in place which is undermining the ability to build trust. Both partners feel it is too risky to engage in any kind of altruistic behaviour.</w:t>
            </w:r>
          </w:p>
        </w:tc>
        <w:tc>
          <w:tcPr>
            <w:tcW w:w="3487" w:type="dxa"/>
          </w:tcPr>
          <w:p w14:paraId="1B784E70" w14:textId="77777777" w:rsidR="007873A7" w:rsidRPr="00CB7A7A" w:rsidRDefault="007873A7" w:rsidP="00525BE0">
            <w:pPr>
              <w:spacing w:line="360" w:lineRule="auto"/>
              <w:jc w:val="both"/>
              <w:rPr>
                <w:sz w:val="18"/>
                <w:szCs w:val="18"/>
              </w:rPr>
            </w:pPr>
            <w:r w:rsidRPr="00CB7A7A">
              <w:rPr>
                <w:sz w:val="18"/>
                <w:szCs w:val="18"/>
              </w:rPr>
              <w:t>There are mutually agreed-upon legal frameworks in place which enable both partner(s) to feel confident that they can behave altruistically without negative consequences. However, the existence of these contractual obligations are making it difficult to build trust outside of the contract.</w:t>
            </w:r>
          </w:p>
        </w:tc>
        <w:tc>
          <w:tcPr>
            <w:tcW w:w="3487" w:type="dxa"/>
          </w:tcPr>
          <w:p w14:paraId="7165E531" w14:textId="77777777" w:rsidR="007873A7" w:rsidRPr="00CB7A7A" w:rsidRDefault="007873A7" w:rsidP="00525BE0">
            <w:pPr>
              <w:spacing w:line="360" w:lineRule="auto"/>
              <w:jc w:val="both"/>
              <w:rPr>
                <w:sz w:val="18"/>
                <w:szCs w:val="18"/>
              </w:rPr>
            </w:pPr>
            <w:r w:rsidRPr="00CB7A7A">
              <w:rPr>
                <w:sz w:val="18"/>
                <w:szCs w:val="18"/>
              </w:rPr>
              <w:t>The legal frameworks are perfectly suitable for the type of collaboration that is in place. Neither partner feels that there is a risk to engaging in collaborative behaviour, and that the legal frameworks in place also do not undermine the ability to engage in altruistic behaviour to build trust.</w:t>
            </w:r>
          </w:p>
        </w:tc>
      </w:tr>
      <w:tr w:rsidR="007873A7" w14:paraId="433BA5C8" w14:textId="77777777" w:rsidTr="007873A7">
        <w:tc>
          <w:tcPr>
            <w:tcW w:w="3487" w:type="dxa"/>
          </w:tcPr>
          <w:p w14:paraId="1422A215" w14:textId="77777777" w:rsidR="007873A7" w:rsidRPr="00CB7A7A" w:rsidRDefault="007873A7" w:rsidP="00525BE0">
            <w:pPr>
              <w:spacing w:line="360" w:lineRule="auto"/>
              <w:jc w:val="both"/>
              <w:rPr>
                <w:sz w:val="18"/>
                <w:szCs w:val="18"/>
              </w:rPr>
            </w:pPr>
            <w:r w:rsidRPr="00CB7A7A">
              <w:rPr>
                <w:sz w:val="18"/>
                <w:szCs w:val="18"/>
              </w:rPr>
              <w:t>Ease of cultural integration</w:t>
            </w:r>
          </w:p>
        </w:tc>
        <w:tc>
          <w:tcPr>
            <w:tcW w:w="3487" w:type="dxa"/>
          </w:tcPr>
          <w:p w14:paraId="0FB0BA00" w14:textId="77777777" w:rsidR="007873A7" w:rsidRPr="00CB7A7A" w:rsidRDefault="007873A7" w:rsidP="00525BE0">
            <w:pPr>
              <w:spacing w:line="360" w:lineRule="auto"/>
              <w:jc w:val="both"/>
              <w:rPr>
                <w:sz w:val="18"/>
                <w:szCs w:val="18"/>
              </w:rPr>
            </w:pPr>
            <w:r w:rsidRPr="00CB7A7A">
              <w:rPr>
                <w:sz w:val="18"/>
                <w:szCs w:val="18"/>
              </w:rPr>
              <w:t>You perceive your chances of being able to culturally integrate with the partner(s) as low, or otherwise there is currently no perceived progress towards neither an integrated culture nor a mutual understanding of cultures.</w:t>
            </w:r>
          </w:p>
        </w:tc>
        <w:tc>
          <w:tcPr>
            <w:tcW w:w="3487" w:type="dxa"/>
          </w:tcPr>
          <w:p w14:paraId="09DC5896" w14:textId="77777777" w:rsidR="007873A7" w:rsidRPr="00CB7A7A" w:rsidRDefault="007873A7" w:rsidP="00525BE0">
            <w:pPr>
              <w:spacing w:line="360" w:lineRule="auto"/>
              <w:jc w:val="both"/>
              <w:rPr>
                <w:sz w:val="18"/>
                <w:szCs w:val="18"/>
              </w:rPr>
            </w:pPr>
            <w:r w:rsidRPr="00CB7A7A">
              <w:rPr>
                <w:sz w:val="18"/>
                <w:szCs w:val="18"/>
              </w:rPr>
              <w:t>You perceive there being some chance of being able to culturally integrate with the partner(s), but it is/will be an uphill battle.</w:t>
            </w:r>
          </w:p>
        </w:tc>
        <w:tc>
          <w:tcPr>
            <w:tcW w:w="3487" w:type="dxa"/>
          </w:tcPr>
          <w:p w14:paraId="653F2A03" w14:textId="77777777" w:rsidR="007873A7" w:rsidRPr="00CB7A7A" w:rsidRDefault="007873A7" w:rsidP="00525BE0">
            <w:pPr>
              <w:spacing w:line="360" w:lineRule="auto"/>
              <w:jc w:val="both"/>
              <w:rPr>
                <w:sz w:val="18"/>
                <w:szCs w:val="18"/>
              </w:rPr>
            </w:pPr>
            <w:r w:rsidRPr="00CB7A7A">
              <w:rPr>
                <w:sz w:val="18"/>
                <w:szCs w:val="18"/>
              </w:rPr>
              <w:t>The organisations already have very similar cultures, or there is significant progress towards either having an integrated culture or mutual understanding and way of working between cultures.</w:t>
            </w:r>
          </w:p>
        </w:tc>
      </w:tr>
      <w:tr w:rsidR="007873A7" w14:paraId="2E0FC5CE" w14:textId="77777777" w:rsidTr="007873A7">
        <w:tc>
          <w:tcPr>
            <w:tcW w:w="3487" w:type="dxa"/>
          </w:tcPr>
          <w:p w14:paraId="6253CAB0" w14:textId="77777777" w:rsidR="007873A7" w:rsidRPr="00CB7A7A" w:rsidRDefault="007873A7" w:rsidP="00525BE0">
            <w:pPr>
              <w:spacing w:line="360" w:lineRule="auto"/>
              <w:jc w:val="both"/>
              <w:rPr>
                <w:sz w:val="18"/>
                <w:szCs w:val="18"/>
              </w:rPr>
            </w:pPr>
            <w:r w:rsidRPr="00CB7A7A">
              <w:rPr>
                <w:sz w:val="18"/>
                <w:szCs w:val="18"/>
              </w:rPr>
              <w:t>Perceived legitimacy (whether the collaboration is perceived as being a legitimate means to the advertised end)</w:t>
            </w:r>
          </w:p>
        </w:tc>
        <w:tc>
          <w:tcPr>
            <w:tcW w:w="3487" w:type="dxa"/>
          </w:tcPr>
          <w:p w14:paraId="4393A465" w14:textId="77777777" w:rsidR="007873A7" w:rsidRPr="00CB7A7A" w:rsidRDefault="007873A7" w:rsidP="00525BE0">
            <w:pPr>
              <w:spacing w:line="360" w:lineRule="auto"/>
              <w:jc w:val="both"/>
              <w:rPr>
                <w:sz w:val="18"/>
                <w:szCs w:val="18"/>
              </w:rPr>
            </w:pPr>
            <w:r w:rsidRPr="00CB7A7A">
              <w:rPr>
                <w:sz w:val="18"/>
                <w:szCs w:val="18"/>
              </w:rPr>
              <w:t>The collaboration is not perceived as a legitimate effort. This may be due to it being undermined by mandated forms of collaboration, or due to a lack of stakeholder and workforce involvement in the arrangement.</w:t>
            </w:r>
          </w:p>
        </w:tc>
        <w:tc>
          <w:tcPr>
            <w:tcW w:w="3487" w:type="dxa"/>
          </w:tcPr>
          <w:p w14:paraId="12168418" w14:textId="77777777" w:rsidR="007873A7" w:rsidRPr="00CB7A7A" w:rsidRDefault="007873A7" w:rsidP="00525BE0">
            <w:pPr>
              <w:spacing w:line="360" w:lineRule="auto"/>
              <w:jc w:val="both"/>
              <w:rPr>
                <w:sz w:val="18"/>
                <w:szCs w:val="18"/>
              </w:rPr>
            </w:pPr>
            <w:r w:rsidRPr="00CB7A7A">
              <w:rPr>
                <w:sz w:val="18"/>
                <w:szCs w:val="18"/>
              </w:rPr>
              <w:t>The collaboration is perceived somewhat as a legitimate effort. It may be mandated but it involves stakeholders and the workforce in the planning and implementation of the arrangement.</w:t>
            </w:r>
          </w:p>
        </w:tc>
        <w:tc>
          <w:tcPr>
            <w:tcW w:w="3487" w:type="dxa"/>
          </w:tcPr>
          <w:p w14:paraId="04D6588D" w14:textId="77777777" w:rsidR="007873A7" w:rsidRPr="00CB7A7A" w:rsidRDefault="007873A7" w:rsidP="00525BE0">
            <w:pPr>
              <w:spacing w:line="360" w:lineRule="auto"/>
              <w:jc w:val="both"/>
              <w:rPr>
                <w:sz w:val="18"/>
                <w:szCs w:val="18"/>
              </w:rPr>
            </w:pPr>
            <w:r w:rsidRPr="00CB7A7A">
              <w:rPr>
                <w:sz w:val="18"/>
                <w:szCs w:val="18"/>
              </w:rPr>
              <w:t>The collaboration is largely perceived as a legitimate undertaking. There is strong ownership among the workforce and patients and the public are involved.</w:t>
            </w:r>
          </w:p>
        </w:tc>
      </w:tr>
      <w:tr w:rsidR="007873A7" w14:paraId="2C39DF54" w14:textId="77777777" w:rsidTr="007873A7">
        <w:tc>
          <w:tcPr>
            <w:tcW w:w="3487" w:type="dxa"/>
          </w:tcPr>
          <w:p w14:paraId="2E244C99" w14:textId="77777777" w:rsidR="007873A7" w:rsidRPr="00CB7A7A" w:rsidRDefault="007873A7" w:rsidP="00525BE0">
            <w:pPr>
              <w:spacing w:line="360" w:lineRule="auto"/>
              <w:jc w:val="both"/>
              <w:rPr>
                <w:sz w:val="18"/>
                <w:szCs w:val="18"/>
              </w:rPr>
            </w:pPr>
            <w:r w:rsidRPr="00CB7A7A">
              <w:rPr>
                <w:sz w:val="18"/>
                <w:szCs w:val="18"/>
              </w:rPr>
              <w:t>Interpersonal communication</w:t>
            </w:r>
          </w:p>
        </w:tc>
        <w:tc>
          <w:tcPr>
            <w:tcW w:w="3487" w:type="dxa"/>
          </w:tcPr>
          <w:p w14:paraId="419B5E7A" w14:textId="77777777" w:rsidR="007873A7" w:rsidRPr="00CB7A7A" w:rsidRDefault="007873A7" w:rsidP="00525BE0">
            <w:pPr>
              <w:spacing w:line="360" w:lineRule="auto"/>
              <w:jc w:val="both"/>
              <w:rPr>
                <w:sz w:val="18"/>
                <w:szCs w:val="18"/>
              </w:rPr>
            </w:pPr>
            <w:r w:rsidRPr="00CB7A7A">
              <w:rPr>
                <w:sz w:val="18"/>
                <w:szCs w:val="18"/>
              </w:rPr>
              <w:t>There is little communication ongoing between partners. When it does take place, there is a sense of uncomfortableness. There is an unwillingness to share information across organisations.</w:t>
            </w:r>
          </w:p>
        </w:tc>
        <w:tc>
          <w:tcPr>
            <w:tcW w:w="3487" w:type="dxa"/>
          </w:tcPr>
          <w:p w14:paraId="00844072" w14:textId="77777777" w:rsidR="007873A7" w:rsidRPr="00CB7A7A" w:rsidRDefault="007873A7" w:rsidP="00525BE0">
            <w:pPr>
              <w:spacing w:line="360" w:lineRule="auto"/>
              <w:jc w:val="both"/>
              <w:rPr>
                <w:sz w:val="18"/>
                <w:szCs w:val="18"/>
              </w:rPr>
            </w:pPr>
            <w:r w:rsidRPr="00CB7A7A">
              <w:rPr>
                <w:sz w:val="18"/>
                <w:szCs w:val="18"/>
              </w:rPr>
              <w:t>There is some communication between partners, and sometimes it can be uncomfortable. Your organisation is opening up to the idea of sharing information with the partner(s).</w:t>
            </w:r>
          </w:p>
        </w:tc>
        <w:tc>
          <w:tcPr>
            <w:tcW w:w="3487" w:type="dxa"/>
          </w:tcPr>
          <w:p w14:paraId="6CA90BE2" w14:textId="77777777" w:rsidR="007873A7" w:rsidRPr="00CB7A7A" w:rsidRDefault="007873A7" w:rsidP="00525BE0">
            <w:pPr>
              <w:spacing w:line="360" w:lineRule="auto"/>
              <w:jc w:val="both"/>
              <w:rPr>
                <w:sz w:val="18"/>
                <w:szCs w:val="18"/>
              </w:rPr>
            </w:pPr>
            <w:r w:rsidRPr="00CB7A7A">
              <w:rPr>
                <w:sz w:val="18"/>
                <w:szCs w:val="18"/>
              </w:rPr>
              <w:t>You feel no reservations about communicating and sharing information with your partners. There is frequent communication between partners and it feels second nature to do so. Both partners are receptive and communicative in a way that facilitates the building of positive interpersonal relationships. Information required for delivering patient care is also moving smoothly between organisations where required.</w:t>
            </w:r>
          </w:p>
        </w:tc>
      </w:tr>
      <w:tr w:rsidR="007873A7" w14:paraId="2601BB84" w14:textId="77777777" w:rsidTr="007873A7">
        <w:tc>
          <w:tcPr>
            <w:tcW w:w="3487" w:type="dxa"/>
          </w:tcPr>
          <w:p w14:paraId="4339730E" w14:textId="77777777" w:rsidR="007873A7" w:rsidRPr="00CB7A7A" w:rsidRDefault="007873A7" w:rsidP="00525BE0">
            <w:pPr>
              <w:spacing w:line="360" w:lineRule="auto"/>
              <w:jc w:val="both"/>
              <w:rPr>
                <w:sz w:val="18"/>
                <w:szCs w:val="18"/>
              </w:rPr>
            </w:pPr>
            <w:r w:rsidRPr="00CB7A7A">
              <w:rPr>
                <w:sz w:val="18"/>
                <w:szCs w:val="18"/>
              </w:rPr>
              <w:t>Clarity of vision (how clear the aims and objectives of the collaboration are, as well as how to get there)</w:t>
            </w:r>
          </w:p>
        </w:tc>
        <w:tc>
          <w:tcPr>
            <w:tcW w:w="3487" w:type="dxa"/>
          </w:tcPr>
          <w:p w14:paraId="0DFFBC40" w14:textId="77777777" w:rsidR="007873A7" w:rsidRPr="00CB7A7A" w:rsidRDefault="007873A7" w:rsidP="00525BE0">
            <w:pPr>
              <w:spacing w:line="360" w:lineRule="auto"/>
              <w:jc w:val="both"/>
              <w:rPr>
                <w:sz w:val="18"/>
                <w:szCs w:val="18"/>
              </w:rPr>
            </w:pPr>
            <w:r w:rsidRPr="00CB7A7A">
              <w:rPr>
                <w:sz w:val="18"/>
                <w:szCs w:val="18"/>
              </w:rPr>
              <w:t>What the collaboration is hoping to achieve is unclear. Everyone you ask has a different concept of what it is hoping to achieve, and the road to achieving those outcomes is equally unclear. Even senior management seems to be lacking agreement on what is hoping to be achieved.</w:t>
            </w:r>
          </w:p>
        </w:tc>
        <w:tc>
          <w:tcPr>
            <w:tcW w:w="3487" w:type="dxa"/>
          </w:tcPr>
          <w:p w14:paraId="26E5A6C3" w14:textId="77777777" w:rsidR="007873A7" w:rsidRPr="00CB7A7A" w:rsidRDefault="007873A7" w:rsidP="00525BE0">
            <w:pPr>
              <w:spacing w:line="360" w:lineRule="auto"/>
              <w:jc w:val="both"/>
              <w:rPr>
                <w:sz w:val="18"/>
                <w:szCs w:val="18"/>
              </w:rPr>
            </w:pPr>
            <w:r w:rsidRPr="00CB7A7A">
              <w:rPr>
                <w:sz w:val="18"/>
                <w:szCs w:val="18"/>
              </w:rPr>
              <w:t>Many members of the organisation are largely in agreement on what the collaboration is seeking to achieve, particularly in senior management and those who are architects of the collaboration. Some at a lower level of the workforce are still lacking agreement, however. There is some clarity on how collaboration is seeking to deliver performance improvements.</w:t>
            </w:r>
          </w:p>
        </w:tc>
        <w:tc>
          <w:tcPr>
            <w:tcW w:w="3487" w:type="dxa"/>
          </w:tcPr>
          <w:p w14:paraId="533B5391" w14:textId="77777777" w:rsidR="007873A7" w:rsidRPr="00CB7A7A" w:rsidRDefault="007873A7" w:rsidP="00525BE0">
            <w:pPr>
              <w:spacing w:line="360" w:lineRule="auto"/>
              <w:jc w:val="both"/>
              <w:rPr>
                <w:sz w:val="18"/>
                <w:szCs w:val="18"/>
              </w:rPr>
            </w:pPr>
            <w:r w:rsidRPr="00CB7A7A">
              <w:rPr>
                <w:sz w:val="18"/>
                <w:szCs w:val="18"/>
              </w:rPr>
              <w:t>Most people you talk to agree on what the collaboration is seeking to achieve. This even is the case across partners. There is a clear logic with respect to how the collaboration is going to lead to the desired performance improvements. There is a clear timeline of milestones along the way.</w:t>
            </w:r>
          </w:p>
        </w:tc>
      </w:tr>
      <w:tr w:rsidR="007873A7" w14:paraId="4A637E35" w14:textId="77777777" w:rsidTr="007873A7">
        <w:tc>
          <w:tcPr>
            <w:tcW w:w="3487" w:type="dxa"/>
          </w:tcPr>
          <w:p w14:paraId="2B8388A0" w14:textId="77777777" w:rsidR="007873A7" w:rsidRPr="00CB7A7A" w:rsidRDefault="007873A7" w:rsidP="00525BE0">
            <w:pPr>
              <w:spacing w:line="360" w:lineRule="auto"/>
              <w:jc w:val="both"/>
              <w:rPr>
                <w:sz w:val="18"/>
                <w:szCs w:val="18"/>
              </w:rPr>
            </w:pPr>
            <w:r w:rsidRPr="00CB7A7A">
              <w:rPr>
                <w:sz w:val="18"/>
                <w:szCs w:val="18"/>
              </w:rPr>
              <w:t>Sharedness of vision (the degree to which the aims, objectives, and plan for the collaboration is shared across partners)</w:t>
            </w:r>
          </w:p>
        </w:tc>
        <w:tc>
          <w:tcPr>
            <w:tcW w:w="3487" w:type="dxa"/>
          </w:tcPr>
          <w:p w14:paraId="701D3B83" w14:textId="77777777" w:rsidR="007873A7" w:rsidRPr="00CB7A7A" w:rsidRDefault="007873A7" w:rsidP="00525BE0">
            <w:pPr>
              <w:spacing w:line="360" w:lineRule="auto"/>
              <w:jc w:val="both"/>
              <w:rPr>
                <w:sz w:val="18"/>
                <w:szCs w:val="18"/>
              </w:rPr>
            </w:pPr>
            <w:r w:rsidRPr="00CB7A7A">
              <w:rPr>
                <w:sz w:val="18"/>
                <w:szCs w:val="18"/>
              </w:rPr>
              <w:t>Neither your organisation nor the partners in the collaboration have agreement on what is hoping to be achieved. When discussed, there is active disagreement on even what you are hoping to accomplish.</w:t>
            </w:r>
          </w:p>
        </w:tc>
        <w:tc>
          <w:tcPr>
            <w:tcW w:w="3487" w:type="dxa"/>
          </w:tcPr>
          <w:p w14:paraId="2C81052E" w14:textId="77777777" w:rsidR="007873A7" w:rsidRPr="00CB7A7A" w:rsidRDefault="007873A7" w:rsidP="00525BE0">
            <w:pPr>
              <w:spacing w:line="360" w:lineRule="auto"/>
              <w:jc w:val="both"/>
              <w:rPr>
                <w:sz w:val="18"/>
                <w:szCs w:val="18"/>
              </w:rPr>
            </w:pPr>
            <w:r w:rsidRPr="00CB7A7A">
              <w:rPr>
                <w:sz w:val="18"/>
                <w:szCs w:val="18"/>
              </w:rPr>
              <w:t>Partners agree on the ultimate outcomes for the collaboration but perhaps not on the best route for how to get there. There are occasionally disagreements but these are resolved amicably for the most part.</w:t>
            </w:r>
          </w:p>
        </w:tc>
        <w:tc>
          <w:tcPr>
            <w:tcW w:w="3487" w:type="dxa"/>
          </w:tcPr>
          <w:p w14:paraId="6CB08176" w14:textId="77777777" w:rsidR="007873A7" w:rsidRPr="00CB7A7A" w:rsidRDefault="007873A7" w:rsidP="00525BE0">
            <w:pPr>
              <w:spacing w:line="360" w:lineRule="auto"/>
              <w:jc w:val="both"/>
              <w:rPr>
                <w:sz w:val="18"/>
                <w:szCs w:val="18"/>
              </w:rPr>
            </w:pPr>
            <w:r w:rsidRPr="00CB7A7A">
              <w:rPr>
                <w:sz w:val="18"/>
                <w:szCs w:val="18"/>
              </w:rPr>
              <w:t>There is total agreement on the aims and objectives of the collaboration and how to get there. Both partners have formally signed off on a plan for how to reach the desired outcomes of the collaboration, and this agreement extends to the way people interact, with few or no conflicts on even small details of the plan.</w:t>
            </w:r>
          </w:p>
        </w:tc>
      </w:tr>
      <w:tr w:rsidR="007873A7" w14:paraId="57F92EB7" w14:textId="77777777" w:rsidTr="007873A7">
        <w:tc>
          <w:tcPr>
            <w:tcW w:w="3487" w:type="dxa"/>
          </w:tcPr>
          <w:p w14:paraId="65ED9849" w14:textId="77777777" w:rsidR="007873A7" w:rsidRPr="00CB7A7A" w:rsidRDefault="007873A7" w:rsidP="00525BE0">
            <w:pPr>
              <w:spacing w:line="360" w:lineRule="auto"/>
              <w:jc w:val="both"/>
              <w:rPr>
                <w:sz w:val="18"/>
                <w:szCs w:val="18"/>
              </w:rPr>
            </w:pPr>
            <w:r w:rsidRPr="00CB7A7A">
              <w:rPr>
                <w:sz w:val="18"/>
                <w:szCs w:val="18"/>
              </w:rPr>
              <w:t>Risk tolerance (to what extent an organisation is willing to engage in behaviour a partner could take advantage of)</w:t>
            </w:r>
          </w:p>
        </w:tc>
        <w:tc>
          <w:tcPr>
            <w:tcW w:w="3487" w:type="dxa"/>
          </w:tcPr>
          <w:p w14:paraId="66F80AF9" w14:textId="77777777" w:rsidR="007873A7" w:rsidRPr="00CB7A7A" w:rsidRDefault="007873A7" w:rsidP="00525BE0">
            <w:pPr>
              <w:spacing w:line="360" w:lineRule="auto"/>
              <w:jc w:val="both"/>
              <w:rPr>
                <w:sz w:val="18"/>
                <w:szCs w:val="18"/>
              </w:rPr>
            </w:pPr>
            <w:r w:rsidRPr="00CB7A7A">
              <w:rPr>
                <w:sz w:val="18"/>
                <w:szCs w:val="18"/>
              </w:rPr>
              <w:t>Your organisation is not willing to engage in altruistic behaviour as you feel that your partner might not reciprocate or may even take advantage of the situation in a competitive manner, to your organisation’s disadvantage.</w:t>
            </w:r>
          </w:p>
        </w:tc>
        <w:tc>
          <w:tcPr>
            <w:tcW w:w="3487" w:type="dxa"/>
          </w:tcPr>
          <w:p w14:paraId="54C9E638" w14:textId="77777777" w:rsidR="007873A7" w:rsidRPr="00CB7A7A" w:rsidRDefault="007873A7" w:rsidP="00525BE0">
            <w:pPr>
              <w:spacing w:line="360" w:lineRule="auto"/>
              <w:jc w:val="both"/>
              <w:rPr>
                <w:sz w:val="18"/>
                <w:szCs w:val="18"/>
              </w:rPr>
            </w:pPr>
            <w:r w:rsidRPr="00CB7A7A">
              <w:rPr>
                <w:sz w:val="18"/>
                <w:szCs w:val="18"/>
              </w:rPr>
              <w:t>Your organisation is willing to engage in altruistic behaviour in some areas but not in others, as your level of trust and confidence is not high enough yet that they will not behave in a competitive manner in certain areas.</w:t>
            </w:r>
          </w:p>
        </w:tc>
        <w:tc>
          <w:tcPr>
            <w:tcW w:w="3487" w:type="dxa"/>
          </w:tcPr>
          <w:p w14:paraId="6091E488" w14:textId="77777777" w:rsidR="007873A7" w:rsidRPr="00CB7A7A" w:rsidRDefault="007873A7" w:rsidP="00525BE0">
            <w:pPr>
              <w:spacing w:line="360" w:lineRule="auto"/>
              <w:jc w:val="both"/>
              <w:rPr>
                <w:sz w:val="18"/>
                <w:szCs w:val="18"/>
              </w:rPr>
            </w:pPr>
            <w:r w:rsidRPr="00CB7A7A">
              <w:rPr>
                <w:sz w:val="18"/>
                <w:szCs w:val="18"/>
              </w:rPr>
              <w:t>There are no barriers to engaging in behaviour that your partner could take advantage of if they wanted to. The concern that this may happen no longer exists and there is sufficient trust and confidence to allow you to work on the aims of the collaboration with the partner. You experience the partner behaving altruistically to your organisation’s benefit and vice versa.</w:t>
            </w:r>
          </w:p>
        </w:tc>
      </w:tr>
    </w:tbl>
    <w:p w14:paraId="0D81FF3F" w14:textId="77777777" w:rsidR="007873A7" w:rsidRDefault="007873A7" w:rsidP="00525BE0">
      <w:pPr>
        <w:spacing w:line="360" w:lineRule="auto"/>
        <w:jc w:val="both"/>
        <w:sectPr w:rsidR="007873A7" w:rsidSect="007873A7">
          <w:pgSz w:w="16838" w:h="11906" w:orient="landscape"/>
          <w:pgMar w:top="1440" w:right="1440" w:bottom="1440" w:left="1440" w:header="708" w:footer="708" w:gutter="0"/>
          <w:cols w:space="708"/>
          <w:docGrid w:linePitch="360"/>
        </w:sectPr>
      </w:pPr>
    </w:p>
    <w:p w14:paraId="770D711B" w14:textId="77777777" w:rsidR="007873A7" w:rsidRDefault="007873A7" w:rsidP="00525BE0">
      <w:pPr>
        <w:pStyle w:val="Heading1"/>
        <w:spacing w:line="360" w:lineRule="auto"/>
        <w:jc w:val="both"/>
      </w:pPr>
      <w:bookmarkStart w:id="151" w:name="_Toc85066485"/>
      <w:r>
        <w:t>Limitations of the project</w:t>
      </w:r>
      <w:bookmarkEnd w:id="151"/>
    </w:p>
    <w:p w14:paraId="59B91B08" w14:textId="77777777" w:rsidR="007873A7" w:rsidRPr="005D6700" w:rsidRDefault="007873A7" w:rsidP="00525BE0">
      <w:pPr>
        <w:pStyle w:val="Heading2"/>
        <w:spacing w:line="360" w:lineRule="auto"/>
        <w:jc w:val="both"/>
      </w:pPr>
      <w:bookmarkStart w:id="152" w:name="_Toc85066486"/>
      <w:r>
        <w:t>Literature component</w:t>
      </w:r>
      <w:bookmarkEnd w:id="152"/>
    </w:p>
    <w:p w14:paraId="2D4EF66C" w14:textId="4487FD88" w:rsidR="007873A7" w:rsidRDefault="007873A7" w:rsidP="00525BE0">
      <w:pPr>
        <w:spacing w:line="360" w:lineRule="auto"/>
        <w:jc w:val="both"/>
      </w:pPr>
      <w:r>
        <w:t xml:space="preserve">Although every effort was made to be as exhaustive as possible in our </w:t>
      </w:r>
      <w:r w:rsidR="00FA7588">
        <w:t>search</w:t>
      </w:r>
      <w:r>
        <w:t xml:space="preserve"> of the literature, including multiple waves of systematic searching, as well as searching the grey literature sources, it is possible we inadvertently omitted literature that would have been informative to the present review. A particular challenge was covering all the partnership types due to the myriad of overlapping terms used to refer to collaborations. Additionally, while some included papers did document cases of collaborations which ended in dissolution (e.g. </w:t>
      </w:r>
      <w:r>
        <w:fldChar w:fldCharType="begin" w:fldLock="1"/>
      </w:r>
      <w:r w:rsidR="00804189">
        <w:instrText>ADDIN CSL_CITATION {"citationItems":[{"id":"ITEM-1","itemData":{"DOI":"10.1111/1468-0009.12356","ISSN":"14680009","abstract":"Policy Points Accountable care organizations (ACOs) form alliances with management partners to access financial, technical, and managerial support. Alliances between ACOs and management partners are subject to destabilizing tension around decision-making authority, distribution of shared savings, and conflicting goals and values. Management partners may serve either as trainers, ultimately breaking off from the ACO, or as central drivers of the ACO. Management partner participation in ACOs is currently unregulated, and management partners may receive a significant portion (in some cases, majority) of shared savings. Context: Accountable care organizations (ACOs) are a prominent payment and delivery model. Though ACOs are often described as groups of health care providers, nearly 4 in 10 ACOs partner with a management company for services such as financial investment, contracting, data analytics, and care management, according to recent research. However, we know little about how and why these partnerships form. This article aims to understand the reasons providers seek partners, the nature of these relationships, and factors critical to the success or failure of these alliances. Methods: We used qualitative data collected longitudinally from 2012 to 2017 at 2 ACOs to understand relationships between management partners and ACO providers. The data include 115 semistructured interviews and observational data from 7 site visits. Two coders applied 48 codes to the data. We reviewed coded data for emergent themes in the context of alliance life cycle theory. Findings: Qualitative data revealed that management partners brought specific skills and services and also gave providers confidence in pursuing an ACO. Over time, tension between providers and management partners arose around decision-making authority, distribution of shared savings, and conflicting goals and values. We observed 2 outcomes of partnerships: cemented partnerships and dissolution. Key factors distinguishing alliance outcome in these 2 cases include degree of trust between organizations in the alliance; approach to conflict resolution; distribution of power in the alliance; skills and confidence acquired by the ACO over the life of the alliance; continuity of management partner delivery on promised resources; and proportion of savings going to the management partner. Conclusions: The diverging paths for ACOs with management partners suggest 2 different roles that management partners may pla…","author":[{"dropping-particle":"","family":"Murray","given":"Genevra F.","non-dropping-particle":"","parse-names":false,"suffix":""},{"dropping-particle":"","family":"D'Aunno","given":"Thomas","non-dropping-particle":"","parse-names":false,"suffix":""},{"dropping-particle":"","family":"Lewis","given":"Valerie A.","non-dropping-particle":"","parse-names":false,"suffix":""}],"container-title":"Milbank Quarterly","id":"ITEM-1","issue":"4","issued":{"date-parts":[["2018"]]},"page":"755-781","title":"Trust, Money, and Power: Life Cycle Dynamics in Alliances Between Management Partners and Accountable Care Organizations","type":"article-journal","volume":"96"},"uris":["http://www.mendeley.com/documents/?uuid=87ed0673-8dc6-4539-95b4-fffb3d412316"]}],"mendeley":{"formattedCitation":"&lt;sup&gt;100&lt;/sup&gt;","manualFormatting":"Murray, D’Aunno and Lewis (2018)","plainTextFormattedCitation":"100","previouslyFormattedCitation":"&lt;sup&gt;100&lt;/sup&gt;"},"properties":{"noteIndex":0},"schema":"https://github.com/citation-style-language/schema/raw/master/csl-citation.json"}</w:instrText>
      </w:r>
      <w:r>
        <w:fldChar w:fldCharType="separate"/>
      </w:r>
      <w:r w:rsidRPr="00E4022F">
        <w:rPr>
          <w:noProof/>
        </w:rPr>
        <w:t>Murray, D’Aunno and Lewis</w:t>
      </w:r>
      <w:r>
        <w:rPr>
          <w:noProof/>
        </w:rPr>
        <w:t xml:space="preserve"> (</w:t>
      </w:r>
      <w:r w:rsidRPr="00E4022F">
        <w:rPr>
          <w:noProof/>
        </w:rPr>
        <w:t>2018)</w:t>
      </w:r>
      <w:r>
        <w:fldChar w:fldCharType="end"/>
      </w:r>
      <w:r>
        <w:t>), these were underrepresented. This is</w:t>
      </w:r>
      <w:r w:rsidR="00FA7588">
        <w:t xml:space="preserve"> </w:t>
      </w:r>
      <w:r>
        <w:t xml:space="preserve">perhaps due to the biased underreporting of failed collaborations arising from publication bias. Inclusion of more examples of unsuccessful collaborations would have provided </w:t>
      </w:r>
      <w:r w:rsidR="00FA7588">
        <w:t>further evidence to supplement our review. T</w:t>
      </w:r>
      <w:r>
        <w:t xml:space="preserve">he study was </w:t>
      </w:r>
      <w:r w:rsidR="00FA7588">
        <w:t xml:space="preserve">predominately </w:t>
      </w:r>
      <w:r>
        <w:t>focused on the UK</w:t>
      </w:r>
      <w:r w:rsidR="00FA7588">
        <w:t>.</w:t>
      </w:r>
      <w:r>
        <w:t xml:space="preserve"> However, we did incl</w:t>
      </w:r>
      <w:r w:rsidR="00FA7588">
        <w:t>ude several studies from abroad</w:t>
      </w:r>
      <w:r>
        <w:t xml:space="preserve">, such as Austria </w:t>
      </w:r>
      <w:r>
        <w:fldChar w:fldCharType="begin" w:fldLock="1"/>
      </w:r>
      <w:r w:rsidR="00EA4B53">
        <w:instrText>ADDIN CSL_CITATION {"citationItems":[{"id":"ITEM-1","itemData":{"ISSN":"1879-8365","abstract":"In 2016, a new university hospital merged from three former independent Austrian hospitals started its operation. This paper presents a process model developed to coordinate the IT migration after the merger, using five phases to meet the requirements of the specific setting. A methodological mix of interviews, surveys and workshops was applied during the IT migration process. High stakeholder participation and a transparent methodical approach led to a broad agreement on success factors, migration objectives, and evaluation results. Thus, acceptance for the finally selected migration scenario was very high among employees, which is known to be crucial for the success of migration projects.","author":[{"dropping-particle":"","family":"Steininger","given":"Katharina","non-dropping-particle":"","parse-names":false,"suffix":""},{"dropping-particle":"","family":"Kempinger","given":"Birgit","non-dropping-particle":"","parse-names":false,"suffix":""},{"dropping-particle":"","family":"Schiffer","given":"Stefan","non-dropping-particle":"","parse-names":false,"suffix":""},{"dropping-particle":"","family":"Pomberger","given":"Gustav","non-dropping-particle":"","parse-names":false,"suffix":""}],"container-title":"Studies in health technology and informatics","id":"ITEM-1","issued":{"date-parts":[["2016"]]},"note":"Useful for integration of IT systems","page":"182-190","publisher-place":"Netherlands","title":"A Process Model for IT Migrations in the Context of a Hospital Merger - Results from an Austrian Case Study.","type":"article-journal","volume":"223"},"uris":["http://www.mendeley.com/documents/?uuid=7d55ef9f-e7ae-422f-98e5-796759f3a3f1"]}],"mendeley":{"formattedCitation":"&lt;sup&gt;195&lt;/sup&gt;","plainTextFormattedCitation":"195","previouslyFormattedCitation":"&lt;sup&gt;195&lt;/sup&gt;"},"properties":{"noteIndex":0},"schema":"https://github.com/citation-style-language/schema/raw/master/csl-citation.json"}</w:instrText>
      </w:r>
      <w:r>
        <w:fldChar w:fldCharType="separate"/>
      </w:r>
      <w:r w:rsidR="00E25884" w:rsidRPr="00E25884">
        <w:rPr>
          <w:noProof/>
          <w:vertAlign w:val="superscript"/>
        </w:rPr>
        <w:t>195</w:t>
      </w:r>
      <w:r>
        <w:fldChar w:fldCharType="end"/>
      </w:r>
      <w:r>
        <w:t xml:space="preserve"> and the United States </w:t>
      </w:r>
      <w:r>
        <w:fldChar w:fldCharType="begin" w:fldLock="1"/>
      </w:r>
      <w:r w:rsidR="00EA4B53">
        <w:instrText>ADDIN CSL_CITATION {"citationItems":[{"id":"ITEM-1","itemData":{"DOI":"10.1111/hsc.12953","ISSN":"13652524","PMID":"32052531","abstract":"Partnering across health clinics and community organisations, while worthwhile for improving health and well-being, is challenging and time consuming. Even partnerships that have essential elements for success in place face inevitable challenges. To better understand how cross-organisational partnerships work in practice, this paper examines collaborations between six primary care clinics and community-based organisations in the United States that were part of an initiative to address late-life depression using an enhanced collaborative care model (Archstone Foundation Care Partners Project). As part of an evaluation of the Care Partners Project, 54 key informant interviews and 10 focus groups were conducted from 2015 to 2017. Additionally, more than 80 project-related documents were reviewed. Qualitative thematic analysis was used to code the transcripts and identify prominent themes in the data. Examining clinic and community organisation partnerships in practice highlighted their inherent complexity. The partnerships were fluid and constantly evolving, shaped by a multiplicity of perspectives and values, and vulnerable to unpredictability. Care Partners sites negotiated the complexity of their partnerships drawing upon three main strategies: adaptation (allowing for flexibility and rapid change); integration (providing opportunities for multi-level partnerships within and across organisations) and cultivation (fostering a commitment to the partnership and its value). These strategies provided opportunities for Care Partners collaborators to work with the inherent complexity of partnering. Intentionally acknowledging and embracing such complexity rather than trying to reduce or avoid it, may allow clinic and community collaborators to strengthen and sustain their partnerships.","author":[{"dropping-particle":"","family":"Henderson","given":"Stuart","non-dropping-particle":"","parse-names":false,"suffix":""},{"dropping-particle":"","family":"Wagner","given":"Jenny L.","non-dropping-particle":"","parse-names":false,"suffix":""},{"dropping-particle":"","family":"Gosdin","given":"Melissa M.","non-dropping-particle":"","parse-names":false,"suffix":""},{"dropping-particle":"","family":"Hoeft","given":"Theresa J.","non-dropping-particle":"","parse-names":false,"suffix":""},{"dropping-particle":"","family":"Unützer","given":"Jürgen","non-dropping-particle":"","parse-names":false,"suffix":""},{"dropping-particle":"","family":"Rath","given":"Laura","non-dropping-particle":"","parse-names":false,"suffix":""},{"dropping-particle":"","family":"Hinton","given":"Ladson","non-dropping-particle":"","parse-names":false,"suffix":""}],"container-title":"Health and Social Care in the Community","id":"ITEM-1","issue":"4","issued":{"date-parts":[["2020"]]},"page":"1199-1208","title":"Complexity in partnerships: A qualitative examination of collaborative depression care in primary care clinics and community-based organisations in California, United States","type":"article-journal","volume":"28"},"uris":["http://www.mendeley.com/documents/?uuid=aaf32efb-2135-4ea7-9214-01ebc21544d4"]}],"mendeley":{"formattedCitation":"&lt;sup&gt;172&lt;/sup&gt;","plainTextFormattedCitation":"172","previouslyFormattedCitation":"&lt;sup&gt;172&lt;/sup&gt;"},"properties":{"noteIndex":0},"schema":"https://github.com/citation-style-language/schema/raw/master/csl-citation.json"}</w:instrText>
      </w:r>
      <w:r>
        <w:fldChar w:fldCharType="separate"/>
      </w:r>
      <w:r w:rsidR="00E25884" w:rsidRPr="00E25884">
        <w:rPr>
          <w:noProof/>
          <w:vertAlign w:val="superscript"/>
        </w:rPr>
        <w:t>172</w:t>
      </w:r>
      <w:r>
        <w:fldChar w:fldCharType="end"/>
      </w:r>
      <w:r>
        <w:t xml:space="preserve"> and we did not purposely remove any based on country-specific metrics. Indeed, additional information from other regulatory contexts would have been more informative. Nonetheless, due to the scope of our project, it is likely that we missed important literature emanating from the experience of other countries and health systems. </w:t>
      </w:r>
    </w:p>
    <w:p w14:paraId="49505205" w14:textId="77777777" w:rsidR="007873A7" w:rsidRPr="005D6700" w:rsidRDefault="007873A7" w:rsidP="00525BE0">
      <w:pPr>
        <w:pStyle w:val="Heading2"/>
        <w:spacing w:line="360" w:lineRule="auto"/>
        <w:jc w:val="both"/>
      </w:pPr>
      <w:bookmarkStart w:id="153" w:name="_Toc85066487"/>
      <w:r>
        <w:t>Empirical component</w:t>
      </w:r>
      <w:bookmarkEnd w:id="153"/>
    </w:p>
    <w:p w14:paraId="296759EB" w14:textId="319EEA8A" w:rsidR="007873A7" w:rsidRDefault="007873A7" w:rsidP="00525BE0">
      <w:pPr>
        <w:spacing w:line="360" w:lineRule="auto"/>
        <w:jc w:val="both"/>
      </w:pPr>
      <w:r>
        <w:t>Our sample was exclusively drawn from the English health system and it is not clear whether our findings would apply to other contexts. Our interview sample included senior staff members and executives. Such purposive sampling was driven by the need to gain</w:t>
      </w:r>
      <w:r w:rsidRPr="00CA68F3">
        <w:t xml:space="preserve"> a </w:t>
      </w:r>
      <w:r>
        <w:t>breadth</w:t>
      </w:r>
      <w:r w:rsidRPr="00CA68F3">
        <w:t xml:space="preserve"> of different arrangements </w:t>
      </w:r>
      <w:r>
        <w:t xml:space="preserve">we </w:t>
      </w:r>
      <w:r w:rsidRPr="00CA68F3">
        <w:t>did not have the resource to identify</w:t>
      </w:r>
      <w:r>
        <w:t xml:space="preserve"> a</w:t>
      </w:r>
      <w:r w:rsidR="00FA7588">
        <w:t xml:space="preserve"> </w:t>
      </w:r>
      <w:r>
        <w:t xml:space="preserve">wide range of </w:t>
      </w:r>
      <w:r w:rsidR="00FA7588">
        <w:t>opinions and perspectives</w:t>
      </w:r>
      <w:r w:rsidRPr="00CA68F3">
        <w:t>.</w:t>
      </w:r>
      <w:r>
        <w:t xml:space="preserve"> Time and resource limitations were further hampered by the difficulties carrying out fieldwork during the </w:t>
      </w:r>
      <w:r w:rsidR="00C41618">
        <w:t>Covid-</w:t>
      </w:r>
      <w:r w:rsidR="00857277">
        <w:t>19</w:t>
      </w:r>
      <w:r w:rsidR="00C41618">
        <w:t xml:space="preserve"> </w:t>
      </w:r>
      <w:r>
        <w:t xml:space="preserve">pandemic. </w:t>
      </w:r>
    </w:p>
    <w:p w14:paraId="7CF14683" w14:textId="7811768A" w:rsidR="007873A7" w:rsidRDefault="007873A7" w:rsidP="00525BE0">
      <w:pPr>
        <w:spacing w:line="360" w:lineRule="auto"/>
        <w:jc w:val="both"/>
      </w:pPr>
      <w:r>
        <w:t>Additionally, patient representatives were drawn from well informed local Healthwatch volunteers, board members or employees, which meant they could have had different perspectives from the general patient population. Lastly, use of our prior theory in constructing the retroductive coding framework could have biased the analysis in favour of identifying excerpts which would support our theory. However</w:t>
      </w:r>
      <w:r w:rsidR="00FA7588">
        <w:t>, we</w:t>
      </w:r>
      <w:r>
        <w:t xml:space="preserve"> attempted to mitigate this by being actively aware of this possibility during analysis.</w:t>
      </w:r>
    </w:p>
    <w:p w14:paraId="41C4B399" w14:textId="4532FD38" w:rsidR="007873A7" w:rsidRDefault="007873A7" w:rsidP="00525BE0">
      <w:pPr>
        <w:spacing w:line="360" w:lineRule="auto"/>
        <w:jc w:val="both"/>
      </w:pPr>
      <w:r>
        <w:t xml:space="preserve">While the present research sought to generate insights into what is considered a collaborative ‘outcome’ in both a realist and pragmatic sense (i.e., what outcomes do stakeholders desire from collaborating), it was nonetheless difficult to draw out causal connections between what was happening in local health systems and national system long-term effects on patient safety, quality, etc. This is perhaps due to the inherent complexity present in health systems and the significant length of the causal chain </w:t>
      </w:r>
      <w:r>
        <w:fldChar w:fldCharType="begin" w:fldLock="1"/>
      </w:r>
      <w:r w:rsidR="00EA4B53">
        <w:instrText>ADDIN CSL_CITATION {"citationItems":[{"id":"ITEM-1","itemData":{"DOI":"10.1007/s10551-018-3857-7","ISBN":"0123456789","ISSN":"15730697","abstract":"Systems change requires complex interventions. Cross-sector partnerships (CSPs) face the daunting task of addressing complex societal problems by aligning different backgrounds, values, ideas and resources. A major challenge for CSPs is how to link the type of partnership to the intervention needed to drive change. Intervention strategies are thereby increasingly based on Theories of Change (ToCs). Applying ToCs is often a donor requirement, but it also reflects the ambition of a partnership to enhance its transformative potential. The current use of ToCs in partnering efforts varies greatly. There is a tendency for a linear and relatively simple use of ToCs that does limited justice to the complexity of the problems partnerships aim to address. Since partnership dynamics are already complex and challenging themselves, confusion and disagreement over the appropriate application of ToCs is likely to hamper rather than enhance the transformative potential of partnerships. We develop a complexity alignment framework and a diagnostic tool that enables partnerships to better appreciate the complexity of the context in which they operate, allowing them to adjust their learning strategy. This paper applies recent insights into how to deal with complexity from both the evaluation and theory of change fields to studies investigating the transformative capacity of partnerships. This can (1) serve as a check to define the challenges of partnering projects and (2) can help delineate the societal sources and layers of complexity that cross-sector partnerships deal with such as failure, insufficient responsibility taking and collective action problems at four phases of partnering.","author":[{"dropping-particle":"","family":"Tulder","given":"Rob","non-dropping-particle":"van","parse-names":false,"suffix":""},{"dropping-particle":"","family":"Keen","given":"Nienke","non-dropping-particle":"","parse-names":false,"suffix":""}],"container-title":"Journal of Business Ethics","id":"ITEM-1","issue":"2","issued":{"date-parts":[["2018"]]},"page":"315-332","publisher":"Springer Netherlands","title":"Capturing Collaborative Challenges: Designing Complexity-Sensitive Theories of Change for Cross-Sector Partnerships","type":"article-journal","volume":"150"},"uris":["http://www.mendeley.com/documents/?uuid=acda5d1a-7722-4352-8ec8-be5d6d7fb209"]}],"mendeley":{"formattedCitation":"&lt;sup&gt;235&lt;/sup&gt;","plainTextFormattedCitation":"235","previouslyFormattedCitation":"&lt;sup&gt;235&lt;/sup&gt;"},"properties":{"noteIndex":0},"schema":"https://github.com/citation-style-language/schema/raw/master/csl-citation.json"}</w:instrText>
      </w:r>
      <w:r>
        <w:fldChar w:fldCharType="separate"/>
      </w:r>
      <w:r w:rsidR="00E25884" w:rsidRPr="00E25884">
        <w:rPr>
          <w:noProof/>
          <w:vertAlign w:val="superscript"/>
        </w:rPr>
        <w:t>235</w:t>
      </w:r>
      <w:r>
        <w:fldChar w:fldCharType="end"/>
      </w:r>
      <w:r>
        <w:t>. There is also significant overlap which is difficult to overcome in terms of what people expect from partnerships (i.e</w:t>
      </w:r>
      <w:r w:rsidR="00C11B46">
        <w:t>.</w:t>
      </w:r>
      <w:r>
        <w:t xml:space="preserve"> drivers and motivators) versus what actually results from them (outcomes), and it is not always clear to which patients or the literature are referring. We have attempted to mitigate this by analysing the mechanisms within ‘collaborative these often overlap, they are not necessarily the same. </w:t>
      </w:r>
    </w:p>
    <w:p w14:paraId="322AC4C2" w14:textId="77777777" w:rsidR="007873A7" w:rsidRDefault="007873A7" w:rsidP="00525BE0">
      <w:pPr>
        <w:pStyle w:val="Heading2"/>
        <w:spacing w:line="360" w:lineRule="auto"/>
        <w:jc w:val="both"/>
      </w:pPr>
      <w:bookmarkStart w:id="154" w:name="_Toc85066488"/>
      <w:r>
        <w:t>Theoretical limitations</w:t>
      </w:r>
      <w:bookmarkEnd w:id="154"/>
    </w:p>
    <w:p w14:paraId="2DCB0797" w14:textId="5EEFFD0D" w:rsidR="007873A7" w:rsidRPr="00331F93" w:rsidRDefault="007873A7" w:rsidP="00525BE0">
      <w:pPr>
        <w:spacing w:line="360" w:lineRule="auto"/>
        <w:jc w:val="both"/>
      </w:pPr>
      <w:bookmarkStart w:id="155" w:name="_Hlk105061344"/>
      <w:r>
        <w:t>Finally, depending on the level of analysis, it is possible to criticise the theory for not providing sufficient in-depth ana</w:t>
      </w:r>
      <w:r w:rsidR="00FA7588">
        <w:t>lysis.</w:t>
      </w:r>
      <w:r>
        <w:t xml:space="preserve"> As previously mentioned, </w:t>
      </w:r>
      <w:r w:rsidR="00FC1D12">
        <w:t>the analysis required a</w:t>
      </w:r>
      <w:r>
        <w:t xml:space="preserve"> relatively elevated level of abstraction in order to embrace multiple types of inter-organisational collaboration. </w:t>
      </w:r>
      <w:r w:rsidR="00FC1D12">
        <w:t>This was required in order to keep the</w:t>
      </w:r>
      <w:r>
        <w:t xml:space="preserve"> analysis process manageable and in many cases we did not have evidence for </w:t>
      </w:r>
      <w:r w:rsidR="00FC1D12">
        <w:t>the range of collaborative types</w:t>
      </w:r>
      <w:r>
        <w:t xml:space="preserve"> at this level o</w:t>
      </w:r>
      <w:r w:rsidR="00FA7588">
        <w:t xml:space="preserve">f </w:t>
      </w:r>
      <w:r>
        <w:t xml:space="preserve">depth. </w:t>
      </w:r>
      <w:r w:rsidR="000C27DE">
        <w:t xml:space="preserve">While novel in its contribution, our development of a realist theory for collaborative performance also requires development with further application. </w:t>
      </w:r>
      <w:r>
        <w:t xml:space="preserve">Nonetheless </w:t>
      </w:r>
      <w:r w:rsidR="00FC1D12">
        <w:t xml:space="preserve">we have </w:t>
      </w:r>
      <w:r>
        <w:t xml:space="preserve">signposted what and where </w:t>
      </w:r>
      <w:r w:rsidR="000C27DE">
        <w:t>future research on this topic is needed. Furthermore, our refinement of existing Realist theory in relation to IOCs provides researchers with further opportunities to interrogate different types of collaboration across different contexts.</w:t>
      </w:r>
      <w:r>
        <w:t xml:space="preserve"> </w:t>
      </w:r>
    </w:p>
    <w:bookmarkEnd w:id="155"/>
    <w:p w14:paraId="60EEFFC6" w14:textId="77777777" w:rsidR="007873A7" w:rsidRDefault="007873A7" w:rsidP="00525BE0">
      <w:pPr>
        <w:pStyle w:val="Heading1"/>
        <w:spacing w:line="360" w:lineRule="auto"/>
        <w:jc w:val="both"/>
      </w:pPr>
    </w:p>
    <w:p w14:paraId="4BD7398D" w14:textId="77777777" w:rsidR="007873A7" w:rsidRDefault="007873A7" w:rsidP="00525BE0">
      <w:pPr>
        <w:pStyle w:val="Heading1"/>
        <w:spacing w:line="360" w:lineRule="auto"/>
        <w:jc w:val="both"/>
      </w:pPr>
    </w:p>
    <w:p w14:paraId="1AC7C246" w14:textId="77777777" w:rsidR="007873A7" w:rsidRDefault="007873A7" w:rsidP="00525BE0">
      <w:pPr>
        <w:jc w:val="both"/>
      </w:pPr>
    </w:p>
    <w:p w14:paraId="7C74A80E" w14:textId="77777777" w:rsidR="007873A7" w:rsidRDefault="007873A7" w:rsidP="00525BE0">
      <w:pPr>
        <w:jc w:val="both"/>
      </w:pPr>
    </w:p>
    <w:p w14:paraId="22601CDF" w14:textId="77777777" w:rsidR="007873A7" w:rsidRDefault="007873A7" w:rsidP="00525BE0">
      <w:pPr>
        <w:jc w:val="both"/>
      </w:pPr>
    </w:p>
    <w:p w14:paraId="5C404D2F" w14:textId="77777777" w:rsidR="007873A7" w:rsidRDefault="007873A7" w:rsidP="00525BE0">
      <w:pPr>
        <w:jc w:val="both"/>
      </w:pPr>
    </w:p>
    <w:p w14:paraId="29DDEA6E" w14:textId="77777777" w:rsidR="007873A7" w:rsidRDefault="007873A7" w:rsidP="00525BE0">
      <w:pPr>
        <w:jc w:val="both"/>
      </w:pPr>
    </w:p>
    <w:p w14:paraId="41773615" w14:textId="77777777" w:rsidR="007873A7" w:rsidRDefault="007873A7" w:rsidP="00525BE0">
      <w:pPr>
        <w:jc w:val="both"/>
      </w:pPr>
    </w:p>
    <w:p w14:paraId="15629F58" w14:textId="650A2F37" w:rsidR="007873A7" w:rsidRDefault="007873A7" w:rsidP="00525BE0">
      <w:pPr>
        <w:jc w:val="both"/>
      </w:pPr>
    </w:p>
    <w:p w14:paraId="52C22D24" w14:textId="77777777" w:rsidR="00FC1D12" w:rsidRDefault="00FC1D12" w:rsidP="00525BE0">
      <w:pPr>
        <w:jc w:val="both"/>
      </w:pPr>
    </w:p>
    <w:p w14:paraId="07EC1F5D" w14:textId="3CD34FCD" w:rsidR="007873A7" w:rsidRDefault="007873A7" w:rsidP="00525BE0">
      <w:pPr>
        <w:jc w:val="both"/>
      </w:pPr>
    </w:p>
    <w:p w14:paraId="087BE404" w14:textId="77777777" w:rsidR="007873A7" w:rsidRDefault="007873A7" w:rsidP="00525BE0">
      <w:pPr>
        <w:jc w:val="both"/>
      </w:pPr>
    </w:p>
    <w:p w14:paraId="0D57B3E4" w14:textId="0CEAE1D3" w:rsidR="00523B0D" w:rsidRDefault="00523B0D" w:rsidP="00525BE0">
      <w:pPr>
        <w:pStyle w:val="Heading1"/>
        <w:spacing w:line="360" w:lineRule="auto"/>
        <w:jc w:val="both"/>
      </w:pPr>
      <w:bookmarkStart w:id="156" w:name="_Toc85066489"/>
      <w:r>
        <w:t>Chapter 8 Conclusion</w:t>
      </w:r>
      <w:r w:rsidR="00FA7588">
        <w:t xml:space="preserve"> and recommendations</w:t>
      </w:r>
      <w:bookmarkEnd w:id="156"/>
    </w:p>
    <w:p w14:paraId="789CEBAB" w14:textId="77777777" w:rsidR="00523B0D" w:rsidRDefault="00523B0D" w:rsidP="00525BE0">
      <w:pPr>
        <w:spacing w:line="360" w:lineRule="auto"/>
        <w:jc w:val="both"/>
      </w:pPr>
    </w:p>
    <w:p w14:paraId="370A0804" w14:textId="77777777" w:rsidR="00523B0D" w:rsidRDefault="00523B0D" w:rsidP="00525BE0">
      <w:pPr>
        <w:spacing w:line="360" w:lineRule="auto"/>
        <w:jc w:val="both"/>
      </w:pPr>
      <w:r>
        <w:t>This chapter concludes the report with an overview of how the project has accomplished its objectives. It also sets out recommendations for future research to support the development of IOCs between health care providers.</w:t>
      </w:r>
    </w:p>
    <w:p w14:paraId="16E255E6" w14:textId="77777777" w:rsidR="00523B0D" w:rsidRDefault="00523B0D" w:rsidP="00525BE0">
      <w:pPr>
        <w:spacing w:line="360" w:lineRule="auto"/>
        <w:jc w:val="both"/>
      </w:pPr>
    </w:p>
    <w:p w14:paraId="0406273C" w14:textId="77777777" w:rsidR="00523B0D" w:rsidRPr="000B6FF0" w:rsidRDefault="00523B0D" w:rsidP="00525BE0">
      <w:pPr>
        <w:pStyle w:val="Heading2"/>
        <w:spacing w:line="360" w:lineRule="auto"/>
        <w:jc w:val="both"/>
      </w:pPr>
      <w:bookmarkStart w:id="157" w:name="_Toc85066490"/>
      <w:r>
        <w:t>Achieving the research objectives</w:t>
      </w:r>
      <w:bookmarkEnd w:id="157"/>
    </w:p>
    <w:p w14:paraId="7B1BD1A1" w14:textId="77777777" w:rsidR="00523B0D" w:rsidRPr="000B6FF0" w:rsidRDefault="00523B0D" w:rsidP="00525BE0">
      <w:pPr>
        <w:spacing w:line="360" w:lineRule="auto"/>
        <w:jc w:val="both"/>
      </w:pPr>
    </w:p>
    <w:p w14:paraId="75460D76" w14:textId="4B5AD994" w:rsidR="00523B0D" w:rsidRPr="008704D5" w:rsidRDefault="00523B0D" w:rsidP="00D36079">
      <w:pPr>
        <w:keepNext/>
        <w:keepLines/>
        <w:numPr>
          <w:ilvl w:val="0"/>
          <w:numId w:val="12"/>
        </w:numPr>
        <w:spacing w:before="40" w:after="120" w:line="360" w:lineRule="auto"/>
        <w:jc w:val="both"/>
        <w:outlineLvl w:val="3"/>
        <w:rPr>
          <w:rFonts w:asciiTheme="majorHAnsi" w:eastAsiaTheme="majorEastAsia" w:hAnsiTheme="majorHAnsi" w:cstheme="majorBidi"/>
          <w:i/>
          <w:iCs/>
          <w:color w:val="2F5496" w:themeColor="accent1" w:themeShade="BF"/>
          <w:lang w:eastAsia="en-GB"/>
        </w:rPr>
      </w:pPr>
      <w:r>
        <w:rPr>
          <w:rFonts w:asciiTheme="majorHAnsi" w:eastAsiaTheme="majorEastAsia" w:hAnsiTheme="majorHAnsi" w:cstheme="majorBidi"/>
          <w:i/>
          <w:iCs/>
          <w:color w:val="2F5496" w:themeColor="accent1" w:themeShade="BF"/>
          <w:lang w:eastAsia="en-GB"/>
        </w:rPr>
        <w:t>To e</w:t>
      </w:r>
      <w:r w:rsidRPr="008704D5">
        <w:rPr>
          <w:rFonts w:asciiTheme="majorHAnsi" w:eastAsiaTheme="majorEastAsia" w:hAnsiTheme="majorHAnsi" w:cstheme="majorBidi"/>
          <w:i/>
          <w:iCs/>
          <w:color w:val="2F5496" w:themeColor="accent1" w:themeShade="BF"/>
          <w:lang w:eastAsia="en-GB"/>
        </w:rPr>
        <w:t xml:space="preserve">xplore the main strands of the literature about </w:t>
      </w:r>
      <w:r w:rsidR="00D36079" w:rsidRPr="00D36079">
        <w:rPr>
          <w:rFonts w:asciiTheme="majorHAnsi" w:eastAsiaTheme="majorEastAsia" w:hAnsiTheme="majorHAnsi" w:cstheme="majorBidi"/>
          <w:i/>
          <w:iCs/>
          <w:color w:val="2F5496" w:themeColor="accent1" w:themeShade="BF"/>
          <w:lang w:eastAsia="en-GB"/>
        </w:rPr>
        <w:t xml:space="preserve">inter-organisational collaboration </w:t>
      </w:r>
      <w:r w:rsidRPr="008704D5">
        <w:rPr>
          <w:rFonts w:asciiTheme="majorHAnsi" w:eastAsiaTheme="majorEastAsia" w:hAnsiTheme="majorHAnsi" w:cstheme="majorBidi"/>
          <w:i/>
          <w:iCs/>
          <w:color w:val="2F5496" w:themeColor="accent1" w:themeShade="BF"/>
          <w:lang w:eastAsia="en-GB"/>
        </w:rPr>
        <w:t>and identify the main theoretical and conceptual frameworks that can be used to shed light on the conditions and antecedents for effective partnering across sectors and stakeholders.</w:t>
      </w:r>
    </w:p>
    <w:p w14:paraId="1B7F715D" w14:textId="70C6E97D" w:rsidR="00523B0D" w:rsidRDefault="00523B0D" w:rsidP="00525BE0">
      <w:pPr>
        <w:spacing w:line="360" w:lineRule="auto"/>
        <w:jc w:val="both"/>
      </w:pPr>
      <w:r w:rsidRPr="008704D5">
        <w:t xml:space="preserve">This project has incorporated </w:t>
      </w:r>
      <w:r>
        <w:t xml:space="preserve">key conceptual </w:t>
      </w:r>
      <w:r w:rsidRPr="008704D5">
        <w:t xml:space="preserve">frameworks </w:t>
      </w:r>
      <w:r>
        <w:t>and theoretical perspectives that can be used to structure</w:t>
      </w:r>
      <w:r w:rsidRPr="008704D5">
        <w:t xml:space="preserve"> </w:t>
      </w:r>
      <w:r>
        <w:t>understanding</w:t>
      </w:r>
      <w:r w:rsidRPr="008704D5">
        <w:t xml:space="preserve"> </w:t>
      </w:r>
      <w:r>
        <w:t xml:space="preserve">and empirical investigation of </w:t>
      </w:r>
      <w:r w:rsidRPr="008704D5">
        <w:t>inter-org</w:t>
      </w:r>
      <w:r>
        <w:t xml:space="preserve">anisational collaboration. Partnership synergy theory </w:t>
      </w:r>
      <w:r w:rsidRPr="008704D5">
        <w:fldChar w:fldCharType="begin" w:fldLock="1"/>
      </w:r>
      <w:r w:rsidR="00EA4B53">
        <w:instrText>ADDIN CSL_CITATION {"citationItems":[{"id":"ITEM-1","itemData":{"DOI":"10.1186/s12939-018-0814-0","ISSN":"14759276","abstract":"Background: Current policy priorities to strengthen the nursing sector in India have focused on increasing the number of nurses in the health system. However, the nursing sector is afflicted by other, significant problems including the low status of nurses in the hierarchy of health care professionals, low salaries, and out-dated systems of professional governance, all affecting nurses' leadership potential and ability to perform. Stronger nurse leadership has the potential to support the achievement of health system goals, especially for strengthening of primary health care, which has been recognised and addressed in several other country contexts. This research study explores the process of policy agenda-setting for nurse leadership in India, and aims to identify the structural and systemic constraints in setting the agenda for policy reforms on the issue. Methods: Our methods included policy document review and expert interviews. We identified policy reforms proposed by different government appointed committees on issues concerning nurses' leadership and its progress. Experts' accounts were used to understand lack of progress in several nursing reform proposals and analysed using deductive thematic analysis for 'legitimacy', 'feasibility' and 'support', in line with Hall's agenda setting model. Results: The absence of quantifiable evidence on the nurse leadership crisis and treatment of nursing reforms as a 'second class' issue were found to negatively influence perceptions of the legitimacy of nurse leadership reform. Feasibility is affected by the lack of representation of nurses in key positions and the absence of a nurse-specific institution, which is seen as essential for creating visibility of the issues facing the profession, their processing and planning for policy solutions. Finally, participants noted the lack of strong support from nurses themselves for these policy reforms, which they attributed to social disempowerment, and lack of professional autonomy. Conclusions: The study emphasises that the nursing empowerment needs institutional reforms to facilitate nurse's distributed leadership across the health system and to enable their collective advocacy that questions the status quo and the structures that uphold it.","author":[{"dropping-particle":"","family":"Lasker","given":"Roz D","non-dropping-particle":"","parse-names":false,"suffix":""},{"dropping-particle":"","family":"Weiss","given":"Elisa S","non-dropping-particle":"","parse-names":false,"suffix":""},{"dropping-particle":"","family":"Miller","given":"Rebecca","non-dropping-particle":"","parse-names":false,"suffix":""}],"container-title":"The Milbank Quartlerly","id":"ITEM-1","issue":"2","issued":{"date-parts":[["2001"]]},"page":"179-205","title":"Partnership Synergy: A Practical Framework for Studying and Strengthening the Collaborative Advantage","type":"article-journal","volume":"79"},"uris":["http://www.mendeley.com/documents/?uuid=ae45cdd7-c520-4101-973e-97a60a59ff2f"]}],"mendeley":{"formattedCitation":"&lt;sup&gt;115&lt;/sup&gt;","plainTextFormattedCitation":"115","previouslyFormattedCitation":"&lt;sup&gt;115&lt;/sup&gt;"},"properties":{"noteIndex":0},"schema":"https://github.com/citation-style-language/schema/raw/master/csl-citation.json"}</w:instrText>
      </w:r>
      <w:r w:rsidRPr="008704D5">
        <w:fldChar w:fldCharType="separate"/>
      </w:r>
      <w:r w:rsidR="00E25884" w:rsidRPr="00E25884">
        <w:rPr>
          <w:noProof/>
          <w:vertAlign w:val="superscript"/>
        </w:rPr>
        <w:t>115</w:t>
      </w:r>
      <w:r w:rsidRPr="008704D5">
        <w:fldChar w:fldCharType="end"/>
      </w:r>
      <w:r>
        <w:t xml:space="preserve"> and Collaborative Performance (</w:t>
      </w:r>
      <w:r w:rsidRPr="008704D5">
        <w:fldChar w:fldCharType="begin" w:fldLock="1"/>
      </w:r>
      <w:r w:rsidR="00EA4B53">
        <w:instrText>ADDIN CSL_CITATION {"citationItems":[{"id":"ITEM-1","itemData":{"DOI":"10.1111/padm.12048","ISSN":"14679299","abstract":"Much of what has been written about collaboration treats it instrumentally as a means-ends tool of improvement. However, despite considerable collaborative activity there is little evidence that clearly links collaboration to improvements in service-user outcomes or reduced inequalities. In this article we draw on literature from critical public policy and governance studies to recast collaboration as an expression of cultural performance associated with a rather different set of values and measures. We argue that understanding collaboration in the round means that we need to pay attention to all dimensions of performance including cultural performance. We argue that this in turn helps to explain the persistent appeal of collaboration amongst policy makers and practitioners. © 2013 John Wiley &amp; Sons Ltd.","author":[{"dropping-particle":"","family":"Dickinson","given":"Helen","non-dropping-particle":"","parse-names":false,"suffix":""},{"dropping-particle":"","family":"Sullivan","given":"Helen","non-dropping-particle":"","parse-names":false,"suffix":""}],"container-title":"Public Administration","id":"ITEM-1","issue":"1","issued":{"date-parts":[["2014"]]},"page":"161-177","title":"Towards a general theory of collaborative performance: The importance of efficacy and agency","type":"article-journal","volume":"92"},"uris":["http://www.mendeley.com/documents/?uuid=4634c9cd-08ce-43d3-8271-9a9e3d4a1850"]}],"mendeley":{"formattedCitation":"&lt;sup&gt;48&lt;/sup&gt;","manualFormatting":"48)","plainTextFormattedCitation":"48","previouslyFormattedCitation":"&lt;sup&gt;48&lt;/sup&gt;"},"properties":{"noteIndex":0},"schema":"https://github.com/citation-style-language/schema/raw/master/csl-citation.json"}</w:instrText>
      </w:r>
      <w:r w:rsidRPr="008704D5">
        <w:fldChar w:fldCharType="separate"/>
      </w:r>
      <w:r w:rsidR="00E856AA">
        <w:rPr>
          <w:noProof/>
        </w:rPr>
        <w:t>48</w:t>
      </w:r>
      <w:r w:rsidRPr="008704D5">
        <w:rPr>
          <w:noProof/>
        </w:rPr>
        <w:t>)</w:t>
      </w:r>
      <w:r w:rsidRPr="008704D5">
        <w:fldChar w:fldCharType="end"/>
      </w:r>
      <w:r w:rsidRPr="008704D5">
        <w:t xml:space="preserve"> </w:t>
      </w:r>
      <w:r>
        <w:t xml:space="preserve"> informed the development of the</w:t>
      </w:r>
      <w:r w:rsidRPr="008704D5">
        <w:t xml:space="preserve"> middle-range theories</w:t>
      </w:r>
      <w:r>
        <w:t xml:space="preserve"> used in the Realist synthesis of evidence. The development of the initial rough theory identified a range of theoretical frameworks for understanding the formation and dynamics of IOCs over time, as</w:t>
      </w:r>
      <w:r w:rsidRPr="00263360">
        <w:t xml:space="preserve"> </w:t>
      </w:r>
      <w:r>
        <w:t xml:space="preserve">detailed </w:t>
      </w:r>
      <w:r w:rsidRPr="00263360">
        <w:t>in Chapter 2</w:t>
      </w:r>
      <w:r>
        <w:t>. O</w:t>
      </w:r>
      <w:r w:rsidRPr="008704D5">
        <w:t xml:space="preserve">ur realist review and refined theory </w:t>
      </w:r>
      <w:r>
        <w:t xml:space="preserve">has gathered </w:t>
      </w:r>
      <w:r w:rsidRPr="008704D5">
        <w:t xml:space="preserve">some of the foremost literature on </w:t>
      </w:r>
      <w:r>
        <w:t>IOCs</w:t>
      </w:r>
      <w:r w:rsidRPr="008704D5">
        <w:t xml:space="preserve"> </w:t>
      </w:r>
      <w:r>
        <w:t>in</w:t>
      </w:r>
      <w:r w:rsidRPr="008704D5">
        <w:t xml:space="preserve"> shed</w:t>
      </w:r>
      <w:r>
        <w:t>ding</w:t>
      </w:r>
      <w:r w:rsidRPr="008704D5">
        <w:t xml:space="preserve"> light on </w:t>
      </w:r>
      <w:r>
        <w:t xml:space="preserve">the </w:t>
      </w:r>
      <w:r w:rsidRPr="008704D5">
        <w:t>barriers, facilitators and other contextual elements impacting the process of collaboration.</w:t>
      </w:r>
    </w:p>
    <w:p w14:paraId="032CBC41" w14:textId="77777777" w:rsidR="00523B0D" w:rsidRPr="008704D5" w:rsidRDefault="00523B0D" w:rsidP="00525BE0">
      <w:pPr>
        <w:spacing w:line="360" w:lineRule="auto"/>
        <w:jc w:val="both"/>
      </w:pPr>
    </w:p>
    <w:p w14:paraId="663EB751" w14:textId="28AB4C33" w:rsidR="00523B0D" w:rsidRPr="008704D5" w:rsidRDefault="00523B0D" w:rsidP="00D36079">
      <w:pPr>
        <w:keepNext/>
        <w:keepLines/>
        <w:numPr>
          <w:ilvl w:val="0"/>
          <w:numId w:val="12"/>
        </w:numPr>
        <w:spacing w:before="40" w:after="120" w:line="360" w:lineRule="auto"/>
        <w:jc w:val="both"/>
        <w:outlineLvl w:val="3"/>
        <w:rPr>
          <w:rFonts w:asciiTheme="majorHAnsi" w:eastAsiaTheme="majorEastAsia" w:hAnsiTheme="majorHAnsi" w:cstheme="majorBidi"/>
          <w:i/>
          <w:iCs/>
          <w:color w:val="2F5496" w:themeColor="accent1" w:themeShade="BF"/>
          <w:lang w:eastAsia="en-GB"/>
        </w:rPr>
      </w:pPr>
      <w:r>
        <w:rPr>
          <w:rFonts w:asciiTheme="majorHAnsi" w:eastAsiaTheme="majorEastAsia" w:hAnsiTheme="majorHAnsi" w:cstheme="majorBidi"/>
          <w:i/>
          <w:iCs/>
          <w:color w:val="2F5496" w:themeColor="accent1" w:themeShade="BF"/>
          <w:lang w:eastAsia="en-GB"/>
        </w:rPr>
        <w:t>To a</w:t>
      </w:r>
      <w:r w:rsidRPr="008704D5">
        <w:rPr>
          <w:rFonts w:asciiTheme="majorHAnsi" w:eastAsiaTheme="majorEastAsia" w:hAnsiTheme="majorHAnsi" w:cstheme="majorBidi"/>
          <w:i/>
          <w:iCs/>
          <w:color w:val="2F5496" w:themeColor="accent1" w:themeShade="BF"/>
          <w:lang w:eastAsia="en-GB"/>
        </w:rPr>
        <w:t xml:space="preserve">ssess the empirical evidence with regards to how different </w:t>
      </w:r>
      <w:r w:rsidR="00D36079" w:rsidRPr="00D36079">
        <w:rPr>
          <w:rFonts w:asciiTheme="majorHAnsi" w:eastAsiaTheme="majorEastAsia" w:hAnsiTheme="majorHAnsi" w:cstheme="majorBidi"/>
          <w:i/>
          <w:iCs/>
          <w:color w:val="2F5496" w:themeColor="accent1" w:themeShade="BF"/>
          <w:lang w:eastAsia="en-GB"/>
        </w:rPr>
        <w:t xml:space="preserve">inter-organisational collaboration </w:t>
      </w:r>
      <w:r w:rsidRPr="008704D5">
        <w:rPr>
          <w:rFonts w:asciiTheme="majorHAnsi" w:eastAsiaTheme="majorEastAsia" w:hAnsiTheme="majorHAnsi" w:cstheme="majorBidi"/>
          <w:i/>
          <w:iCs/>
          <w:color w:val="2F5496" w:themeColor="accent1" w:themeShade="BF"/>
          <w:lang w:eastAsia="en-GB"/>
        </w:rPr>
        <w:t xml:space="preserve">practices may (or may not) lead to improved performance and outcomes. </w:t>
      </w:r>
    </w:p>
    <w:p w14:paraId="0F0B96FE" w14:textId="77777777" w:rsidR="00523B0D" w:rsidRDefault="00523B0D" w:rsidP="00525BE0">
      <w:pPr>
        <w:spacing w:line="360" w:lineRule="auto"/>
        <w:jc w:val="both"/>
      </w:pPr>
      <w:r>
        <w:t xml:space="preserve">Taken together, the review of the </w:t>
      </w:r>
      <w:r w:rsidRPr="008704D5">
        <w:t xml:space="preserve">literature and empirical </w:t>
      </w:r>
      <w:r>
        <w:t xml:space="preserve">work in this area has helped </w:t>
      </w:r>
      <w:r w:rsidRPr="008704D5">
        <w:t xml:space="preserve">to answer this question by </w:t>
      </w:r>
      <w:r>
        <w:t>providing valuable insights into the</w:t>
      </w:r>
      <w:r w:rsidRPr="008704D5">
        <w:t xml:space="preserve"> ‘black box’ of </w:t>
      </w:r>
      <w:r>
        <w:t>health care IOCs. Through an iterative process of gleaning and refining the</w:t>
      </w:r>
      <w:r w:rsidRPr="008704D5">
        <w:t xml:space="preserve"> causal chain </w:t>
      </w:r>
      <w:r>
        <w:t>IOCs, we have been able to generate novel insights into how</w:t>
      </w:r>
      <w:r w:rsidRPr="008704D5">
        <w:t xml:space="preserve"> day-to-day operations </w:t>
      </w:r>
      <w:r>
        <w:t>translate in</w:t>
      </w:r>
      <w:r w:rsidRPr="008704D5">
        <w:t xml:space="preserve">to more causal elements which </w:t>
      </w:r>
      <w:r>
        <w:t xml:space="preserve">in turn influence </w:t>
      </w:r>
      <w:r w:rsidRPr="008704D5">
        <w:t xml:space="preserve">how performance improvements </w:t>
      </w:r>
      <w:r>
        <w:t>area realised</w:t>
      </w:r>
      <w:r w:rsidRPr="008704D5">
        <w:t>. These included the core mechanisms driving collaborative behaviour, such as trust and confidence and their link to risk tolerance, as well as faith, and the contextual factors and occurrences which can</w:t>
      </w:r>
      <w:r>
        <w:t xml:space="preserve"> </w:t>
      </w:r>
      <w:r w:rsidRPr="008704D5">
        <w:t xml:space="preserve">undermine success. Likewise, our analysis of the collaborative behaviour to collaborative performance component of the causal chain </w:t>
      </w:r>
      <w:r>
        <w:t xml:space="preserve">gives rise to new insights into </w:t>
      </w:r>
      <w:r w:rsidRPr="008704D5">
        <w:rPr>
          <w:i/>
          <w:iCs/>
        </w:rPr>
        <w:t>how</w:t>
      </w:r>
      <w:r w:rsidRPr="008704D5">
        <w:t xml:space="preserve"> performance benefits</w:t>
      </w:r>
      <w:r>
        <w:t xml:space="preserve"> are achieved</w:t>
      </w:r>
      <w:r w:rsidRPr="008704D5">
        <w:t xml:space="preserve">. </w:t>
      </w:r>
    </w:p>
    <w:p w14:paraId="4AAC3C5B" w14:textId="77777777" w:rsidR="00523B0D" w:rsidRPr="008704D5" w:rsidRDefault="00523B0D" w:rsidP="00525BE0">
      <w:pPr>
        <w:spacing w:line="360" w:lineRule="auto"/>
        <w:jc w:val="both"/>
      </w:pPr>
    </w:p>
    <w:p w14:paraId="4C943DBC" w14:textId="2AB9BF88" w:rsidR="00523B0D" w:rsidRPr="008704D5" w:rsidRDefault="00523B0D" w:rsidP="00D36079">
      <w:pPr>
        <w:keepNext/>
        <w:keepLines/>
        <w:numPr>
          <w:ilvl w:val="0"/>
          <w:numId w:val="12"/>
        </w:numPr>
        <w:spacing w:before="40" w:after="120" w:line="360" w:lineRule="auto"/>
        <w:jc w:val="both"/>
        <w:outlineLvl w:val="3"/>
        <w:rPr>
          <w:rFonts w:asciiTheme="majorHAnsi" w:eastAsiaTheme="majorEastAsia" w:hAnsiTheme="majorHAnsi" w:cstheme="majorBidi"/>
          <w:i/>
          <w:iCs/>
          <w:color w:val="2F5496" w:themeColor="accent1" w:themeShade="BF"/>
          <w:lang w:eastAsia="en-GB"/>
        </w:rPr>
      </w:pPr>
      <w:r>
        <w:rPr>
          <w:rFonts w:asciiTheme="majorHAnsi" w:eastAsiaTheme="majorEastAsia" w:hAnsiTheme="majorHAnsi" w:cstheme="majorBidi"/>
          <w:i/>
          <w:iCs/>
          <w:color w:val="2F5496" w:themeColor="accent1" w:themeShade="BF"/>
          <w:lang w:eastAsia="en-GB"/>
        </w:rPr>
        <w:t>To u</w:t>
      </w:r>
      <w:r w:rsidRPr="008704D5">
        <w:rPr>
          <w:rFonts w:asciiTheme="majorHAnsi" w:eastAsiaTheme="majorEastAsia" w:hAnsiTheme="majorHAnsi" w:cstheme="majorBidi"/>
          <w:i/>
          <w:iCs/>
          <w:color w:val="2F5496" w:themeColor="accent1" w:themeShade="BF"/>
          <w:lang w:eastAsia="en-GB"/>
        </w:rPr>
        <w:t xml:space="preserve">nderstand and learn from NHS evidence users and other stakeholders about how and where </w:t>
      </w:r>
      <w:r w:rsidR="00D36079" w:rsidRPr="00D36079">
        <w:rPr>
          <w:rFonts w:asciiTheme="majorHAnsi" w:eastAsiaTheme="majorEastAsia" w:hAnsiTheme="majorHAnsi" w:cstheme="majorBidi"/>
          <w:i/>
          <w:iCs/>
          <w:color w:val="2F5496" w:themeColor="accent1" w:themeShade="BF"/>
          <w:lang w:eastAsia="en-GB"/>
        </w:rPr>
        <w:t xml:space="preserve">inter-organisational collaboration </w:t>
      </w:r>
      <w:r w:rsidRPr="008704D5">
        <w:rPr>
          <w:rFonts w:asciiTheme="majorHAnsi" w:eastAsiaTheme="majorEastAsia" w:hAnsiTheme="majorHAnsi" w:cstheme="majorBidi"/>
          <w:i/>
          <w:iCs/>
          <w:color w:val="2F5496" w:themeColor="accent1" w:themeShade="BF"/>
          <w:lang w:eastAsia="en-GB"/>
        </w:rPr>
        <w:t xml:space="preserve">can best be used as a mechanism to support turnaround processes. </w:t>
      </w:r>
    </w:p>
    <w:p w14:paraId="6E11247E" w14:textId="77777777" w:rsidR="00523B0D" w:rsidRDefault="00523B0D" w:rsidP="00525BE0">
      <w:pPr>
        <w:spacing w:line="360" w:lineRule="auto"/>
        <w:jc w:val="both"/>
      </w:pPr>
      <w:r>
        <w:t>Our stakeholder analysis incorporated a variety of perspectives from those with responsibility for leading IOCs, patient representatives, policy makers, regulators, and professional bodies</w:t>
      </w:r>
      <w:r w:rsidRPr="00431E7B">
        <w:t xml:space="preserve"> about how and where </w:t>
      </w:r>
      <w:r>
        <w:t>IOCs</w:t>
      </w:r>
      <w:r w:rsidRPr="00431E7B">
        <w:t xml:space="preserve"> can best be used as a mechanism to support </w:t>
      </w:r>
      <w:r>
        <w:t>performance improvement.</w:t>
      </w:r>
      <w:r w:rsidRPr="008704D5">
        <w:t xml:space="preserve"> The </w:t>
      </w:r>
      <w:r>
        <w:t xml:space="preserve">important role performed by our </w:t>
      </w:r>
      <w:r w:rsidRPr="008704D5">
        <w:t xml:space="preserve">advisory group </w:t>
      </w:r>
      <w:r>
        <w:t xml:space="preserve">should also be noted in terms of contributing valuable insights </w:t>
      </w:r>
      <w:r w:rsidRPr="008704D5">
        <w:t xml:space="preserve">throughout the project, </w:t>
      </w:r>
      <w:r>
        <w:t>including</w:t>
      </w:r>
      <w:r w:rsidRPr="008704D5">
        <w:t xml:space="preserve"> ‘sense-checking’ </w:t>
      </w:r>
      <w:r>
        <w:t xml:space="preserve">the </w:t>
      </w:r>
      <w:r w:rsidRPr="008704D5">
        <w:t>results and</w:t>
      </w:r>
      <w:r>
        <w:t xml:space="preserve"> ensuring the theory was understandable to end users. </w:t>
      </w:r>
    </w:p>
    <w:p w14:paraId="22B1F5C1" w14:textId="77777777" w:rsidR="00523B0D" w:rsidRDefault="00523B0D" w:rsidP="00525BE0">
      <w:pPr>
        <w:spacing w:line="360" w:lineRule="auto"/>
        <w:jc w:val="both"/>
      </w:pPr>
      <w:r>
        <w:t xml:space="preserve">These contributions have further refined our understanding of what works, for whom, and in what circumstances in relation to IOC. They draw attention to the various leadership qualities required, the capacity constraints and challenges being faced by NHS providers, the role of improvement methodologies, the importance of legitimacy and task complexity, as well as the significance of building confidence through contractual and compact ways of working. </w:t>
      </w:r>
    </w:p>
    <w:p w14:paraId="202DA9E2" w14:textId="77777777" w:rsidR="00523B0D" w:rsidRPr="008704D5" w:rsidRDefault="00523B0D" w:rsidP="00525BE0">
      <w:pPr>
        <w:spacing w:line="360" w:lineRule="auto"/>
        <w:jc w:val="both"/>
      </w:pPr>
    </w:p>
    <w:p w14:paraId="12DB027E" w14:textId="4142EE05" w:rsidR="00523B0D" w:rsidRPr="008704D5" w:rsidRDefault="00523B0D" w:rsidP="00D36079">
      <w:pPr>
        <w:keepNext/>
        <w:keepLines/>
        <w:numPr>
          <w:ilvl w:val="0"/>
          <w:numId w:val="12"/>
        </w:numPr>
        <w:spacing w:before="40" w:after="120" w:line="360" w:lineRule="auto"/>
        <w:jc w:val="both"/>
        <w:outlineLvl w:val="3"/>
        <w:rPr>
          <w:rFonts w:asciiTheme="majorHAnsi" w:eastAsiaTheme="majorEastAsia" w:hAnsiTheme="majorHAnsi" w:cstheme="majorBidi"/>
          <w:i/>
          <w:iCs/>
          <w:color w:val="2F5496" w:themeColor="accent1" w:themeShade="BF"/>
          <w:lang w:eastAsia="en-GB"/>
        </w:rPr>
      </w:pPr>
      <w:r w:rsidRPr="008704D5">
        <w:rPr>
          <w:rFonts w:asciiTheme="majorHAnsi" w:eastAsiaTheme="majorEastAsia" w:hAnsiTheme="majorHAnsi" w:cstheme="majorBidi"/>
          <w:i/>
          <w:iCs/>
          <w:color w:val="2F5496" w:themeColor="accent1" w:themeShade="BF"/>
          <w:lang w:eastAsia="en-GB"/>
        </w:rPr>
        <w:t xml:space="preserve">Develop a typology of </w:t>
      </w:r>
      <w:r w:rsidR="00D36079" w:rsidRPr="00D36079">
        <w:rPr>
          <w:rFonts w:asciiTheme="majorHAnsi" w:eastAsiaTheme="majorEastAsia" w:hAnsiTheme="majorHAnsi" w:cstheme="majorBidi"/>
          <w:i/>
          <w:iCs/>
          <w:color w:val="2F5496" w:themeColor="accent1" w:themeShade="BF"/>
          <w:lang w:eastAsia="en-GB"/>
        </w:rPr>
        <w:t xml:space="preserve">inter-organisational collaboration </w:t>
      </w:r>
      <w:r w:rsidRPr="008704D5">
        <w:rPr>
          <w:rFonts w:asciiTheme="majorHAnsi" w:eastAsiaTheme="majorEastAsia" w:hAnsiTheme="majorHAnsi" w:cstheme="majorBidi"/>
          <w:i/>
          <w:iCs/>
          <w:color w:val="2F5496" w:themeColor="accent1" w:themeShade="BF"/>
          <w:lang w:eastAsia="en-GB"/>
        </w:rPr>
        <w:t xml:space="preserve">that considers different types and scales of collaborative ventures that are appropriate for particular NHS provider contexts </w:t>
      </w:r>
    </w:p>
    <w:p w14:paraId="76FB68DF" w14:textId="19F85227" w:rsidR="00523B0D" w:rsidRDefault="00523B0D" w:rsidP="00525BE0">
      <w:pPr>
        <w:spacing w:line="360" w:lineRule="auto"/>
        <w:jc w:val="both"/>
      </w:pPr>
      <w:r w:rsidRPr="008704D5">
        <w:t xml:space="preserve">Our </w:t>
      </w:r>
      <w:r>
        <w:t xml:space="preserve">research identified how </w:t>
      </w:r>
      <w:r w:rsidRPr="008704D5">
        <w:t xml:space="preserve">typologies of </w:t>
      </w:r>
      <w:r>
        <w:t>collaboration,</w:t>
      </w:r>
      <w:r w:rsidRPr="008704D5">
        <w:t xml:space="preserve"> and </w:t>
      </w:r>
      <w:r>
        <w:t xml:space="preserve">the extent to which the </w:t>
      </w:r>
      <w:r w:rsidRPr="00263360">
        <w:t xml:space="preserve">conditions and antecedents for effective partnering </w:t>
      </w:r>
      <w:r>
        <w:t xml:space="preserve">are </w:t>
      </w:r>
      <w:r w:rsidR="006846ED">
        <w:t>influenced and</w:t>
      </w:r>
      <w:r>
        <w:t xml:space="preserve"> can be shaped by</w:t>
      </w:r>
      <w:r w:rsidRPr="008704D5">
        <w:t xml:space="preserve"> </w:t>
      </w:r>
      <w:r>
        <w:t xml:space="preserve">the </w:t>
      </w:r>
      <w:r w:rsidRPr="008704D5">
        <w:t>degree of integration</w:t>
      </w:r>
      <w:r>
        <w:t xml:space="preserve"> associated with the collaborative endeavour</w:t>
      </w:r>
      <w:r w:rsidRPr="008704D5">
        <w:t xml:space="preserve">. </w:t>
      </w:r>
      <w:r>
        <w:t>Other</w:t>
      </w:r>
      <w:r w:rsidRPr="008704D5">
        <w:t xml:space="preserve"> factors were equally important </w:t>
      </w:r>
      <w:r>
        <w:t>in terms of</w:t>
      </w:r>
      <w:r w:rsidRPr="008704D5">
        <w:t xml:space="preserve"> whether </w:t>
      </w:r>
      <w:r>
        <w:t>the IOC entered into was</w:t>
      </w:r>
      <w:r w:rsidRPr="008704D5">
        <w:t xml:space="preserve"> </w:t>
      </w:r>
      <w:r>
        <w:t xml:space="preserve">either </w:t>
      </w:r>
      <w:r w:rsidRPr="008704D5">
        <w:t xml:space="preserve">voluntary or mandated. These key characteristics informed the rest of our theoretical development and </w:t>
      </w:r>
      <w:r>
        <w:t xml:space="preserve">the </w:t>
      </w:r>
      <w:r w:rsidRPr="008704D5">
        <w:t xml:space="preserve">key mechanisms </w:t>
      </w:r>
      <w:r>
        <w:t xml:space="preserve">we identified </w:t>
      </w:r>
      <w:r w:rsidRPr="008704D5">
        <w:t xml:space="preserve">such as the </w:t>
      </w:r>
      <w:r>
        <w:t xml:space="preserve">conception </w:t>
      </w:r>
      <w:r w:rsidRPr="008704D5">
        <w:t>of the confidence versus trust spectrum</w:t>
      </w:r>
      <w:r>
        <w:t xml:space="preserve">, the </w:t>
      </w:r>
      <w:r w:rsidRPr="008704D5">
        <w:t>degree of integration</w:t>
      </w:r>
      <w:r>
        <w:t xml:space="preserve"> associated with different types of collaboration,</w:t>
      </w:r>
      <w:r w:rsidRPr="008704D5">
        <w:t xml:space="preserve"> and whether </w:t>
      </w:r>
      <w:r>
        <w:t xml:space="preserve">or not </w:t>
      </w:r>
      <w:r w:rsidRPr="008704D5">
        <w:t xml:space="preserve">the collaboration is mandated. </w:t>
      </w:r>
    </w:p>
    <w:p w14:paraId="25F32FB2" w14:textId="5AB6C35D" w:rsidR="00523B0D" w:rsidRDefault="00523B0D" w:rsidP="00525BE0">
      <w:pPr>
        <w:spacing w:line="360" w:lineRule="auto"/>
        <w:jc w:val="both"/>
      </w:pPr>
      <w:r>
        <w:t>Given</w:t>
      </w:r>
      <w:r w:rsidRPr="008704D5">
        <w:t xml:space="preserve"> the shifting </w:t>
      </w:r>
      <w:r>
        <w:t xml:space="preserve">policy </w:t>
      </w:r>
      <w:r w:rsidRPr="008704D5">
        <w:t xml:space="preserve">agenda </w:t>
      </w:r>
      <w:r>
        <w:t>during the lifetime of the project</w:t>
      </w:r>
      <w:r w:rsidRPr="008704D5">
        <w:t>,</w:t>
      </w:r>
      <w:r>
        <w:t xml:space="preserve"> as well as the onset of </w:t>
      </w:r>
      <w:r w:rsidR="00B02293">
        <w:t>C</w:t>
      </w:r>
      <w:r w:rsidR="00C41618">
        <w:t>ovid-</w:t>
      </w:r>
      <w:r w:rsidR="00857277">
        <w:t>19</w:t>
      </w:r>
      <w:r>
        <w:t>, our stakeholder analysis made sense of these different types and scales of collaboration</w:t>
      </w:r>
      <w:r w:rsidRPr="008704D5">
        <w:t xml:space="preserve"> </w:t>
      </w:r>
      <w:r>
        <w:t xml:space="preserve">within the context of the ICS landscape and the role of IOCs in </w:t>
      </w:r>
      <w:r w:rsidRPr="008704D5">
        <w:t xml:space="preserve">improving population health. </w:t>
      </w:r>
    </w:p>
    <w:p w14:paraId="7D797CBA" w14:textId="77777777" w:rsidR="00523B0D" w:rsidRPr="008704D5" w:rsidRDefault="00523B0D" w:rsidP="00525BE0">
      <w:pPr>
        <w:spacing w:line="360" w:lineRule="auto"/>
        <w:jc w:val="both"/>
      </w:pPr>
    </w:p>
    <w:p w14:paraId="38B2ED32" w14:textId="4BDE0454" w:rsidR="00523B0D" w:rsidRPr="008704D5" w:rsidRDefault="00523B0D" w:rsidP="00D36079">
      <w:pPr>
        <w:keepNext/>
        <w:keepLines/>
        <w:numPr>
          <w:ilvl w:val="0"/>
          <w:numId w:val="12"/>
        </w:numPr>
        <w:spacing w:before="40" w:after="120" w:line="360" w:lineRule="auto"/>
        <w:jc w:val="both"/>
        <w:outlineLvl w:val="3"/>
        <w:rPr>
          <w:rFonts w:asciiTheme="majorHAnsi" w:eastAsiaTheme="majorEastAsia" w:hAnsiTheme="majorHAnsi" w:cstheme="majorBidi"/>
          <w:i/>
          <w:iCs/>
          <w:color w:val="2F5496" w:themeColor="accent1" w:themeShade="BF"/>
          <w:lang w:eastAsia="en-GB"/>
        </w:rPr>
      </w:pPr>
      <w:r w:rsidRPr="008704D5">
        <w:rPr>
          <w:rFonts w:asciiTheme="majorHAnsi" w:eastAsiaTheme="majorEastAsia" w:hAnsiTheme="majorHAnsi" w:cstheme="majorBidi"/>
          <w:i/>
          <w:iCs/>
          <w:color w:val="2F5496" w:themeColor="accent1" w:themeShade="BF"/>
          <w:lang w:eastAsia="en-GB"/>
        </w:rPr>
        <w:t xml:space="preserve">To develop evidence informed practical guidance for NHS providers, policy makers and others with responsibility for implementing and assessing </w:t>
      </w:r>
      <w:r w:rsidR="00D36079" w:rsidRPr="00D36079">
        <w:rPr>
          <w:rFonts w:asciiTheme="majorHAnsi" w:eastAsiaTheme="majorEastAsia" w:hAnsiTheme="majorHAnsi" w:cstheme="majorBidi"/>
          <w:i/>
          <w:iCs/>
          <w:color w:val="2F5496" w:themeColor="accent1" w:themeShade="BF"/>
          <w:lang w:eastAsia="en-GB"/>
        </w:rPr>
        <w:t xml:space="preserve">inter-organisational collaboration </w:t>
      </w:r>
      <w:r w:rsidRPr="008704D5">
        <w:rPr>
          <w:rFonts w:asciiTheme="majorHAnsi" w:eastAsiaTheme="majorEastAsia" w:hAnsiTheme="majorHAnsi" w:cstheme="majorBidi"/>
          <w:i/>
          <w:iCs/>
          <w:color w:val="2F5496" w:themeColor="accent1" w:themeShade="BF"/>
          <w:lang w:eastAsia="en-GB"/>
        </w:rPr>
        <w:t>arrangements in the NHS.</w:t>
      </w:r>
    </w:p>
    <w:p w14:paraId="43427A4B" w14:textId="667471D1" w:rsidR="00523B0D" w:rsidRDefault="00523B0D" w:rsidP="00525BE0">
      <w:pPr>
        <w:spacing w:line="360" w:lineRule="auto"/>
        <w:jc w:val="both"/>
      </w:pPr>
      <w:r>
        <w:t xml:space="preserve">Our review has sought to translate our </w:t>
      </w:r>
      <w:r w:rsidRPr="008704D5">
        <w:t>findings into</w:t>
      </w:r>
      <w:r>
        <w:t xml:space="preserve"> practical guidance. This included the development of</w:t>
      </w:r>
      <w:r w:rsidRPr="008704D5">
        <w:t xml:space="preserve"> ‘if… then…</w:t>
      </w:r>
      <w:r>
        <w:t xml:space="preserve"> because’ statements, the development of a</w:t>
      </w:r>
      <w:r w:rsidRPr="008704D5">
        <w:t xml:space="preserve"> </w:t>
      </w:r>
      <w:r>
        <w:t xml:space="preserve">collaboration </w:t>
      </w:r>
      <w:r w:rsidRPr="008704D5">
        <w:t xml:space="preserve">maturity matrix, </w:t>
      </w:r>
      <w:r>
        <w:t xml:space="preserve">and a diagnostic survey to understand collaboration readiness and progression. </w:t>
      </w:r>
      <w:r w:rsidRPr="008704D5">
        <w:t xml:space="preserve">These tools </w:t>
      </w:r>
      <w:r>
        <w:t>translate our review findings into applications in practice. The initial pilot</w:t>
      </w:r>
      <w:r w:rsidRPr="008704D5">
        <w:t xml:space="preserve"> </w:t>
      </w:r>
      <w:r>
        <w:t>of our collaboration diagnostic survey</w:t>
      </w:r>
      <w:r w:rsidRPr="008704D5">
        <w:t xml:space="preserve"> </w:t>
      </w:r>
      <w:r>
        <w:t xml:space="preserve">with a </w:t>
      </w:r>
      <w:r w:rsidRPr="008704D5">
        <w:t>Mental Health Provider collaborative</w:t>
      </w:r>
      <w:r>
        <w:t xml:space="preserve"> provided valuable results and is informing how this collaborative is being developed</w:t>
      </w:r>
      <w:r w:rsidRPr="008704D5">
        <w:t xml:space="preserve">. </w:t>
      </w:r>
      <w:r>
        <w:t>Further testing</w:t>
      </w:r>
      <w:r w:rsidRPr="008704D5">
        <w:t xml:space="preserve"> </w:t>
      </w:r>
      <w:r>
        <w:t>and refining of the survey</w:t>
      </w:r>
      <w:r w:rsidR="00AD0B7F">
        <w:t xml:space="preserve"> </w:t>
      </w:r>
      <w:r w:rsidR="006846ED">
        <w:t>are</w:t>
      </w:r>
      <w:r w:rsidR="00AD0B7F">
        <w:t xml:space="preserve"> needed</w:t>
      </w:r>
      <w:r>
        <w:t xml:space="preserve"> </w:t>
      </w:r>
      <w:r w:rsidRPr="008704D5">
        <w:t xml:space="preserve">to ensure applicability </w:t>
      </w:r>
      <w:r>
        <w:t>across</w:t>
      </w:r>
      <w:r w:rsidRPr="008704D5">
        <w:t xml:space="preserve"> a variety of inter-organisational collaborative </w:t>
      </w:r>
      <w:r>
        <w:t>settings</w:t>
      </w:r>
      <w:r w:rsidRPr="008704D5">
        <w:t xml:space="preserve"> a</w:t>
      </w:r>
      <w:r>
        <w:t>nd to improve internal validity</w:t>
      </w:r>
      <w:r w:rsidR="00AD0B7F">
        <w:t>.</w:t>
      </w:r>
    </w:p>
    <w:p w14:paraId="685A74FF" w14:textId="77777777" w:rsidR="00523B0D" w:rsidRPr="008704D5" w:rsidRDefault="00523B0D" w:rsidP="00525BE0">
      <w:pPr>
        <w:spacing w:line="360" w:lineRule="auto"/>
        <w:jc w:val="both"/>
      </w:pPr>
    </w:p>
    <w:p w14:paraId="71474E19" w14:textId="77777777" w:rsidR="00523B0D" w:rsidRPr="00CF144D" w:rsidRDefault="00523B0D" w:rsidP="00525BE0">
      <w:pPr>
        <w:keepNext/>
        <w:keepLines/>
        <w:spacing w:before="240" w:after="0" w:line="360" w:lineRule="auto"/>
        <w:jc w:val="both"/>
        <w:outlineLvl w:val="0"/>
        <w:rPr>
          <w:rFonts w:asciiTheme="majorHAnsi" w:eastAsiaTheme="majorEastAsia" w:hAnsiTheme="majorHAnsi" w:cstheme="majorBidi"/>
          <w:color w:val="2F5496" w:themeColor="accent1" w:themeShade="BF"/>
          <w:sz w:val="32"/>
          <w:szCs w:val="32"/>
        </w:rPr>
      </w:pPr>
      <w:bookmarkStart w:id="158" w:name="_Toc85066491"/>
      <w:r w:rsidRPr="00CF144D">
        <w:rPr>
          <w:rFonts w:asciiTheme="majorHAnsi" w:eastAsiaTheme="majorEastAsia" w:hAnsiTheme="majorHAnsi" w:cstheme="majorBidi"/>
          <w:color w:val="2F5496" w:themeColor="accent1" w:themeShade="BF"/>
          <w:sz w:val="32"/>
          <w:szCs w:val="32"/>
        </w:rPr>
        <w:t>Future research directions</w:t>
      </w:r>
      <w:bookmarkEnd w:id="158"/>
    </w:p>
    <w:p w14:paraId="578C11C3" w14:textId="77777777" w:rsidR="00523B0D" w:rsidRDefault="00523B0D" w:rsidP="00525BE0">
      <w:pPr>
        <w:spacing w:line="360" w:lineRule="auto"/>
        <w:contextualSpacing/>
        <w:jc w:val="both"/>
      </w:pPr>
    </w:p>
    <w:p w14:paraId="33924945" w14:textId="77777777" w:rsidR="00523B0D" w:rsidRDefault="00523B0D" w:rsidP="00525BE0">
      <w:pPr>
        <w:spacing w:line="360" w:lineRule="auto"/>
        <w:jc w:val="both"/>
      </w:pPr>
      <w:r>
        <w:t xml:space="preserve">A range of theoretical, empirical, and policy implications arise from this research. Specific issues that warrant further consideration and investigation, include: </w:t>
      </w:r>
    </w:p>
    <w:p w14:paraId="0E11B755" w14:textId="7AE05B8A" w:rsidR="00523B0D" w:rsidRDefault="00523B0D" w:rsidP="00525BE0">
      <w:pPr>
        <w:pStyle w:val="ListParagraph"/>
        <w:numPr>
          <w:ilvl w:val="0"/>
          <w:numId w:val="22"/>
        </w:numPr>
        <w:spacing w:after="200" w:line="360" w:lineRule="auto"/>
        <w:jc w:val="both"/>
      </w:pPr>
      <w:r>
        <w:t>We call for a</w:t>
      </w:r>
      <w:r w:rsidRPr="00743753">
        <w:t xml:space="preserve"> more inclusive sampling strategy to further refine our theory and better articulate what is working ‘for whom’ </w:t>
      </w:r>
      <w:r>
        <w:t>in relation to IOCs</w:t>
      </w:r>
      <w:r w:rsidRPr="00743753">
        <w:t>.</w:t>
      </w:r>
      <w:r>
        <w:t xml:space="preserve"> Where much of the analysis of IOCs has captured the experiences, processes, and outcomes from the perspective of those leading programmes and initiatives, further research is needed to gather workforce perspectives </w:t>
      </w:r>
      <w:r w:rsidR="004C30E7">
        <w:t>regarding</w:t>
      </w:r>
      <w:r>
        <w:t xml:space="preserve"> how new processes are understood and operationalised, and how IOCs shape patient and user interactions. </w:t>
      </w:r>
    </w:p>
    <w:p w14:paraId="58B2F47F" w14:textId="77777777" w:rsidR="00523B0D" w:rsidRDefault="00523B0D" w:rsidP="00525BE0">
      <w:pPr>
        <w:pStyle w:val="ListParagraph"/>
        <w:numPr>
          <w:ilvl w:val="0"/>
          <w:numId w:val="22"/>
        </w:numPr>
        <w:spacing w:after="200" w:line="360" w:lineRule="auto"/>
        <w:jc w:val="both"/>
      </w:pPr>
      <w:r>
        <w:t>Our research breaks new ground with the inclusion of patient representatives regarding IOCs, yet further research is required to better grasp how IOCs can engage and improve population health drawing on principles of co-design and co-production.</w:t>
      </w:r>
    </w:p>
    <w:p w14:paraId="645A83F3" w14:textId="62B6EFD3" w:rsidR="00523B0D" w:rsidRDefault="00523B0D" w:rsidP="00525BE0">
      <w:pPr>
        <w:pStyle w:val="ListParagraph"/>
        <w:numPr>
          <w:ilvl w:val="0"/>
          <w:numId w:val="22"/>
        </w:numPr>
        <w:spacing w:after="200" w:line="360" w:lineRule="auto"/>
        <w:jc w:val="both"/>
      </w:pPr>
      <w:r>
        <w:t xml:space="preserve">The </w:t>
      </w:r>
      <w:r w:rsidR="00A30217">
        <w:t xml:space="preserve">Covid-19 </w:t>
      </w:r>
      <w:r>
        <w:t>pandemic raises</w:t>
      </w:r>
      <w:r w:rsidRPr="00CF144D">
        <w:t xml:space="preserve"> a number of implications for </w:t>
      </w:r>
      <w:r>
        <w:t xml:space="preserve">the future of IOCs. Our research identifies how the pandemic has been a driver for activity where a central feature has been the use of digital platforms for communication. These </w:t>
      </w:r>
      <w:r w:rsidRPr="00CF144D">
        <w:t xml:space="preserve">communication methods </w:t>
      </w:r>
      <w:r>
        <w:t xml:space="preserve">have proved invaluable, yet clear limits to </w:t>
      </w:r>
      <w:r w:rsidRPr="00CF144D">
        <w:t xml:space="preserve">‘interpersonal communication’ </w:t>
      </w:r>
      <w:r>
        <w:t xml:space="preserve">can be identified. Learning from our review, such contexts are likely to have a </w:t>
      </w:r>
      <w:r w:rsidRPr="00CF144D">
        <w:t xml:space="preserve">negative impact </w:t>
      </w:r>
      <w:r>
        <w:t>on</w:t>
      </w:r>
      <w:r w:rsidRPr="00CF144D">
        <w:t xml:space="preserve"> the ability to build trust</w:t>
      </w:r>
      <w:r>
        <w:t xml:space="preserve"> and generate the informal relationships</w:t>
      </w:r>
      <w:r w:rsidRPr="00CF144D">
        <w:t>.</w:t>
      </w:r>
      <w:r>
        <w:t xml:space="preserve"> Further research is therefore needed into digital platforms and their role in facilitating collaboration. </w:t>
      </w:r>
    </w:p>
    <w:p w14:paraId="7F84FCFB" w14:textId="40ED2350" w:rsidR="00523B0D" w:rsidRDefault="00523B0D" w:rsidP="00525BE0">
      <w:pPr>
        <w:pStyle w:val="ListParagraph"/>
        <w:numPr>
          <w:ilvl w:val="0"/>
          <w:numId w:val="22"/>
        </w:numPr>
        <w:spacing w:after="200" w:line="360" w:lineRule="auto"/>
        <w:jc w:val="both"/>
      </w:pPr>
      <w:r w:rsidRPr="00CF144D">
        <w:t xml:space="preserve">Further research </w:t>
      </w:r>
      <w:r>
        <w:t>is needed to</w:t>
      </w:r>
      <w:r w:rsidRPr="00CF144D">
        <w:t xml:space="preserve"> investigate the applicability and adaptability </w:t>
      </w:r>
      <w:r>
        <w:t xml:space="preserve">of </w:t>
      </w:r>
      <w:r w:rsidR="006846ED" w:rsidRPr="00CF144D">
        <w:t>several</w:t>
      </w:r>
      <w:r w:rsidRPr="00CF144D">
        <w:t xml:space="preserve"> elements </w:t>
      </w:r>
      <w:r>
        <w:t>raised by</w:t>
      </w:r>
      <w:r w:rsidRPr="00CF144D">
        <w:t xml:space="preserve"> this project, such as the roles of faith, trust, and other mechanisms, in </w:t>
      </w:r>
      <w:r>
        <w:t>the formation and maintenance of</w:t>
      </w:r>
      <w:r w:rsidRPr="00CF144D">
        <w:t xml:space="preserve"> place-based partnerships. </w:t>
      </w:r>
      <w:r w:rsidR="00FA7588">
        <w:t xml:space="preserve">Learning from other national contexts could facilitate such efforts, with further comparative studies of IOCs </w:t>
      </w:r>
      <w:r w:rsidR="0098370A">
        <w:t>from across</w:t>
      </w:r>
      <w:r w:rsidR="00FA7588">
        <w:t xml:space="preserve"> the UK and beyond.</w:t>
      </w:r>
    </w:p>
    <w:p w14:paraId="2BEA251E" w14:textId="131247C7" w:rsidR="00523B0D" w:rsidRDefault="00523B0D" w:rsidP="00525BE0">
      <w:pPr>
        <w:pStyle w:val="ListParagraph"/>
        <w:numPr>
          <w:ilvl w:val="0"/>
          <w:numId w:val="22"/>
        </w:numPr>
        <w:spacing w:after="200" w:line="360" w:lineRule="auto"/>
        <w:jc w:val="both"/>
      </w:pPr>
      <w:r>
        <w:t>Building on our realist theory of collaborative performance, further</w:t>
      </w:r>
      <w:r w:rsidRPr="00CF144D">
        <w:t xml:space="preserve"> research is needed to disentangle</w:t>
      </w:r>
      <w:r>
        <w:t xml:space="preserve"> the </w:t>
      </w:r>
      <w:r w:rsidRPr="00CF144D">
        <w:t>motivators and drivers from</w:t>
      </w:r>
      <w:r>
        <w:t xml:space="preserve"> the</w:t>
      </w:r>
      <w:r w:rsidRPr="00CF144D">
        <w:t xml:space="preserve"> ‘outcomes’</w:t>
      </w:r>
      <w:r>
        <w:t xml:space="preserve"> associated with IOCs. Such research resonates with a policy landscape placing greater emphasis on measuring </w:t>
      </w:r>
      <w:r w:rsidR="004969EF">
        <w:t xml:space="preserve">the </w:t>
      </w:r>
      <w:r>
        <w:t>outcomes and social value generated from collaborative working.</w:t>
      </w:r>
    </w:p>
    <w:p w14:paraId="509EB428" w14:textId="174CAF95" w:rsidR="00523B0D" w:rsidRDefault="00523B0D" w:rsidP="00525BE0">
      <w:pPr>
        <w:pStyle w:val="ListParagraph"/>
        <w:numPr>
          <w:ilvl w:val="0"/>
          <w:numId w:val="22"/>
        </w:numPr>
        <w:spacing w:after="200" w:line="360" w:lineRule="auto"/>
        <w:jc w:val="both"/>
      </w:pPr>
      <w:r>
        <w:t>Where our review has focused on the perspectives and implications of IOCs for NHS providers in England, f</w:t>
      </w:r>
      <w:r w:rsidRPr="00BB0AD4">
        <w:t>urther research is needed to critically engage with alternative partnership activities taking place within current policy agendas.</w:t>
      </w:r>
      <w:r>
        <w:t xml:space="preserve"> Greater attention to the role of </w:t>
      </w:r>
      <w:r w:rsidRPr="00CF144D">
        <w:t>public/private partnerships</w:t>
      </w:r>
      <w:r>
        <w:t xml:space="preserve"> is called</w:t>
      </w:r>
      <w:r w:rsidR="00AD0B7F">
        <w:t xml:space="preserve"> for</w:t>
      </w:r>
      <w:r>
        <w:t>,</w:t>
      </w:r>
      <w:r w:rsidRPr="00CF144D">
        <w:t xml:space="preserve"> and </w:t>
      </w:r>
      <w:r w:rsidR="00FC3B03">
        <w:t xml:space="preserve">more analysis of </w:t>
      </w:r>
      <w:r>
        <w:t>the role of the p</w:t>
      </w:r>
      <w:r w:rsidR="00FA7588">
        <w:t xml:space="preserve">rivate sector more specifically, </w:t>
      </w:r>
      <w:r>
        <w:t xml:space="preserve">within collaboration and integration initiatives. The place and positioning of social care within the IOC agenda also </w:t>
      </w:r>
      <w:r w:rsidR="00322060">
        <w:t>require</w:t>
      </w:r>
      <w:r>
        <w:t xml:space="preserve"> further development</w:t>
      </w:r>
      <w:r w:rsidR="006846ED">
        <w:t>, as does the role of the third sector and how these organisations intersect within the IOC landscape.</w:t>
      </w:r>
    </w:p>
    <w:p w14:paraId="2E52A29A" w14:textId="3008C4D3" w:rsidR="00523B0D" w:rsidRDefault="006846ED" w:rsidP="00BC34A8">
      <w:pPr>
        <w:pStyle w:val="ListParagraph"/>
        <w:numPr>
          <w:ilvl w:val="0"/>
          <w:numId w:val="22"/>
        </w:numPr>
        <w:spacing w:after="200" w:line="360" w:lineRule="auto"/>
        <w:jc w:val="both"/>
      </w:pPr>
      <w:r>
        <w:t xml:space="preserve">The role of regulation is crucial to developing different types and scales of IOCs. </w:t>
      </w:r>
      <w:r w:rsidR="00322060">
        <w:t xml:space="preserve">Yet our understanding of regulatory functions and levers is relatively underdeveloped. </w:t>
      </w:r>
      <w:r w:rsidR="00523B0D">
        <w:t xml:space="preserve">A review of regulatory models and perspectives </w:t>
      </w:r>
      <w:r w:rsidR="00322060">
        <w:t xml:space="preserve">is therefore needed </w:t>
      </w:r>
      <w:r w:rsidR="00523B0D">
        <w:t>for overseeing</w:t>
      </w:r>
      <w:r w:rsidR="00322060">
        <w:t xml:space="preserve"> and promoting</w:t>
      </w:r>
      <w:r w:rsidR="00523B0D">
        <w:t xml:space="preserve"> collaborative ventures</w:t>
      </w:r>
      <w:r w:rsidR="00322060">
        <w:t>.</w:t>
      </w:r>
      <w:r w:rsidR="00523B0D">
        <w:t xml:space="preserve"> </w:t>
      </w:r>
      <w:r w:rsidR="00322060">
        <w:t>L</w:t>
      </w:r>
      <w:r w:rsidR="00523B0D">
        <w:t>earning from other sectors and health care contexts</w:t>
      </w:r>
      <w:r w:rsidR="004969EF">
        <w:t xml:space="preserve"> </w:t>
      </w:r>
      <w:r w:rsidR="00322060">
        <w:t>can provide a valuable contribution to supporting the IOC agenda.</w:t>
      </w:r>
    </w:p>
    <w:p w14:paraId="2B62CDCD" w14:textId="543756D7" w:rsidR="00447918" w:rsidRDefault="00367EC5" w:rsidP="00525BE0">
      <w:pPr>
        <w:spacing w:line="360" w:lineRule="auto"/>
        <w:jc w:val="both"/>
      </w:pPr>
      <w:r>
        <w:t>These, along with many other options, represent key lines of inquiry for any future research in this area. Given the significance and importance of IOCs to policy</w:t>
      </w:r>
      <w:r w:rsidR="000865CF">
        <w:t xml:space="preserve"> makers</w:t>
      </w:r>
      <w:r>
        <w:t>, practitioners, patients, and communities</w:t>
      </w:r>
      <w:r w:rsidR="000865CF">
        <w:t>, our review has the potential to support the development of knowledge, skills, and behaviours across a range of stakeholder</w:t>
      </w:r>
      <w:r w:rsidR="0038093A">
        <w:t xml:space="preserve"> groups. </w:t>
      </w:r>
      <w:r w:rsidR="000865CF">
        <w:t xml:space="preserve"> Following the recent government announcement of a leadership review to </w:t>
      </w:r>
      <w:r w:rsidR="000865CF" w:rsidRPr="000865CF">
        <w:t>“improve processes and strengthen the leadership of health and social care in England</w:t>
      </w:r>
      <w:r w:rsidR="000865CF">
        <w:t xml:space="preserve">”, our research can provide valuable insights into the leadership actions and behaviours that enable </w:t>
      </w:r>
      <w:r w:rsidR="0038093A">
        <w:t xml:space="preserve">high performing </w:t>
      </w:r>
      <w:r w:rsidR="000865CF">
        <w:t xml:space="preserve">collaboration and integration across </w:t>
      </w:r>
      <w:r w:rsidR="00B948AA">
        <w:t xml:space="preserve">organisational </w:t>
      </w:r>
      <w:r w:rsidR="000865CF">
        <w:t>boundaries</w:t>
      </w:r>
      <w:r w:rsidR="00C971AD">
        <w:t xml:space="preserve"> </w:t>
      </w:r>
      <w:r w:rsidR="00C971AD">
        <w:fldChar w:fldCharType="begin" w:fldLock="1"/>
      </w:r>
      <w:r w:rsidR="00EA4B53">
        <w:instrText>ADDIN CSL_CITATION {"citationItems":[{"id":"ITEM-1","itemData":{"DOI":"10.1136/bmj.n2430","author":[{"dropping-particle":"","family":"Lacobucci","given":"Gareth","non-dropping-particle":"","parse-names":false,"suffix":""}],"container-title":"Bmj","id":"ITEM-1","issued":{"date-parts":[["2021"]]},"page":"n2430","title":"What’s behind the government’s new review of health and care leadership?","type":"article-journal"},"uris":["http://www.mendeley.com/documents/?uuid=28a76b98-ca83-4a45-a79c-92312850923b"]}],"mendeley":{"formattedCitation":"&lt;sup&gt;236&lt;/sup&gt;","plainTextFormattedCitation":"236","previouslyFormattedCitation":"&lt;sup&gt;236&lt;/sup&gt;"},"properties":{"noteIndex":0},"schema":"https://github.com/citation-style-language/schema/raw/master/csl-citation.json"}</w:instrText>
      </w:r>
      <w:r w:rsidR="00C971AD">
        <w:fldChar w:fldCharType="separate"/>
      </w:r>
      <w:r w:rsidR="00E25884" w:rsidRPr="00E25884">
        <w:rPr>
          <w:noProof/>
          <w:vertAlign w:val="superscript"/>
        </w:rPr>
        <w:t>236</w:t>
      </w:r>
      <w:r w:rsidR="00C971AD">
        <w:fldChar w:fldCharType="end"/>
      </w:r>
      <w:r w:rsidR="000865CF">
        <w:t>.</w:t>
      </w:r>
    </w:p>
    <w:p w14:paraId="63041EEA" w14:textId="1DD70EF6" w:rsidR="00F74C96" w:rsidRDefault="00F74C96" w:rsidP="00525BE0">
      <w:pPr>
        <w:spacing w:line="360" w:lineRule="auto"/>
        <w:jc w:val="both"/>
      </w:pPr>
    </w:p>
    <w:p w14:paraId="5E65C1AA" w14:textId="60A8B6E9" w:rsidR="00F74C96" w:rsidRDefault="00F74C96" w:rsidP="00525BE0">
      <w:pPr>
        <w:spacing w:line="360" w:lineRule="auto"/>
        <w:jc w:val="both"/>
      </w:pPr>
    </w:p>
    <w:p w14:paraId="437DEFF9" w14:textId="46E2549D" w:rsidR="00F74C96" w:rsidRDefault="00F74C96">
      <w:pPr>
        <w:spacing w:after="0" w:line="240" w:lineRule="auto"/>
      </w:pPr>
      <w:r>
        <w:br w:type="page"/>
      </w:r>
    </w:p>
    <w:p w14:paraId="79DF07B1" w14:textId="77777777" w:rsidR="00F74C96" w:rsidRDefault="00F74C96" w:rsidP="00F74C96">
      <w:pPr>
        <w:pStyle w:val="Heading2"/>
      </w:pPr>
      <w:bookmarkStart w:id="159" w:name="_Toc85066492"/>
      <w:r>
        <w:t>Acknowledgements</w:t>
      </w:r>
      <w:bookmarkEnd w:id="159"/>
      <w:r>
        <w:t xml:space="preserve"> </w:t>
      </w:r>
    </w:p>
    <w:p w14:paraId="7302A842" w14:textId="77777777" w:rsidR="00F74C96" w:rsidRDefault="00F74C96" w:rsidP="00F74C96">
      <w:pPr>
        <w:spacing w:after="0" w:line="240" w:lineRule="auto"/>
      </w:pPr>
    </w:p>
    <w:p w14:paraId="6CE8D9E2" w14:textId="77777777" w:rsidR="00F74C96" w:rsidRDefault="00F74C96" w:rsidP="00F74C96">
      <w:pPr>
        <w:spacing w:after="0" w:line="360" w:lineRule="auto"/>
        <w:jc w:val="both"/>
      </w:pPr>
      <w:r>
        <w:t>Contributions of authors:</w:t>
      </w:r>
    </w:p>
    <w:p w14:paraId="3BFB97E1" w14:textId="5B73927D" w:rsidR="00F74C96" w:rsidRDefault="00F74C96" w:rsidP="003659B2">
      <w:pPr>
        <w:pStyle w:val="ListParagraph"/>
        <w:numPr>
          <w:ilvl w:val="0"/>
          <w:numId w:val="24"/>
        </w:numPr>
        <w:spacing w:after="0" w:line="360" w:lineRule="auto"/>
        <w:jc w:val="both"/>
      </w:pPr>
      <w:r>
        <w:t>Dr Ross Millar (Reader, Health Organisation) was the Principal Investigator respon</w:t>
      </w:r>
      <w:r w:rsidR="009152AE">
        <w:t>sible for managing the project</w:t>
      </w:r>
      <w:r w:rsidR="00144CF1">
        <w:t>. He</w:t>
      </w:r>
      <w:r w:rsidR="009152AE">
        <w:t xml:space="preserve"> </w:t>
      </w:r>
      <w:r>
        <w:t xml:space="preserve">supported the realist synthesis, conducted qualitative data collection and analysis, supported the development of </w:t>
      </w:r>
      <w:r w:rsidR="00763AFF">
        <w:t>practice-based</w:t>
      </w:r>
      <w:r>
        <w:t xml:space="preserve"> tools, and led the final report</w:t>
      </w:r>
      <w:r w:rsidR="00322060">
        <w:t xml:space="preserve"> write up</w:t>
      </w:r>
      <w:r>
        <w:t>.</w:t>
      </w:r>
    </w:p>
    <w:p w14:paraId="3DFE786B" w14:textId="7BC7BC51" w:rsidR="00F74C96" w:rsidRDefault="00F74C96" w:rsidP="003659B2">
      <w:pPr>
        <w:pStyle w:val="ListParagraph"/>
        <w:numPr>
          <w:ilvl w:val="0"/>
          <w:numId w:val="24"/>
        </w:numPr>
        <w:spacing w:after="0" w:line="360" w:lineRule="auto"/>
        <w:jc w:val="both"/>
      </w:pPr>
      <w:r>
        <w:t xml:space="preserve">Dr Justin Avery Aunger (Research Fellow) led the realist synthesis, prepared results for publication, conducted qualitative data collection and analysis, supported the development of </w:t>
      </w:r>
      <w:r w:rsidR="00322060">
        <w:t>practice-based</w:t>
      </w:r>
      <w:r>
        <w:t xml:space="preserve"> tools, and drafted chapters of the final report.</w:t>
      </w:r>
    </w:p>
    <w:p w14:paraId="665E6701" w14:textId="5CE783DA" w:rsidR="00F74C96" w:rsidRDefault="00F74C96" w:rsidP="003659B2">
      <w:pPr>
        <w:pStyle w:val="ListParagraph"/>
        <w:numPr>
          <w:ilvl w:val="0"/>
          <w:numId w:val="24"/>
        </w:numPr>
        <w:spacing w:after="0" w:line="360" w:lineRule="auto"/>
        <w:jc w:val="both"/>
      </w:pPr>
      <w:r>
        <w:t xml:space="preserve">Professor Dame Anne Marie Rafferty (Professor, Nursing Policy) conducted qualitative data collection and </w:t>
      </w:r>
      <w:r w:rsidR="009D0EE6">
        <w:t xml:space="preserve">analysis, and contributed to </w:t>
      </w:r>
      <w:r>
        <w:t>editing the final report.</w:t>
      </w:r>
    </w:p>
    <w:p w14:paraId="4EA26BCD" w14:textId="7CE39F0D" w:rsidR="00F74C96" w:rsidRDefault="00F74C96" w:rsidP="009D0EE6">
      <w:pPr>
        <w:pStyle w:val="ListParagraph"/>
        <w:numPr>
          <w:ilvl w:val="0"/>
          <w:numId w:val="24"/>
        </w:numPr>
        <w:spacing w:after="0" w:line="360" w:lineRule="auto"/>
        <w:jc w:val="both"/>
      </w:pPr>
      <w:r>
        <w:t xml:space="preserve">Professor Joanne Greenhalgh (Professor, Applied Social Research Methodology) conducted realist synthesis </w:t>
      </w:r>
      <w:r w:rsidR="009152AE">
        <w:t>development</w:t>
      </w:r>
      <w:r>
        <w:t xml:space="preserve"> and </w:t>
      </w:r>
      <w:r w:rsidR="009D0EE6">
        <w:t xml:space="preserve">analysis, </w:t>
      </w:r>
      <w:r w:rsidR="009D0EE6" w:rsidRPr="009D0EE6">
        <w:t>and contributed to editing the final report.</w:t>
      </w:r>
    </w:p>
    <w:p w14:paraId="480E7A87" w14:textId="40AC8348" w:rsidR="00F74C96" w:rsidRDefault="00F74C96" w:rsidP="009D0EE6">
      <w:pPr>
        <w:pStyle w:val="ListParagraph"/>
        <w:numPr>
          <w:ilvl w:val="0"/>
          <w:numId w:val="24"/>
        </w:numPr>
        <w:spacing w:after="0" w:line="360" w:lineRule="auto"/>
        <w:jc w:val="both"/>
      </w:pPr>
      <w:r>
        <w:t xml:space="preserve">Professor Russell Mannion (Professor, Health systems) provided analytical support and </w:t>
      </w:r>
      <w:r w:rsidR="009D0EE6" w:rsidRPr="009D0EE6">
        <w:t>contributed to editing the final report</w:t>
      </w:r>
      <w:r>
        <w:t>.</w:t>
      </w:r>
    </w:p>
    <w:p w14:paraId="6E7F6BD3" w14:textId="700C0B23" w:rsidR="00F74C96" w:rsidRDefault="00F74C96" w:rsidP="009D0EE6">
      <w:pPr>
        <w:pStyle w:val="ListParagraph"/>
        <w:numPr>
          <w:ilvl w:val="0"/>
          <w:numId w:val="24"/>
        </w:numPr>
        <w:spacing w:after="0" w:line="360" w:lineRule="auto"/>
        <w:jc w:val="both"/>
      </w:pPr>
      <w:r>
        <w:t xml:space="preserve">Dr Hugh McLeod (Senior Lecturer, Health Economics) provided analytical support and </w:t>
      </w:r>
      <w:r w:rsidR="009D0EE6" w:rsidRPr="009D0EE6">
        <w:t>contributed to editing the final report</w:t>
      </w:r>
      <w:r w:rsidR="009D0EE6">
        <w:t>.</w:t>
      </w:r>
    </w:p>
    <w:p w14:paraId="2958753D" w14:textId="18F54135" w:rsidR="00F74C96" w:rsidRDefault="00F74C96" w:rsidP="003659B2">
      <w:pPr>
        <w:pStyle w:val="ListParagraph"/>
        <w:numPr>
          <w:ilvl w:val="0"/>
          <w:numId w:val="24"/>
        </w:numPr>
        <w:spacing w:after="0" w:line="360" w:lineRule="auto"/>
        <w:jc w:val="both"/>
      </w:pPr>
      <w:r>
        <w:t>Deborah Faulks (Engaging Communities Solutions) conducted data collecti</w:t>
      </w:r>
      <w:r w:rsidR="00860C24">
        <w:t>on with patient representatives.</w:t>
      </w:r>
    </w:p>
    <w:p w14:paraId="41967B1A" w14:textId="77777777" w:rsidR="00F74C96" w:rsidRDefault="00F74C96" w:rsidP="00F74C96">
      <w:pPr>
        <w:spacing w:after="0" w:line="360" w:lineRule="auto"/>
        <w:jc w:val="both"/>
      </w:pPr>
    </w:p>
    <w:p w14:paraId="44FD7B66" w14:textId="77777777" w:rsidR="00F74C96" w:rsidRDefault="00F74C96" w:rsidP="00F74C96">
      <w:pPr>
        <w:spacing w:after="0" w:line="360" w:lineRule="auto"/>
        <w:jc w:val="both"/>
      </w:pPr>
    </w:p>
    <w:p w14:paraId="1195CCE1" w14:textId="1AECB8CD" w:rsidR="003659B2" w:rsidRDefault="00F74C96" w:rsidP="00F74C96">
      <w:pPr>
        <w:spacing w:after="0" w:line="360" w:lineRule="auto"/>
        <w:jc w:val="both"/>
      </w:pPr>
      <w:r>
        <w:t>Acknowledgement to the following members of our advisory group who supported the research project:</w:t>
      </w:r>
    </w:p>
    <w:p w14:paraId="32D56C0F" w14:textId="77777777" w:rsidR="00F74C96" w:rsidRDefault="00F74C96" w:rsidP="003659B2">
      <w:pPr>
        <w:pStyle w:val="ListParagraph"/>
        <w:numPr>
          <w:ilvl w:val="0"/>
          <w:numId w:val="25"/>
        </w:numPr>
        <w:spacing w:after="0" w:line="360" w:lineRule="auto"/>
        <w:jc w:val="both"/>
      </w:pPr>
      <w:r>
        <w:t>Sarah Morgan (Chair) (Director of the SEL ICS Workforce Programme &amp; Director of Organisational Development Guys and St Thomas' NHS Foundation Trust)</w:t>
      </w:r>
    </w:p>
    <w:p w14:paraId="409F3E83" w14:textId="77777777" w:rsidR="00F74C96" w:rsidRDefault="00F74C96" w:rsidP="003659B2">
      <w:pPr>
        <w:pStyle w:val="ListParagraph"/>
        <w:numPr>
          <w:ilvl w:val="0"/>
          <w:numId w:val="25"/>
        </w:numPr>
        <w:spacing w:after="0" w:line="360" w:lineRule="auto"/>
        <w:jc w:val="both"/>
      </w:pPr>
      <w:r>
        <w:t>Ron Agble (Director of Partnerships and Transactions, Royal Free London NHS Foundation Trust)</w:t>
      </w:r>
    </w:p>
    <w:p w14:paraId="382DF0DF" w14:textId="77777777" w:rsidR="00F74C96" w:rsidRDefault="00F74C96" w:rsidP="003659B2">
      <w:pPr>
        <w:pStyle w:val="ListParagraph"/>
        <w:numPr>
          <w:ilvl w:val="0"/>
          <w:numId w:val="25"/>
        </w:numPr>
        <w:spacing w:after="0" w:line="360" w:lineRule="auto"/>
        <w:jc w:val="both"/>
      </w:pPr>
      <w:r>
        <w:t>Steve Beales (Assistant Director, North East London Health and Care Partnership)</w:t>
      </w:r>
    </w:p>
    <w:p w14:paraId="557E6736" w14:textId="77777777" w:rsidR="00F74C96" w:rsidRDefault="00F74C96" w:rsidP="003659B2">
      <w:pPr>
        <w:pStyle w:val="ListParagraph"/>
        <w:numPr>
          <w:ilvl w:val="0"/>
          <w:numId w:val="25"/>
        </w:numPr>
        <w:spacing w:after="0" w:line="360" w:lineRule="auto"/>
        <w:jc w:val="both"/>
      </w:pPr>
      <w:r>
        <w:t xml:space="preserve">Andrew Corbett-Nolan (Chief Executive, Good Governance Institute) </w:t>
      </w:r>
    </w:p>
    <w:p w14:paraId="6D4A7867" w14:textId="41A831A7" w:rsidR="00F74C96" w:rsidRDefault="00F74C96" w:rsidP="003659B2">
      <w:pPr>
        <w:pStyle w:val="ListParagraph"/>
        <w:numPr>
          <w:ilvl w:val="0"/>
          <w:numId w:val="25"/>
        </w:numPr>
        <w:spacing w:after="0" w:line="360" w:lineRule="auto"/>
        <w:jc w:val="both"/>
      </w:pPr>
      <w:r>
        <w:t xml:space="preserve">Sonia Dalkin (Associate Professor, </w:t>
      </w:r>
      <w:r w:rsidR="00E0587D">
        <w:t>Northumbria University</w:t>
      </w:r>
      <w:r>
        <w:t>)</w:t>
      </w:r>
    </w:p>
    <w:p w14:paraId="5CF9F5F0" w14:textId="77777777" w:rsidR="00F74C96" w:rsidRDefault="00F74C96" w:rsidP="003659B2">
      <w:pPr>
        <w:pStyle w:val="ListParagraph"/>
        <w:numPr>
          <w:ilvl w:val="0"/>
          <w:numId w:val="25"/>
        </w:numPr>
        <w:spacing w:after="0" w:line="360" w:lineRule="auto"/>
        <w:jc w:val="both"/>
      </w:pPr>
      <w:r>
        <w:t>Miriam Deakin (NHS Providers)</w:t>
      </w:r>
    </w:p>
    <w:p w14:paraId="7C5CCF07" w14:textId="77777777" w:rsidR="00F74C96" w:rsidRDefault="00F74C96" w:rsidP="003659B2">
      <w:pPr>
        <w:pStyle w:val="ListParagraph"/>
        <w:numPr>
          <w:ilvl w:val="0"/>
          <w:numId w:val="25"/>
        </w:numPr>
        <w:spacing w:after="0" w:line="360" w:lineRule="auto"/>
        <w:jc w:val="both"/>
      </w:pPr>
      <w:r>
        <w:t>Tim Gardner (The Health Foundation)</w:t>
      </w:r>
    </w:p>
    <w:p w14:paraId="0F7F2D64" w14:textId="77777777" w:rsidR="00F74C96" w:rsidRDefault="00F74C96" w:rsidP="003659B2">
      <w:pPr>
        <w:pStyle w:val="ListParagraph"/>
        <w:numPr>
          <w:ilvl w:val="0"/>
          <w:numId w:val="25"/>
        </w:numPr>
        <w:spacing w:after="0" w:line="360" w:lineRule="auto"/>
        <w:jc w:val="both"/>
      </w:pPr>
      <w:r>
        <w:t>Josie Harding (Head of Insight and Evaluation, Mid and South Essex Hospitals Group)</w:t>
      </w:r>
    </w:p>
    <w:p w14:paraId="1CFD13E5" w14:textId="77777777" w:rsidR="00F74C96" w:rsidRDefault="00F74C96" w:rsidP="003659B2">
      <w:pPr>
        <w:pStyle w:val="ListParagraph"/>
        <w:numPr>
          <w:ilvl w:val="0"/>
          <w:numId w:val="25"/>
        </w:numPr>
        <w:spacing w:after="0" w:line="360" w:lineRule="auto"/>
        <w:jc w:val="both"/>
      </w:pPr>
      <w:r>
        <w:t>Sandra Haynes (Lead Governor, University Hospitals Birmingham)</w:t>
      </w:r>
    </w:p>
    <w:p w14:paraId="33F1055E" w14:textId="6DE8A99A" w:rsidR="00F74C96" w:rsidRDefault="00F74C96" w:rsidP="003659B2">
      <w:pPr>
        <w:pStyle w:val="ListParagraph"/>
        <w:numPr>
          <w:ilvl w:val="0"/>
          <w:numId w:val="25"/>
        </w:numPr>
        <w:spacing w:after="0" w:line="360" w:lineRule="auto"/>
        <w:jc w:val="both"/>
      </w:pPr>
      <w:r>
        <w:t>Tom Howell (Head of Mental Health Provider Collaborative Development, NHS Birmingham and Solihull Clinical Commissioning Group)</w:t>
      </w:r>
    </w:p>
    <w:p w14:paraId="11BF6273" w14:textId="368955D4" w:rsidR="00322060" w:rsidRDefault="00322060" w:rsidP="003659B2">
      <w:pPr>
        <w:pStyle w:val="ListParagraph"/>
        <w:numPr>
          <w:ilvl w:val="0"/>
          <w:numId w:val="25"/>
        </w:numPr>
        <w:spacing w:after="0" w:line="360" w:lineRule="auto"/>
        <w:jc w:val="both"/>
      </w:pPr>
      <w:r>
        <w:t>Chris Smith (Good Governance Institute)</w:t>
      </w:r>
    </w:p>
    <w:p w14:paraId="4067C46F" w14:textId="77777777" w:rsidR="00F74C96" w:rsidRDefault="00F74C96" w:rsidP="003659B2">
      <w:pPr>
        <w:pStyle w:val="ListParagraph"/>
        <w:numPr>
          <w:ilvl w:val="0"/>
          <w:numId w:val="25"/>
        </w:numPr>
        <w:spacing w:after="0" w:line="360" w:lineRule="auto"/>
        <w:jc w:val="both"/>
      </w:pPr>
      <w:r>
        <w:t xml:space="preserve">Mark Stafford (Partner, The Berkeley Partnership) </w:t>
      </w:r>
    </w:p>
    <w:p w14:paraId="67E7B5A2" w14:textId="77777777" w:rsidR="00F74C96" w:rsidRDefault="00F74C96" w:rsidP="003659B2">
      <w:pPr>
        <w:pStyle w:val="ListParagraph"/>
        <w:numPr>
          <w:ilvl w:val="0"/>
          <w:numId w:val="25"/>
        </w:numPr>
        <w:spacing w:after="0" w:line="360" w:lineRule="auto"/>
        <w:jc w:val="both"/>
      </w:pPr>
      <w:r>
        <w:t>Leanora Volpe (NHS Providers)</w:t>
      </w:r>
    </w:p>
    <w:p w14:paraId="08C9F214" w14:textId="77777777" w:rsidR="00763AFF" w:rsidRDefault="00F74C96" w:rsidP="003659B2">
      <w:pPr>
        <w:pStyle w:val="ListParagraph"/>
        <w:numPr>
          <w:ilvl w:val="0"/>
          <w:numId w:val="25"/>
        </w:numPr>
        <w:spacing w:after="0" w:line="360" w:lineRule="auto"/>
        <w:jc w:val="both"/>
      </w:pPr>
      <w:r>
        <w:t>Charlotte Williams (Chief Strategy &amp; Improvement Officer, Mid &amp; South Essex NHS FT)</w:t>
      </w:r>
    </w:p>
    <w:p w14:paraId="3B0A8E42" w14:textId="77777777" w:rsidR="00763AFF" w:rsidRDefault="00763AFF" w:rsidP="00763AFF">
      <w:pPr>
        <w:spacing w:after="0" w:line="360" w:lineRule="auto"/>
        <w:jc w:val="both"/>
      </w:pPr>
    </w:p>
    <w:p w14:paraId="688B6264" w14:textId="77777777" w:rsidR="00763AFF" w:rsidRDefault="00763AFF" w:rsidP="00763AFF">
      <w:pPr>
        <w:spacing w:after="0" w:line="360" w:lineRule="auto"/>
        <w:jc w:val="both"/>
      </w:pPr>
    </w:p>
    <w:p w14:paraId="370C5215" w14:textId="393B2344" w:rsidR="00A101A3" w:rsidRDefault="00A101A3" w:rsidP="006D770F">
      <w:pPr>
        <w:pStyle w:val="Heading3"/>
      </w:pPr>
      <w:r>
        <w:t>Data sharing statement</w:t>
      </w:r>
    </w:p>
    <w:p w14:paraId="4D1D57E4" w14:textId="77777777" w:rsidR="00A101A3" w:rsidRDefault="00A101A3" w:rsidP="00A101A3">
      <w:pPr>
        <w:spacing w:after="0" w:line="360" w:lineRule="auto"/>
        <w:jc w:val="both"/>
      </w:pPr>
    </w:p>
    <w:p w14:paraId="17A74B89" w14:textId="389079BF" w:rsidR="00F74C96" w:rsidRDefault="00A101A3" w:rsidP="006D770F">
      <w:pPr>
        <w:spacing w:after="0" w:line="360" w:lineRule="auto"/>
        <w:jc w:val="both"/>
        <w:sectPr w:rsidR="00F74C96">
          <w:footerReference w:type="even" r:id="rId43"/>
          <w:footerReference w:type="default" r:id="rId44"/>
          <w:pgSz w:w="11906" w:h="16838"/>
          <w:pgMar w:top="1440" w:right="1440" w:bottom="1440" w:left="1440" w:header="708" w:footer="708" w:gutter="0"/>
          <w:cols w:space="708"/>
          <w:docGrid w:linePitch="360"/>
        </w:sectPr>
      </w:pPr>
      <w:r>
        <w:t xml:space="preserve">All data requests should be submitted to the corresponding author for consideration. </w:t>
      </w:r>
    </w:p>
    <w:p w14:paraId="662E7CBD" w14:textId="76DA41D8" w:rsidR="003C21AC" w:rsidRDefault="00447918" w:rsidP="00525BE0">
      <w:pPr>
        <w:pStyle w:val="Heading1"/>
        <w:jc w:val="both"/>
      </w:pPr>
      <w:bookmarkStart w:id="160" w:name="_Toc85066493"/>
      <w:r>
        <w:t>References</w:t>
      </w:r>
      <w:bookmarkEnd w:id="160"/>
    </w:p>
    <w:p w14:paraId="2E1CE545" w14:textId="77777777" w:rsidR="00F74C96" w:rsidRPr="00F74C96" w:rsidRDefault="00F74C96" w:rsidP="00F74C96"/>
    <w:p w14:paraId="13E47B67" w14:textId="26D4C09E" w:rsidR="006A5B59" w:rsidRPr="006A5B59" w:rsidRDefault="00447918" w:rsidP="006A5B59">
      <w:pPr>
        <w:widowControl w:val="0"/>
        <w:autoSpaceDE w:val="0"/>
        <w:autoSpaceDN w:val="0"/>
        <w:adjustRightInd w:val="0"/>
        <w:spacing w:line="360" w:lineRule="auto"/>
        <w:ind w:left="640" w:hanging="640"/>
        <w:rPr>
          <w:rFonts w:ascii="Calibri" w:hAnsi="Calibri" w:cs="Calibri"/>
          <w:noProof/>
        </w:rPr>
      </w:pPr>
      <w:r>
        <w:fldChar w:fldCharType="begin" w:fldLock="1"/>
      </w:r>
      <w:r>
        <w:instrText xml:space="preserve">ADDIN Mendeley Bibliography CSL_BIBLIOGRAPHY </w:instrText>
      </w:r>
      <w:r>
        <w:fldChar w:fldCharType="separate"/>
      </w:r>
      <w:r w:rsidR="006A5B59" w:rsidRPr="006A5B59">
        <w:rPr>
          <w:rFonts w:ascii="Calibri" w:hAnsi="Calibri" w:cs="Calibri"/>
          <w:noProof/>
        </w:rPr>
        <w:t xml:space="preserve">1. </w:t>
      </w:r>
      <w:r w:rsidR="006A5B59" w:rsidRPr="006A5B59">
        <w:rPr>
          <w:rFonts w:ascii="Calibri" w:hAnsi="Calibri" w:cs="Calibri"/>
          <w:noProof/>
        </w:rPr>
        <w:tab/>
        <w:t xml:space="preserve">van der Schors W, Roos AF, Kemp R, Varkevisser M. Inter-organizational collaboration between healthcare providers. Heal Serv Manag Res. 2020;095148482097145. </w:t>
      </w:r>
    </w:p>
    <w:p w14:paraId="3F5ECE73"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 </w:t>
      </w:r>
      <w:r w:rsidRPr="006A5B59">
        <w:rPr>
          <w:rFonts w:ascii="Calibri" w:hAnsi="Calibri" w:cs="Calibri"/>
          <w:noProof/>
        </w:rPr>
        <w:tab/>
        <w:t xml:space="preserve">Kessa R, Sadiq AA, Yeo J. The Importance of Vertical and Horizontal Collaboration: United States’ Response to COVID-19 Pandemic. Chinese Public Adm Rev. 2021;12(1):61–71. </w:t>
      </w:r>
    </w:p>
    <w:p w14:paraId="3322D5D0" w14:textId="558E07BF"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 </w:t>
      </w:r>
      <w:r w:rsidRPr="006A5B59">
        <w:rPr>
          <w:rFonts w:ascii="Calibri" w:hAnsi="Calibri" w:cs="Calibri"/>
          <w:noProof/>
        </w:rPr>
        <w:tab/>
        <w:t>NHS. Five Year Forward View [Internet]. 2014. Available from: https://www.england.nhs.uk/wp-content/uploads/2014/10/5yfv-web.pdf</w:t>
      </w:r>
      <w:r w:rsidR="00356AB4">
        <w:rPr>
          <w:rFonts w:ascii="Calibri" w:hAnsi="Calibri" w:cs="Calibri"/>
          <w:noProof/>
        </w:rPr>
        <w:t xml:space="preserve"> </w:t>
      </w:r>
      <w:bookmarkStart w:id="161" w:name="_Hlk106976102"/>
      <w:r w:rsidR="00356AB4">
        <w:rPr>
          <w:rFonts w:ascii="Calibri" w:hAnsi="Calibri" w:cs="Calibri"/>
          <w:noProof/>
        </w:rPr>
        <w:t>(last accessed 24/6/22)</w:t>
      </w:r>
      <w:bookmarkEnd w:id="161"/>
    </w:p>
    <w:p w14:paraId="5A7163B4" w14:textId="12B26011"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 </w:t>
      </w:r>
      <w:r w:rsidRPr="006A5B59">
        <w:rPr>
          <w:rFonts w:ascii="Calibri" w:hAnsi="Calibri" w:cs="Calibri"/>
          <w:noProof/>
        </w:rPr>
        <w:tab/>
        <w:t>The Dalton Review. Examining new options and opportunities for providers of NHS care [Internet]. 2014. Available from: https://assets.publishing.service.gov.uk/government/uploads/system/uploads/attachment_data/file/384126/Dalton_Review.pdf</w:t>
      </w:r>
      <w:r w:rsidR="00356AB4">
        <w:rPr>
          <w:rFonts w:ascii="Calibri" w:hAnsi="Calibri" w:cs="Calibri"/>
          <w:noProof/>
        </w:rPr>
        <w:t xml:space="preserve"> (last accessed 24/6/22)</w:t>
      </w:r>
    </w:p>
    <w:p w14:paraId="4B0AD3B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 </w:t>
      </w:r>
      <w:r w:rsidRPr="006A5B59">
        <w:rPr>
          <w:rFonts w:ascii="Calibri" w:hAnsi="Calibri" w:cs="Calibri"/>
          <w:noProof/>
        </w:rPr>
        <w:tab/>
        <w:t xml:space="preserve">NHS England, NHS Improvement. Supporting providers to work together. 2020. </w:t>
      </w:r>
    </w:p>
    <w:p w14:paraId="796A1AAE" w14:textId="3241D7FA"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 </w:t>
      </w:r>
      <w:r w:rsidRPr="006A5B59">
        <w:rPr>
          <w:rFonts w:ascii="Calibri" w:hAnsi="Calibri" w:cs="Calibri"/>
          <w:noProof/>
        </w:rPr>
        <w:tab/>
        <w:t>Care Quality Commission, NHS Improvement. Special measures for quality reasons: guidance for trusts [Internet]. 2017. Available from: https://improvement.nhs.uk/documents/2158/special_measures_guide_quality_dec2017.pdf</w:t>
      </w:r>
      <w:r w:rsidR="00356AB4">
        <w:rPr>
          <w:rFonts w:ascii="Calibri" w:hAnsi="Calibri" w:cs="Calibri"/>
          <w:noProof/>
        </w:rPr>
        <w:t xml:space="preserve"> (last accessed 24/6/22)</w:t>
      </w:r>
    </w:p>
    <w:p w14:paraId="768E6C4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 </w:t>
      </w:r>
      <w:r w:rsidRPr="006A5B59">
        <w:rPr>
          <w:rFonts w:ascii="Calibri" w:hAnsi="Calibri" w:cs="Calibri"/>
          <w:noProof/>
        </w:rPr>
        <w:tab/>
        <w:t xml:space="preserve">Heeringa J, Mutti A, Furukawa MF, Lechner A, Maurer KA, Rich E. Horizontal and vertical integration of health care providers: A framework for understanding various provider organizational structures. Int J Integr Care. 2020;20(1):1–10. </w:t>
      </w:r>
    </w:p>
    <w:p w14:paraId="50DE108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 </w:t>
      </w:r>
      <w:r w:rsidRPr="006A5B59">
        <w:rPr>
          <w:rFonts w:ascii="Calibri" w:hAnsi="Calibri" w:cs="Calibri"/>
          <w:noProof/>
        </w:rPr>
        <w:tab/>
        <w:t xml:space="preserve">Glasby J, Dickinson H, Miller R. Partnership working in England—where we are now and where we’ve come from. Int J Integr Care. 2011;11(Special 10th Anniversary Edition). </w:t>
      </w:r>
    </w:p>
    <w:p w14:paraId="722BFDC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 </w:t>
      </w:r>
      <w:r w:rsidRPr="006A5B59">
        <w:rPr>
          <w:rFonts w:ascii="Calibri" w:hAnsi="Calibri" w:cs="Calibri"/>
          <w:noProof/>
        </w:rPr>
        <w:tab/>
        <w:t xml:space="preserve">Warwick-Giles L, Checkland K. Integrated care: Using “sensemaking” to understand how organisations are working together to transform local health and social care services. J Health Organ Manag. 2018;32(1):85–100. </w:t>
      </w:r>
    </w:p>
    <w:p w14:paraId="1CB4929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 </w:t>
      </w:r>
      <w:r w:rsidRPr="006A5B59">
        <w:rPr>
          <w:rFonts w:ascii="Calibri" w:hAnsi="Calibri" w:cs="Calibri"/>
          <w:noProof/>
        </w:rPr>
        <w:tab/>
        <w:t xml:space="preserve">Billings J, Mikelyte R, MacInnes JD, Allen P, Croke S, Checkland K. Supporting integrated care in practice: Perceptions of a national support programme for the development of New Care Models in England. J Integr Care. 2019;28(1):27–40. </w:t>
      </w:r>
    </w:p>
    <w:p w14:paraId="566975A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 </w:t>
      </w:r>
      <w:r w:rsidRPr="006A5B59">
        <w:rPr>
          <w:rFonts w:ascii="Calibri" w:hAnsi="Calibri" w:cs="Calibri"/>
          <w:noProof/>
        </w:rPr>
        <w:tab/>
        <w:t xml:space="preserve">Erens B, Wistow G, Mays N, Manacorda T, Douglas N, Mounier-Jack S, et al. Can health and social care integration make long-term progress? Findings from key informant surveys of the integration Pioneers in England. J Integr Care. 2019; </w:t>
      </w:r>
    </w:p>
    <w:p w14:paraId="26D3D26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 </w:t>
      </w:r>
      <w:r w:rsidRPr="006A5B59">
        <w:rPr>
          <w:rFonts w:ascii="Calibri" w:hAnsi="Calibri" w:cs="Calibri"/>
          <w:noProof/>
        </w:rPr>
        <w:tab/>
        <w:t xml:space="preserve">Alderwick H, Hutchings A, Briggs A, Mays N. The impacts of collaboration between local health care and non-health care organizations and factors shaping how they work : a systematic review of reviews. 2021;1–16. </w:t>
      </w:r>
    </w:p>
    <w:p w14:paraId="273C6702" w14:textId="6FD97722"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 </w:t>
      </w:r>
      <w:r w:rsidRPr="006A5B59">
        <w:rPr>
          <w:rFonts w:ascii="Calibri" w:hAnsi="Calibri" w:cs="Calibri"/>
          <w:noProof/>
        </w:rPr>
        <w:tab/>
        <w:t>Miller R, Millar R. Partnerships for improvement: ingredients for success [Internet]. Health Foundation. 2017. Available from: https://health.org.uk/sites/health/files/PartnershipsForImprovement.pdf</w:t>
      </w:r>
      <w:r w:rsidR="00356AB4">
        <w:rPr>
          <w:rFonts w:ascii="Calibri" w:hAnsi="Calibri" w:cs="Calibri"/>
          <w:noProof/>
        </w:rPr>
        <w:t xml:space="preserve"> (last accessed 24/6/22)</w:t>
      </w:r>
    </w:p>
    <w:p w14:paraId="53486F2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 </w:t>
      </w:r>
      <w:r w:rsidRPr="006A5B59">
        <w:rPr>
          <w:rFonts w:ascii="Calibri" w:hAnsi="Calibri" w:cs="Calibri"/>
          <w:noProof/>
        </w:rPr>
        <w:tab/>
        <w:t xml:space="preserve">Vangen S, Huxham C. Nurturing collaborative relations: Building Trust in Interorganizational Collaboration. J Appl Behav Sci. 2003;39(1):5–31. </w:t>
      </w:r>
    </w:p>
    <w:p w14:paraId="1CDDD4B6"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 </w:t>
      </w:r>
      <w:r w:rsidRPr="006A5B59">
        <w:rPr>
          <w:rFonts w:ascii="Calibri" w:hAnsi="Calibri" w:cs="Calibri"/>
          <w:noProof/>
        </w:rPr>
        <w:tab/>
        <w:t>Auschra C. Barriers to the integration of care in inter-organisational settings: a literature review. Int J Integr Care [Internet]. 2018;18(1):1–14. Available from: http://www.scie-socialcareonline.org.uk/barriers-to-the-integration-of-care-in-inter-organisational-settings-a-literature-review/r/a1C0f000004zjUqEAI</w:t>
      </w:r>
    </w:p>
    <w:p w14:paraId="053608E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 </w:t>
      </w:r>
      <w:r w:rsidRPr="006A5B59">
        <w:rPr>
          <w:rFonts w:ascii="Calibri" w:hAnsi="Calibri" w:cs="Calibri"/>
          <w:noProof/>
        </w:rPr>
        <w:tab/>
        <w:t xml:space="preserve">Mannion R, Brown S, Beck M, Lunt N. Managing cultural diversity in healthcare partnerships: The case of LIFT. J Heal Organ Manag. 2011;25(6):645–57. </w:t>
      </w:r>
    </w:p>
    <w:p w14:paraId="05008E5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 </w:t>
      </w:r>
      <w:r w:rsidRPr="006A5B59">
        <w:rPr>
          <w:rFonts w:ascii="Calibri" w:hAnsi="Calibri" w:cs="Calibri"/>
          <w:noProof/>
        </w:rPr>
        <w:tab/>
        <w:t xml:space="preserve">Dickinson H, Glasby J. ‘Why Partnership Working Doesn’t Work’ Pitfalls, problems and possibilities in English health and social care. Public Manag Rev. 2010;12(6):811–28. </w:t>
      </w:r>
    </w:p>
    <w:p w14:paraId="016256B6"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 </w:t>
      </w:r>
      <w:r w:rsidRPr="006A5B59">
        <w:rPr>
          <w:rFonts w:ascii="Calibri" w:hAnsi="Calibri" w:cs="Calibri"/>
          <w:noProof/>
        </w:rPr>
        <w:tab/>
        <w:t xml:space="preserve">Talbot-Smith A, Pollock AM. The new NHS: a guide. Routledge; 2006. </w:t>
      </w:r>
    </w:p>
    <w:p w14:paraId="34A53E3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 </w:t>
      </w:r>
      <w:r w:rsidRPr="006A5B59">
        <w:rPr>
          <w:rFonts w:ascii="Calibri" w:hAnsi="Calibri" w:cs="Calibri"/>
          <w:noProof/>
        </w:rPr>
        <w:tab/>
        <w:t xml:space="preserve">Hudson B, Henwood M. The NHS and social care: The final countdown? Policy Polit. 2002;30(2):153–66. </w:t>
      </w:r>
    </w:p>
    <w:p w14:paraId="424F8883"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 </w:t>
      </w:r>
      <w:r w:rsidRPr="006A5B59">
        <w:rPr>
          <w:rFonts w:ascii="Calibri" w:hAnsi="Calibri" w:cs="Calibri"/>
          <w:noProof/>
        </w:rPr>
        <w:tab/>
        <w:t xml:space="preserve">Goddard M, Mannion R. From competition to co-operation: New economic relationships in the National Health Service. Health Econ. 1998;7(2):105–19. </w:t>
      </w:r>
    </w:p>
    <w:p w14:paraId="0034DD1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 </w:t>
      </w:r>
      <w:r w:rsidRPr="006A5B59">
        <w:rPr>
          <w:rFonts w:ascii="Calibri" w:hAnsi="Calibri" w:cs="Calibri"/>
          <w:noProof/>
        </w:rPr>
        <w:tab/>
        <w:t xml:space="preserve">Dowling B, Powell M, Glendinning C. Conceptualising successful partnerships. Heal Soc Care Community. 2004;12(4):309–17. </w:t>
      </w:r>
    </w:p>
    <w:p w14:paraId="0712DF9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 </w:t>
      </w:r>
      <w:r w:rsidRPr="006A5B59">
        <w:rPr>
          <w:rFonts w:ascii="Calibri" w:hAnsi="Calibri" w:cs="Calibri"/>
          <w:noProof/>
        </w:rPr>
        <w:tab/>
        <w:t xml:space="preserve">Dickinson H, Glasby J. How effective is joint commissioning? A study of five English localities. J Integr Care. 2013;21(4):221–32. </w:t>
      </w:r>
    </w:p>
    <w:p w14:paraId="7A18D06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 </w:t>
      </w:r>
      <w:r w:rsidRPr="006A5B59">
        <w:rPr>
          <w:rFonts w:ascii="Calibri" w:hAnsi="Calibri" w:cs="Calibri"/>
          <w:noProof/>
        </w:rPr>
        <w:tab/>
        <w:t xml:space="preserve">Millar R, Powell M, Dixon A. What was the programme theory of New Labour’s Health System Reforms? J Heal Serv Res Policy. 2012;17(SUPPL. 1):7–15. </w:t>
      </w:r>
    </w:p>
    <w:p w14:paraId="250066F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24. </w:t>
      </w:r>
      <w:r w:rsidRPr="006A5B59">
        <w:rPr>
          <w:rFonts w:ascii="Calibri" w:hAnsi="Calibri" w:cs="Calibri"/>
          <w:noProof/>
        </w:rPr>
        <w:tab/>
        <w:t xml:space="preserve">McLeod H, Millar R, Goodwin N, Powell M. Perspectives on the policy “black box”: a comparative case study of orthopaedics services in England. Health Econ Policy Law. 2014; </w:t>
      </w:r>
    </w:p>
    <w:p w14:paraId="1B79DA3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25. </w:t>
      </w:r>
      <w:r w:rsidRPr="006A5B59">
        <w:rPr>
          <w:rFonts w:ascii="Calibri" w:hAnsi="Calibri" w:cs="Calibri"/>
          <w:noProof/>
        </w:rPr>
        <w:tab/>
        <w:t xml:space="preserve">Naylor C, Charles A. Developing new models of care in the PACS vanguards: A new national approach to large-scale change? 2018;(April). </w:t>
      </w:r>
    </w:p>
    <w:p w14:paraId="2CB5E97E" w14:textId="0A614900"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26. </w:t>
      </w:r>
      <w:r w:rsidRPr="006A5B59">
        <w:rPr>
          <w:rFonts w:ascii="Calibri" w:hAnsi="Calibri" w:cs="Calibri"/>
          <w:noProof/>
        </w:rPr>
        <w:tab/>
        <w:t>Starling A. Some assembly required: implementing new models of care [Internet]. London: Health Foundation; 2017. 36 p. Available from: http://www.health.org.uk/publication/some-assembly-required</w:t>
      </w:r>
      <w:r w:rsidR="00356AB4">
        <w:rPr>
          <w:rFonts w:ascii="Calibri" w:hAnsi="Calibri" w:cs="Calibri"/>
          <w:noProof/>
        </w:rPr>
        <w:t xml:space="preserve"> (last accessed 24/6/22)</w:t>
      </w:r>
    </w:p>
    <w:p w14:paraId="59CB5B5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27. </w:t>
      </w:r>
      <w:r w:rsidRPr="006A5B59">
        <w:rPr>
          <w:rFonts w:ascii="Calibri" w:hAnsi="Calibri" w:cs="Calibri"/>
          <w:noProof/>
        </w:rPr>
        <w:tab/>
        <w:t xml:space="preserve">Care Quality Commission. The state of health care and adult social care in England 2014/15. 2014. </w:t>
      </w:r>
    </w:p>
    <w:p w14:paraId="697D01C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28. </w:t>
      </w:r>
      <w:r w:rsidRPr="006A5B59">
        <w:rPr>
          <w:rFonts w:ascii="Calibri" w:hAnsi="Calibri" w:cs="Calibri"/>
          <w:noProof/>
        </w:rPr>
        <w:tab/>
        <w:t xml:space="preserve">Checkland K, Coleman A, Croke S, Billings J, Mikelyte R, Macinnes J, et al. National Evaluation of the Vanguard New Care Models Programme report of qualitative case studies: understanding system change. 2021. </w:t>
      </w:r>
    </w:p>
    <w:p w14:paraId="7BB95CC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29. </w:t>
      </w:r>
      <w:r w:rsidRPr="006A5B59">
        <w:rPr>
          <w:rFonts w:ascii="Calibri" w:hAnsi="Calibri" w:cs="Calibri"/>
          <w:noProof/>
        </w:rPr>
        <w:tab/>
        <w:t>Morciano M, Checkland K, Billings J, Coleman A, Stokes J, Tallack C, et al. New integrated care models in England associated with small reduction in hospital admissions in longer-term: A difference-in-differences analysis. Health Policy (New York) [Internet]. 2020;124(8):826–33. Available from: https://doi.org/10.1016/j.healthpol.2020.06.004</w:t>
      </w:r>
    </w:p>
    <w:p w14:paraId="1129D87A" w14:textId="42086CD2"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30. </w:t>
      </w:r>
      <w:r w:rsidRPr="006A5B59">
        <w:rPr>
          <w:rFonts w:ascii="Calibri" w:hAnsi="Calibri" w:cs="Calibri"/>
          <w:noProof/>
        </w:rPr>
        <w:tab/>
        <w:t>Aldwych Partners. Benefits from mergers: lessons from recent NHS transactions. 2015;p34. Available from: https://improvement.nhs.uk/uploads/documents/Mergers_Aldwych_Partners_Overarching_report.pdf</w:t>
      </w:r>
      <w:r w:rsidR="00356AB4">
        <w:rPr>
          <w:rFonts w:ascii="Calibri" w:hAnsi="Calibri" w:cs="Calibri"/>
          <w:noProof/>
        </w:rPr>
        <w:t xml:space="preserve"> (last accessed 24/6/22)</w:t>
      </w:r>
    </w:p>
    <w:p w14:paraId="0D627632" w14:textId="7EA24A34"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31. </w:t>
      </w:r>
      <w:r w:rsidRPr="006A5B59">
        <w:rPr>
          <w:rFonts w:ascii="Calibri" w:hAnsi="Calibri" w:cs="Calibri"/>
          <w:noProof/>
        </w:rPr>
        <w:tab/>
        <w:t>Fulop N, Capelas Barbosa E, Hill M, Ledger J, Ng PL, Sherlaw-Johnson C, et al. Rapid Evaluation of the Special Measures for Quality and Challenged Provider Regimes: A mixed-methods study [Internet]. 2020. Available from: https://www.fundingawards.nihr.ac.uk/award/NIHR129663</w:t>
      </w:r>
      <w:r w:rsidR="00356AB4">
        <w:rPr>
          <w:rFonts w:ascii="Calibri" w:hAnsi="Calibri" w:cs="Calibri"/>
          <w:noProof/>
        </w:rPr>
        <w:t xml:space="preserve"> (last accessed 24/6/22)</w:t>
      </w:r>
    </w:p>
    <w:p w14:paraId="155D26A5" w14:textId="3305B25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32. </w:t>
      </w:r>
      <w:r w:rsidRPr="006A5B59">
        <w:rPr>
          <w:rFonts w:ascii="Calibri" w:hAnsi="Calibri" w:cs="Calibri"/>
          <w:noProof/>
        </w:rPr>
        <w:tab/>
        <w:t>Allen P, Osipovič D, Shepherd E, Coleman A, Perkins N, Garnett E, et al. Commissioning through competition and cooperation in the English NHS under the Health and Social Care Act 2012: Evidence from a qualitative study of four clinical commissioning groups. BMJ Open [Internet]. 2016;7(2):1–13. Available from: http://www.scie-socialcareonline.org.uk/commissioning-through-competition-and-cooperation-final-report/r/a11G000000G6FXrIAN</w:t>
      </w:r>
      <w:r w:rsidR="00356AB4">
        <w:rPr>
          <w:rFonts w:ascii="Calibri" w:hAnsi="Calibri" w:cs="Calibri"/>
          <w:noProof/>
        </w:rPr>
        <w:t xml:space="preserve"> </w:t>
      </w:r>
    </w:p>
    <w:p w14:paraId="31A0508C" w14:textId="52E27B53"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33. </w:t>
      </w:r>
      <w:r w:rsidRPr="006A5B59">
        <w:rPr>
          <w:rFonts w:ascii="Calibri" w:hAnsi="Calibri" w:cs="Calibri"/>
          <w:noProof/>
        </w:rPr>
        <w:tab/>
        <w:t>NHS England. The NHS Long Term Plan [Internet]. 2019. Available from: www.longtermplan.nhs.uk</w:t>
      </w:r>
      <w:r w:rsidR="00356AB4">
        <w:rPr>
          <w:rFonts w:ascii="Calibri" w:hAnsi="Calibri" w:cs="Calibri"/>
          <w:noProof/>
        </w:rPr>
        <w:t xml:space="preserve"> (last accessed 24/6/22)</w:t>
      </w:r>
    </w:p>
    <w:p w14:paraId="6E3EE512" w14:textId="418F3D4F"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34. </w:t>
      </w:r>
      <w:r w:rsidRPr="006A5B59">
        <w:rPr>
          <w:rFonts w:ascii="Calibri" w:hAnsi="Calibri" w:cs="Calibri"/>
          <w:noProof/>
        </w:rPr>
        <w:tab/>
        <w:t>NHS Providers. The journey to integrated care systems. Provider voices. 2018;(September):56. Available from: https://nhsproviders.org/media/518336/provider-voices-the-journey-to-integrated-care-interactive.pdf</w:t>
      </w:r>
      <w:r w:rsidR="00356AB4">
        <w:rPr>
          <w:rFonts w:ascii="Calibri" w:hAnsi="Calibri" w:cs="Calibri"/>
          <w:noProof/>
        </w:rPr>
        <w:t xml:space="preserve"> (last accessed 24/6/22)</w:t>
      </w:r>
    </w:p>
    <w:p w14:paraId="7DE6D80D" w14:textId="5877634A"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35. </w:t>
      </w:r>
      <w:r w:rsidRPr="006A5B59">
        <w:rPr>
          <w:rFonts w:ascii="Calibri" w:hAnsi="Calibri" w:cs="Calibri"/>
          <w:noProof/>
        </w:rPr>
        <w:tab/>
        <w:t>Charles A, Wenzel L, Kershaw M, Ham C, Walsh N. A year of integrated care systems: reviewing the journey so far. King’s Fund [Internet]. 2018;(September). Available from: https://www.kingsfund.org.uk/sites/default/files/2018-09/Year-of-integrated-care-systems-reviewing-journey-so-far-full-report.pdf</w:t>
      </w:r>
      <w:r w:rsidR="00356AB4">
        <w:rPr>
          <w:rFonts w:ascii="Calibri" w:hAnsi="Calibri" w:cs="Calibri"/>
          <w:noProof/>
        </w:rPr>
        <w:t xml:space="preserve"> (last accessed 24/6/22)</w:t>
      </w:r>
    </w:p>
    <w:p w14:paraId="1BFB55F3"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36. </w:t>
      </w:r>
      <w:r w:rsidRPr="006A5B59">
        <w:rPr>
          <w:rFonts w:ascii="Calibri" w:hAnsi="Calibri" w:cs="Calibri"/>
          <w:noProof/>
        </w:rPr>
        <w:tab/>
        <w:t xml:space="preserve">Smith J. Primary care networks: a marathon not a sprint. Health Serv J. 2019; </w:t>
      </w:r>
    </w:p>
    <w:p w14:paraId="141CFC0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37. </w:t>
      </w:r>
      <w:r w:rsidRPr="006A5B59">
        <w:rPr>
          <w:rFonts w:ascii="Calibri" w:hAnsi="Calibri" w:cs="Calibri"/>
          <w:noProof/>
        </w:rPr>
        <w:tab/>
        <w:t xml:space="preserve">Smith J, Parkinson S, Harshfield A, Sidhu M. HS &amp; DR Rapid Evaluation Centre Topic Report Early evidence of the development of primary care networks in England: a rapid evaluation study. 2020. </w:t>
      </w:r>
    </w:p>
    <w:p w14:paraId="36FE8871" w14:textId="776B3495"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38. </w:t>
      </w:r>
      <w:r w:rsidRPr="006A5B59">
        <w:rPr>
          <w:rFonts w:ascii="Calibri" w:hAnsi="Calibri" w:cs="Calibri"/>
          <w:noProof/>
        </w:rPr>
        <w:tab/>
        <w:t>NHS. NHS Mental health implementation plan. 2019;(July):7pp. Available from: https://nhsproviders.org/resource-library/the-mental-health-implementation-plan-201920-202324%0Ahttps://www.longtermplan.nhs.uk/publication/nhs-mental-health-implementation-plan-2019-20-2023-24/</w:t>
      </w:r>
      <w:r w:rsidR="00356AB4">
        <w:rPr>
          <w:rFonts w:ascii="Calibri" w:hAnsi="Calibri" w:cs="Calibri"/>
          <w:noProof/>
        </w:rPr>
        <w:t xml:space="preserve"> (last accessed 24/6/22)</w:t>
      </w:r>
    </w:p>
    <w:p w14:paraId="5DC52B58" w14:textId="69786C50"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39. </w:t>
      </w:r>
      <w:r w:rsidRPr="006A5B59">
        <w:rPr>
          <w:rFonts w:ascii="Calibri" w:hAnsi="Calibri" w:cs="Calibri"/>
          <w:noProof/>
        </w:rPr>
        <w:tab/>
        <w:t>Scally G, Jacobson B, Abbasi K. The UK’s public health response to covid-19. BMJ [Internet]. 2020 May 15;369:m1932. Available from: http://www.bmj.com/content/369/bmj.m1932.abstract</w:t>
      </w:r>
      <w:r w:rsidR="00356AB4">
        <w:rPr>
          <w:rFonts w:ascii="Calibri" w:hAnsi="Calibri" w:cs="Calibri"/>
          <w:noProof/>
        </w:rPr>
        <w:t xml:space="preserve"> (last accessed 24/6/22)</w:t>
      </w:r>
    </w:p>
    <w:p w14:paraId="701CB611" w14:textId="73695E3A"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40. </w:t>
      </w:r>
      <w:r w:rsidRPr="006A5B59">
        <w:rPr>
          <w:rFonts w:ascii="Calibri" w:hAnsi="Calibri" w:cs="Calibri"/>
          <w:noProof/>
        </w:rPr>
        <w:tab/>
        <w:t>Department for Health &amp; Social Care. Integration and Innovation : working together to improve health and social care for all [Internet]. 2021. Available from: https://assets.publishing.service.gov.uk/government/uploads/system/uploads/attachment_data/file/960548/integration-and-innovation-working-together-to-improve-health-and-social-care-for-all-web-version.pdf</w:t>
      </w:r>
      <w:r w:rsidR="00356AB4">
        <w:rPr>
          <w:rFonts w:ascii="Calibri" w:hAnsi="Calibri" w:cs="Calibri"/>
          <w:noProof/>
        </w:rPr>
        <w:t xml:space="preserve"> (last accessed 24/6/22)</w:t>
      </w:r>
    </w:p>
    <w:p w14:paraId="1881A7FC" w14:textId="70E60C8E"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41. </w:t>
      </w:r>
      <w:r w:rsidRPr="006A5B59">
        <w:rPr>
          <w:rFonts w:ascii="Calibri" w:hAnsi="Calibri" w:cs="Calibri"/>
          <w:noProof/>
        </w:rPr>
        <w:tab/>
        <w:t xml:space="preserve">Care Quality Commission. A new strategy for the changing world of health and social care. 2021. </w:t>
      </w:r>
      <w:r w:rsidR="00356AB4" w:rsidRPr="00356AB4">
        <w:rPr>
          <w:rFonts w:ascii="Calibri" w:hAnsi="Calibri" w:cs="Calibri"/>
          <w:noProof/>
        </w:rPr>
        <w:t>https://www.cqc.org.uk/about-us/our-strategy-plans/new-strategy-changing-world-health-social-care-cqcs-strategy-2021</w:t>
      </w:r>
      <w:r w:rsidR="00356AB4">
        <w:rPr>
          <w:rFonts w:ascii="Calibri" w:hAnsi="Calibri" w:cs="Calibri"/>
          <w:noProof/>
        </w:rPr>
        <w:t xml:space="preserve">  (last accessed 24/6/22)</w:t>
      </w:r>
    </w:p>
    <w:p w14:paraId="41162120" w14:textId="1FF6DF23"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42. </w:t>
      </w:r>
      <w:r w:rsidRPr="006A5B59">
        <w:rPr>
          <w:rFonts w:ascii="Calibri" w:hAnsi="Calibri" w:cs="Calibri"/>
          <w:noProof/>
        </w:rPr>
        <w:tab/>
        <w:t>Ham C. ICSs should focus on relationships as much as governance. Health Service Journal [Internet]. 2021; Available from: https://www.hsj.co.uk/service-design/icss-should-focus-on-relationships-as-much-as-governance/7030375.article</w:t>
      </w:r>
      <w:r w:rsidR="00356AB4">
        <w:rPr>
          <w:rFonts w:ascii="Calibri" w:hAnsi="Calibri" w:cs="Calibri"/>
          <w:noProof/>
        </w:rPr>
        <w:t xml:space="preserve"> (last accessed 24/6/22)</w:t>
      </w:r>
    </w:p>
    <w:p w14:paraId="0901936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43. </w:t>
      </w:r>
      <w:r w:rsidRPr="006A5B59">
        <w:rPr>
          <w:rFonts w:ascii="Calibri" w:hAnsi="Calibri" w:cs="Calibri"/>
          <w:noProof/>
        </w:rPr>
        <w:tab/>
      </w:r>
      <w:bookmarkStart w:id="162" w:name="_Hlk106976743"/>
      <w:r w:rsidRPr="006A5B59">
        <w:rPr>
          <w:rFonts w:ascii="Calibri" w:hAnsi="Calibri" w:cs="Calibri"/>
          <w:noProof/>
        </w:rPr>
        <w:t>Carnall Farrar. BLMK ICS stocktake. 2020</w:t>
      </w:r>
      <w:bookmarkEnd w:id="162"/>
      <w:r w:rsidRPr="006A5B59">
        <w:rPr>
          <w:rFonts w:ascii="Calibri" w:hAnsi="Calibri" w:cs="Calibri"/>
          <w:noProof/>
        </w:rPr>
        <w:t xml:space="preserve">. </w:t>
      </w:r>
    </w:p>
    <w:p w14:paraId="1C80BAE6" w14:textId="550B2422"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44. </w:t>
      </w:r>
      <w:r w:rsidRPr="006A5B59">
        <w:rPr>
          <w:rFonts w:ascii="Calibri" w:hAnsi="Calibri" w:cs="Calibri"/>
          <w:noProof/>
        </w:rPr>
        <w:tab/>
        <w:t xml:space="preserve">NHS Employers. Trustworthy Collaboration. 2017;1–56. </w:t>
      </w:r>
      <w:r w:rsidR="00536E4B" w:rsidRPr="00536E4B">
        <w:rPr>
          <w:rFonts w:ascii="Calibri" w:hAnsi="Calibri" w:cs="Calibri"/>
          <w:noProof/>
        </w:rPr>
        <w:t>https://vdocument.in/trustworthy-collaboration-nhs-employers-mediaemployers-they-are-cooperative.html?page=1</w:t>
      </w:r>
      <w:r w:rsidR="00536E4B">
        <w:rPr>
          <w:rFonts w:ascii="Calibri" w:hAnsi="Calibri" w:cs="Calibri"/>
          <w:noProof/>
        </w:rPr>
        <w:t xml:space="preserve"> </w:t>
      </w:r>
      <w:r w:rsidR="00536E4B" w:rsidRPr="00536E4B">
        <w:rPr>
          <w:rFonts w:ascii="Calibri" w:hAnsi="Calibri" w:cs="Calibri"/>
          <w:noProof/>
        </w:rPr>
        <w:t>(last accessed 24/6/22)</w:t>
      </w:r>
    </w:p>
    <w:p w14:paraId="118ED34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45. </w:t>
      </w:r>
      <w:r w:rsidRPr="006A5B59">
        <w:rPr>
          <w:rFonts w:ascii="Calibri" w:hAnsi="Calibri" w:cs="Calibri"/>
          <w:noProof/>
        </w:rPr>
        <w:tab/>
        <w:t>Brennan S. Integrated care systems to be CQC-rated, says Hancock. Health Service Journal [Internet]. 2021; Available from: https://www.hsj.co.uk/policy-and-regulation/integrated-care-systems-to-be-cqc-rated-says-hancock/7029604.article</w:t>
      </w:r>
    </w:p>
    <w:p w14:paraId="2F4C672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46. </w:t>
      </w:r>
      <w:r w:rsidRPr="006A5B59">
        <w:rPr>
          <w:rFonts w:ascii="Calibri" w:hAnsi="Calibri" w:cs="Calibri"/>
          <w:noProof/>
        </w:rPr>
        <w:tab/>
        <w:t xml:space="preserve">Sanderson M, Allen P, Moran V, McDermott I, Osipovic D. Agreeing the allocation of scarce resources in the English NHS: Ostrom, common pool resources and the role of the state. Soc Sci Med. 2020;250:112888. </w:t>
      </w:r>
    </w:p>
    <w:p w14:paraId="211EB9A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47. </w:t>
      </w:r>
      <w:r w:rsidRPr="006A5B59">
        <w:rPr>
          <w:rFonts w:ascii="Calibri" w:hAnsi="Calibri" w:cs="Calibri"/>
          <w:noProof/>
        </w:rPr>
        <w:tab/>
        <w:t xml:space="preserve">Ball R, Forbes T, Parris M, Forsyth L. The evaluation of partnership working in the delivery of health and social care. Public Policy Adm. 2010;25(4):387–407. </w:t>
      </w:r>
    </w:p>
    <w:p w14:paraId="32C638F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48. </w:t>
      </w:r>
      <w:r w:rsidRPr="006A5B59">
        <w:rPr>
          <w:rFonts w:ascii="Calibri" w:hAnsi="Calibri" w:cs="Calibri"/>
          <w:noProof/>
        </w:rPr>
        <w:tab/>
        <w:t xml:space="preserve">Dickinson H, Sullivan H. Towards a general theory of collaborative performance: The importance of efficacy and agency. Public Adm. 2014;92(1):161–77. </w:t>
      </w:r>
    </w:p>
    <w:p w14:paraId="7984B6D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49. </w:t>
      </w:r>
      <w:r w:rsidRPr="006A5B59">
        <w:rPr>
          <w:rFonts w:ascii="Calibri" w:hAnsi="Calibri" w:cs="Calibri"/>
          <w:noProof/>
        </w:rPr>
        <w:tab/>
        <w:t xml:space="preserve">Lewis RQ, Ling T. Integrated care pilots in England revisited. J Integr Care. 2019; </w:t>
      </w:r>
    </w:p>
    <w:p w14:paraId="7366749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50. </w:t>
      </w:r>
      <w:r w:rsidRPr="006A5B59">
        <w:rPr>
          <w:rFonts w:ascii="Calibri" w:hAnsi="Calibri" w:cs="Calibri"/>
          <w:noProof/>
        </w:rPr>
        <w:tab/>
        <w:t xml:space="preserve">Sullivan H, Williams P, Marchington M, Knight L. Collaborative futures: discursive realignments in austere times. Public Money Manag. 2013;33(2):123–30. </w:t>
      </w:r>
    </w:p>
    <w:p w14:paraId="3C94EBF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51. </w:t>
      </w:r>
      <w:r w:rsidRPr="006A5B59">
        <w:rPr>
          <w:rFonts w:ascii="Calibri" w:hAnsi="Calibri" w:cs="Calibri"/>
          <w:noProof/>
        </w:rPr>
        <w:tab/>
        <w:t xml:space="preserve">Silvia C. Evaluating Collaboration: The Solution to One Problem Often Causes Another. Public Adm Rev. 2018;78(3):472–8. </w:t>
      </w:r>
    </w:p>
    <w:p w14:paraId="382DA52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52. </w:t>
      </w:r>
      <w:r w:rsidRPr="006A5B59">
        <w:rPr>
          <w:rFonts w:ascii="Calibri" w:hAnsi="Calibri" w:cs="Calibri"/>
          <w:noProof/>
        </w:rPr>
        <w:tab/>
        <w:t xml:space="preserve">O’Flynn J. The cult of collaboration in public policy. Aust J Public Adm. 2009;68(1):112–6. </w:t>
      </w:r>
    </w:p>
    <w:p w14:paraId="4A264A2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53. </w:t>
      </w:r>
      <w:r w:rsidRPr="006A5B59">
        <w:rPr>
          <w:rFonts w:ascii="Calibri" w:hAnsi="Calibri" w:cs="Calibri"/>
          <w:noProof/>
        </w:rPr>
        <w:tab/>
        <w:t>Guarneros-Meza V, Downe J, Martin S. Defining, achieving, and evaluating collaborative outcomes: a theory of change approach. Public Manag Rev [Internet]. 2018;20(10):1562–80. Available from: https://doi.org/10.1080/14719037.2017.1383782</w:t>
      </w:r>
    </w:p>
    <w:p w14:paraId="39F854E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54. </w:t>
      </w:r>
      <w:r w:rsidRPr="006A5B59">
        <w:rPr>
          <w:rFonts w:ascii="Calibri" w:hAnsi="Calibri" w:cs="Calibri"/>
          <w:noProof/>
        </w:rPr>
        <w:tab/>
        <w:t>Jagosh J, Bush PL, Salsberg J, Macaulay AC, Greenhalgh T, Wong G, et al. A realist evaluation of community-based participatory research: Partnership synergy, trust building and related ripple effects. BMC Public Health [Internet]. 2015;15(1):1–11. Available from: http://dx.doi.org/10.1186/s12889-015-1949-1</w:t>
      </w:r>
    </w:p>
    <w:p w14:paraId="06DCD58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55. </w:t>
      </w:r>
      <w:r w:rsidRPr="006A5B59">
        <w:rPr>
          <w:rFonts w:ascii="Calibri" w:hAnsi="Calibri" w:cs="Calibri"/>
          <w:noProof/>
        </w:rPr>
        <w:tab/>
        <w:t xml:space="preserve">Westhorp G. Using complexity-consistent theory for evaluating complex systems. Evaluation. 2012;18(4):405–20. </w:t>
      </w:r>
    </w:p>
    <w:p w14:paraId="60F7EF0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56. </w:t>
      </w:r>
      <w:r w:rsidRPr="006A5B59">
        <w:rPr>
          <w:rFonts w:ascii="Calibri" w:hAnsi="Calibri" w:cs="Calibri"/>
          <w:noProof/>
        </w:rPr>
        <w:tab/>
        <w:t xml:space="preserve">Westhorp G. Developing complexity-consistent theory in a realist investigation. Evaluation. 2013; </w:t>
      </w:r>
    </w:p>
    <w:p w14:paraId="2299199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57. </w:t>
      </w:r>
      <w:r w:rsidRPr="006A5B59">
        <w:rPr>
          <w:rFonts w:ascii="Calibri" w:hAnsi="Calibri" w:cs="Calibri"/>
          <w:noProof/>
        </w:rPr>
        <w:tab/>
        <w:t xml:space="preserve">Elston JM. Partnerships. In: Oxford Handbook of Public Health 3rd Ed. Oxford: Oxford University Press; 2013. p. 526–38. </w:t>
      </w:r>
    </w:p>
    <w:p w14:paraId="66766A2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58. </w:t>
      </w:r>
      <w:r w:rsidRPr="006A5B59">
        <w:rPr>
          <w:rFonts w:ascii="Calibri" w:hAnsi="Calibri" w:cs="Calibri"/>
          <w:noProof/>
        </w:rPr>
        <w:tab/>
        <w:t xml:space="preserve">Crowley LG, Karim A. Conceptual model of partnering. J Manag Eng. 1995;11(5):33–9. </w:t>
      </w:r>
    </w:p>
    <w:p w14:paraId="67D22C0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59. </w:t>
      </w:r>
      <w:r w:rsidRPr="006A5B59">
        <w:rPr>
          <w:rFonts w:ascii="Calibri" w:hAnsi="Calibri" w:cs="Calibri"/>
          <w:noProof/>
        </w:rPr>
        <w:tab/>
        <w:t xml:space="preserve">Keyton J, Ford DJ, Smith FL. A mesolevel communicative model of collaboration. Commun Theory. 2008;18(3):376–406. </w:t>
      </w:r>
    </w:p>
    <w:p w14:paraId="04F02A0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60. </w:t>
      </w:r>
      <w:r w:rsidRPr="006A5B59">
        <w:rPr>
          <w:rFonts w:ascii="Calibri" w:hAnsi="Calibri" w:cs="Calibri"/>
          <w:noProof/>
        </w:rPr>
        <w:tab/>
        <w:t xml:space="preserve">Casey M. Partnership - Success factors of interorganizational relationships. J Nurs Manag. 2008;16(1):72–83. </w:t>
      </w:r>
    </w:p>
    <w:p w14:paraId="0C889FA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61. </w:t>
      </w:r>
      <w:r w:rsidRPr="006A5B59">
        <w:rPr>
          <w:rFonts w:ascii="Calibri" w:hAnsi="Calibri" w:cs="Calibri"/>
          <w:noProof/>
        </w:rPr>
        <w:tab/>
        <w:t>Aunger JA, Millar R, Greenhalgh J, Mannion R, Rafferty AM, McLeod H. Building an initial realist theory of partnering across National Health Service providers. J Integr Care [Internet]. 2020 Sep 22; Available from: https://www.emerald.com/insight/content/doi/10.1108/JICA-05-2020-0026/full/html</w:t>
      </w:r>
    </w:p>
    <w:p w14:paraId="7061154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62. </w:t>
      </w:r>
      <w:r w:rsidRPr="006A5B59">
        <w:rPr>
          <w:rFonts w:ascii="Calibri" w:hAnsi="Calibri" w:cs="Calibri"/>
          <w:noProof/>
        </w:rPr>
        <w:tab/>
        <w:t xml:space="preserve">Sullivan H, Skelcher C. Working Across Boundaries: Collaboration in Public Services. Vol. 11, Health and Social Care in the Community. 2003. 185–185 p. </w:t>
      </w:r>
    </w:p>
    <w:p w14:paraId="577AB95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63. </w:t>
      </w:r>
      <w:r w:rsidRPr="006A5B59">
        <w:rPr>
          <w:rFonts w:ascii="Calibri" w:hAnsi="Calibri" w:cs="Calibri"/>
          <w:noProof/>
        </w:rPr>
        <w:tab/>
        <w:t xml:space="preserve">Skelcher C, Sullivan H. Theory-driven approaches to analysing collaborative performance. Public Manag Rev. 2008;10(6):751–71. </w:t>
      </w:r>
    </w:p>
    <w:p w14:paraId="1A25D37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64. </w:t>
      </w:r>
      <w:r w:rsidRPr="006A5B59">
        <w:rPr>
          <w:rFonts w:ascii="Calibri" w:hAnsi="Calibri" w:cs="Calibri"/>
          <w:noProof/>
        </w:rPr>
        <w:tab/>
        <w:t xml:space="preserve">NHS England. No hospital is an island: learning from the Acute Care Collaboration vanguards. 2018;(January). </w:t>
      </w:r>
    </w:p>
    <w:p w14:paraId="382E5C4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65. </w:t>
      </w:r>
      <w:r w:rsidRPr="006A5B59">
        <w:rPr>
          <w:rFonts w:ascii="Calibri" w:hAnsi="Calibri" w:cs="Calibri"/>
          <w:noProof/>
        </w:rPr>
        <w:tab/>
        <w:t xml:space="preserve">Northern Ireland Audit Office. Making Partnerships Work. CDS; 2019. </w:t>
      </w:r>
    </w:p>
    <w:p w14:paraId="6597577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66. </w:t>
      </w:r>
      <w:r w:rsidRPr="006A5B59">
        <w:rPr>
          <w:rFonts w:ascii="Calibri" w:hAnsi="Calibri" w:cs="Calibri"/>
          <w:noProof/>
        </w:rPr>
        <w:tab/>
        <w:t xml:space="preserve">Salignac F, Marjolin A, Noone J, Carey G. Measuring dynamic collaborations: Collaborative health assessment tool. Aust J Public Adm. 2019;78(2):227–49. </w:t>
      </w:r>
    </w:p>
    <w:p w14:paraId="7A03BFE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67. </w:t>
      </w:r>
      <w:r w:rsidRPr="006A5B59">
        <w:rPr>
          <w:rFonts w:ascii="Calibri" w:hAnsi="Calibri" w:cs="Calibri"/>
          <w:noProof/>
        </w:rPr>
        <w:tab/>
        <w:t xml:space="preserve">Andrews R, Boyne GA. Capacity, leadership, and organizational performance: Testing the black box model of public management. Public Adm Rev. 2010;70(3):443–54. </w:t>
      </w:r>
    </w:p>
    <w:p w14:paraId="7CE6FAC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68. </w:t>
      </w:r>
      <w:r w:rsidRPr="006A5B59">
        <w:rPr>
          <w:rFonts w:ascii="Calibri" w:hAnsi="Calibri" w:cs="Calibri"/>
          <w:noProof/>
        </w:rPr>
        <w:tab/>
        <w:t xml:space="preserve">Mandell M, Keast R. Evaluating network arrangements: Toward revised performance measures. Public Perform Manag Rev. 2007;30(4):574–97. </w:t>
      </w:r>
    </w:p>
    <w:p w14:paraId="442FA51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69. </w:t>
      </w:r>
      <w:r w:rsidRPr="006A5B59">
        <w:rPr>
          <w:rFonts w:ascii="Calibri" w:hAnsi="Calibri" w:cs="Calibri"/>
          <w:noProof/>
        </w:rPr>
        <w:tab/>
        <w:t>Guy’s and St Thomas’ Healthcare Alliance. Healthcare Alliance Five-year strategy [Internet]. 2017. Available from: https://www.guysandstthomas.nhs.uk/resources/innovation/healthcare-alliance-five-year-strategy.pdf</w:t>
      </w:r>
    </w:p>
    <w:p w14:paraId="72DD6CD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70. </w:t>
      </w:r>
      <w:r w:rsidRPr="006A5B59">
        <w:rPr>
          <w:rFonts w:ascii="Calibri" w:hAnsi="Calibri" w:cs="Calibri"/>
          <w:noProof/>
        </w:rPr>
        <w:tab/>
        <w:t xml:space="preserve">Markham B, Lomas J. Review of the Multi-Hospital Arrangements Literature: Benefits, Disadvantages and Lessons for Implementation. Healthc Manag Forum. 1995;8(3):24–35. </w:t>
      </w:r>
    </w:p>
    <w:p w14:paraId="33A5A696"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71. </w:t>
      </w:r>
      <w:r w:rsidRPr="006A5B59">
        <w:rPr>
          <w:rFonts w:ascii="Calibri" w:hAnsi="Calibri" w:cs="Calibri"/>
          <w:noProof/>
        </w:rPr>
        <w:tab/>
        <w:t xml:space="preserve">Barringer BR, Harrison JS. Walking a tightrope: Creating value through interorganizational relationships. J Manage. 2000;26(3):367–403. </w:t>
      </w:r>
    </w:p>
    <w:p w14:paraId="74F495B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72. </w:t>
      </w:r>
      <w:r w:rsidRPr="006A5B59">
        <w:rPr>
          <w:rFonts w:ascii="Calibri" w:hAnsi="Calibri" w:cs="Calibri"/>
          <w:noProof/>
        </w:rPr>
        <w:tab/>
        <w:t xml:space="preserve">Bogue RJ, Shortell SM, Sohn MW, Manheim LM, Bazzoli G, Chan C. Hospital reorganization after merger. Med Care. 1995;676–86. </w:t>
      </w:r>
    </w:p>
    <w:p w14:paraId="66217E4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73. </w:t>
      </w:r>
      <w:r w:rsidRPr="006A5B59">
        <w:rPr>
          <w:rFonts w:ascii="Calibri" w:hAnsi="Calibri" w:cs="Calibri"/>
          <w:noProof/>
        </w:rPr>
        <w:tab/>
        <w:t xml:space="preserve">Barro JR, Cutler DM. consolidation is driven primarily by a large decline in the demand for hospital beds, resulting from. Health Care (Don Mills). 1997; </w:t>
      </w:r>
    </w:p>
    <w:p w14:paraId="2DF6452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74. </w:t>
      </w:r>
      <w:r w:rsidRPr="006A5B59">
        <w:rPr>
          <w:rFonts w:ascii="Calibri" w:hAnsi="Calibri" w:cs="Calibri"/>
          <w:noProof/>
        </w:rPr>
        <w:tab/>
        <w:t xml:space="preserve">Brooks GR, Jones VG. Hospital mergers and market overlap. Health Serv Res. 1997;31(6):701. </w:t>
      </w:r>
    </w:p>
    <w:p w14:paraId="5BC6ECE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75. </w:t>
      </w:r>
      <w:r w:rsidRPr="006A5B59">
        <w:rPr>
          <w:rFonts w:ascii="Calibri" w:hAnsi="Calibri" w:cs="Calibri"/>
          <w:noProof/>
        </w:rPr>
        <w:tab/>
        <w:t xml:space="preserve">Gaynor M, Haas-Wilson D. Change, consolidation, and competition in health care markets. J Econ Perspect. 1999;13(1):141–64. </w:t>
      </w:r>
    </w:p>
    <w:p w14:paraId="797C86E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76. </w:t>
      </w:r>
      <w:r w:rsidRPr="006A5B59">
        <w:rPr>
          <w:rFonts w:ascii="Calibri" w:hAnsi="Calibri" w:cs="Calibri"/>
          <w:noProof/>
        </w:rPr>
        <w:tab/>
        <w:t xml:space="preserve">Angeli F, Maarse H. Mergers and acquisitions in Western European health care: Exploring the role of financial services organizations. Health Policy (New York). 2012;105(2–3):265–72. </w:t>
      </w:r>
    </w:p>
    <w:p w14:paraId="394F61D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77. </w:t>
      </w:r>
      <w:r w:rsidRPr="006A5B59">
        <w:rPr>
          <w:rFonts w:ascii="Calibri" w:hAnsi="Calibri" w:cs="Calibri"/>
          <w:noProof/>
        </w:rPr>
        <w:tab/>
        <w:t xml:space="preserve">Field J, Peck E. Mergers and acquisitions in the private sector: What are the lessons for health and social services? Soc Policy Adm. 2003;37(7):742–55. </w:t>
      </w:r>
    </w:p>
    <w:p w14:paraId="35688756"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78. </w:t>
      </w:r>
      <w:r w:rsidRPr="006A5B59">
        <w:rPr>
          <w:rFonts w:ascii="Calibri" w:hAnsi="Calibri" w:cs="Calibri"/>
          <w:noProof/>
        </w:rPr>
        <w:tab/>
        <w:t xml:space="preserve">Postma J, Roos AF. Why healthcare providers merge. Heal Econ Policy Law. 2016;11(2):121–40. </w:t>
      </w:r>
    </w:p>
    <w:p w14:paraId="061CC41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79. </w:t>
      </w:r>
      <w:r w:rsidRPr="006A5B59">
        <w:rPr>
          <w:rFonts w:ascii="Calibri" w:hAnsi="Calibri" w:cs="Calibri"/>
          <w:noProof/>
        </w:rPr>
        <w:tab/>
        <w:t xml:space="preserve">Jensen MC, Meckling WH. Theory of the firm: Managerial behavior, agency costs and ownership structure. J financ econ. 1976;3(4):305–60. </w:t>
      </w:r>
    </w:p>
    <w:p w14:paraId="189C462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80. </w:t>
      </w:r>
      <w:r w:rsidRPr="006A5B59">
        <w:rPr>
          <w:rFonts w:ascii="Calibri" w:hAnsi="Calibri" w:cs="Calibri"/>
          <w:noProof/>
        </w:rPr>
        <w:tab/>
        <w:t xml:space="preserve">Williamson OE. Transaction cost economics. Handb Ind Organ. 1989;1:135–82. </w:t>
      </w:r>
    </w:p>
    <w:p w14:paraId="3E3C3A2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81. </w:t>
      </w:r>
      <w:r w:rsidRPr="006A5B59">
        <w:rPr>
          <w:rFonts w:ascii="Calibri" w:hAnsi="Calibri" w:cs="Calibri"/>
          <w:noProof/>
        </w:rPr>
        <w:tab/>
        <w:t xml:space="preserve">Williamson OE. The economic institutions of capitalism. Firms, markets, relational contracting. In: Das Summa Summarum des Management. Springer; 2007. p. 61–75. </w:t>
      </w:r>
    </w:p>
    <w:p w14:paraId="278FF14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82. </w:t>
      </w:r>
      <w:r w:rsidRPr="006A5B59">
        <w:rPr>
          <w:rFonts w:ascii="Calibri" w:hAnsi="Calibri" w:cs="Calibri"/>
          <w:noProof/>
        </w:rPr>
        <w:tab/>
        <w:t xml:space="preserve">Rees J, Mullins D, Bovaird T. Third sector partnerships for public service delivery: an evidence review. 2012; </w:t>
      </w:r>
    </w:p>
    <w:p w14:paraId="5827844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83. </w:t>
      </w:r>
      <w:r w:rsidRPr="006A5B59">
        <w:rPr>
          <w:rFonts w:ascii="Calibri" w:hAnsi="Calibri" w:cs="Calibri"/>
          <w:noProof/>
        </w:rPr>
        <w:tab/>
        <w:t xml:space="preserve">Kristensen T, Bogetoft P, Pedersen KM. Potential gains from hospital mergers in Denmark. Health Care Manag Sci. 2010;13(4):334–45. </w:t>
      </w:r>
    </w:p>
    <w:p w14:paraId="7F0AC26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84. </w:t>
      </w:r>
      <w:r w:rsidRPr="006A5B59">
        <w:rPr>
          <w:rFonts w:ascii="Calibri" w:hAnsi="Calibri" w:cs="Calibri"/>
          <w:noProof/>
        </w:rPr>
        <w:tab/>
        <w:t>Gaynor M, Laudicella M, Propper C. Can governments do it better? Merger mania and hospital outcomes in the English NHS. Organisation U of BC for M and P, editor. 2012; Available from: http://www.bristol.ac.uk/cmpo/publications/papers/2012/wp281.pdf</w:t>
      </w:r>
    </w:p>
    <w:p w14:paraId="5AD0DA1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85. </w:t>
      </w:r>
      <w:r w:rsidRPr="006A5B59">
        <w:rPr>
          <w:rFonts w:ascii="Calibri" w:hAnsi="Calibri" w:cs="Calibri"/>
          <w:noProof/>
        </w:rPr>
        <w:tab/>
        <w:t xml:space="preserve">Fulop N, Protopsaltis G, Hutchings A, King A, Allen P, Normand C, et al. Process and impact of mergers of NHS trusts: Multicentre case study and management cost analysis. Br Med J. 2002;325(7358):246–9. </w:t>
      </w:r>
    </w:p>
    <w:p w14:paraId="194C453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86. </w:t>
      </w:r>
      <w:r w:rsidRPr="006A5B59">
        <w:rPr>
          <w:rFonts w:ascii="Calibri" w:hAnsi="Calibri" w:cs="Calibri"/>
          <w:noProof/>
        </w:rPr>
        <w:tab/>
        <w:t xml:space="preserve">Fulop N, Protopsaltis G, King A, Allen P, Hutchings A, Normand C. Changing organisations: a study of the context and processes of mergers of health care providers in England. Soc Sci Med. 2005;60(1):119–30. </w:t>
      </w:r>
    </w:p>
    <w:p w14:paraId="1E07BE5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87. </w:t>
      </w:r>
      <w:r w:rsidRPr="006A5B59">
        <w:rPr>
          <w:rFonts w:ascii="Calibri" w:hAnsi="Calibri" w:cs="Calibri"/>
          <w:noProof/>
        </w:rPr>
        <w:tab/>
        <w:t xml:space="preserve">Axelrod R, Mitchell W, Thomas RE, Bennett DS, Bruderer E. Coalition formation in standard-setting alliances. Manage Sci. 1995;41(9):1493–508. </w:t>
      </w:r>
    </w:p>
    <w:p w14:paraId="2A1E29B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88. </w:t>
      </w:r>
      <w:r w:rsidRPr="006A5B59">
        <w:rPr>
          <w:rFonts w:ascii="Calibri" w:hAnsi="Calibri" w:cs="Calibri"/>
          <w:noProof/>
        </w:rPr>
        <w:tab/>
        <w:t xml:space="preserve">Freeman RE. The politics of stakeholder theory: Some future directions. Bus ethics Q. 1994;409–21. </w:t>
      </w:r>
    </w:p>
    <w:p w14:paraId="6233DD1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89. </w:t>
      </w:r>
      <w:r w:rsidRPr="006A5B59">
        <w:rPr>
          <w:rFonts w:ascii="Calibri" w:hAnsi="Calibri" w:cs="Calibri"/>
          <w:noProof/>
        </w:rPr>
        <w:tab/>
        <w:t xml:space="preserve">Lowndes V, Skelcher C. The dynamics of multi-organizational partnerships: An analysis of changing modes of governance. Public Adm. 1998;76(2):313–33. </w:t>
      </w:r>
    </w:p>
    <w:p w14:paraId="7AB6E79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90. </w:t>
      </w:r>
      <w:r w:rsidRPr="006A5B59">
        <w:rPr>
          <w:rFonts w:ascii="Calibri" w:hAnsi="Calibri" w:cs="Calibri"/>
          <w:noProof/>
        </w:rPr>
        <w:tab/>
        <w:t xml:space="preserve">Van Raak A, Paulus A, Mur-Veeman I. Why do health and social care providers co-operate? Health Policy (New York). 2005;74(1):13–23. </w:t>
      </w:r>
    </w:p>
    <w:p w14:paraId="55DEA8C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91. </w:t>
      </w:r>
      <w:r w:rsidRPr="006A5B59">
        <w:rPr>
          <w:rFonts w:ascii="Calibri" w:hAnsi="Calibri" w:cs="Calibri"/>
          <w:noProof/>
        </w:rPr>
        <w:tab/>
        <w:t xml:space="preserve">Ham C, Dixon J, Chantler C. Clinically integrated systems: the future of NHS reform in England? Bmj. 2011;342. </w:t>
      </w:r>
    </w:p>
    <w:p w14:paraId="59FE958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92. </w:t>
      </w:r>
      <w:r w:rsidRPr="006A5B59">
        <w:rPr>
          <w:rFonts w:ascii="Calibri" w:hAnsi="Calibri" w:cs="Calibri"/>
          <w:noProof/>
        </w:rPr>
        <w:tab/>
        <w:t xml:space="preserve">Lester H, Glasby J, Tylee A. Integrated primary mental health care: threat or opportunity in the new NHS? Br J Gen Pract. 2004;54(501):285–91. </w:t>
      </w:r>
    </w:p>
    <w:p w14:paraId="16BAC90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93. </w:t>
      </w:r>
      <w:r w:rsidRPr="006A5B59">
        <w:rPr>
          <w:rFonts w:ascii="Calibri" w:hAnsi="Calibri" w:cs="Calibri"/>
          <w:noProof/>
        </w:rPr>
        <w:tab/>
        <w:t xml:space="preserve">Hogard E, Ellis R. An evaluation of a managed clinical network for personality disorder: breaking new ground or top dressing? J Eval Clin Pract. 2010;16(6):1147–56. </w:t>
      </w:r>
    </w:p>
    <w:p w14:paraId="16BE4CB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94. </w:t>
      </w:r>
      <w:r w:rsidRPr="006A5B59">
        <w:rPr>
          <w:rFonts w:ascii="Calibri" w:hAnsi="Calibri" w:cs="Calibri"/>
          <w:noProof/>
        </w:rPr>
        <w:tab/>
        <w:t xml:space="preserve">Hunter D, Perkins N. Partnership working in public health: The implications for governance of a systems approach. J Heal Serv Res Policy. 2012;17(SUPPL. 2):45–52. </w:t>
      </w:r>
    </w:p>
    <w:p w14:paraId="1D90B23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95. </w:t>
      </w:r>
      <w:r w:rsidRPr="006A5B59">
        <w:rPr>
          <w:rFonts w:ascii="Calibri" w:hAnsi="Calibri" w:cs="Calibri"/>
          <w:noProof/>
        </w:rPr>
        <w:tab/>
        <w:t xml:space="preserve">Perkins N, Hunter DJ. Health and Wellbeing Boards: a new dawn for public health partnerships? J Integr Care. 2014; </w:t>
      </w:r>
    </w:p>
    <w:p w14:paraId="5310A26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96. </w:t>
      </w:r>
      <w:r w:rsidRPr="006A5B59">
        <w:rPr>
          <w:rFonts w:ascii="Calibri" w:hAnsi="Calibri" w:cs="Calibri"/>
          <w:noProof/>
        </w:rPr>
        <w:tab/>
        <w:t xml:space="preserve">Williams P, Sullivan H. Despite all we know about collaborative working, why do we still get it wrong? J Integr Care. 2010; </w:t>
      </w:r>
    </w:p>
    <w:p w14:paraId="4032D70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97. </w:t>
      </w:r>
      <w:r w:rsidRPr="006A5B59">
        <w:rPr>
          <w:rFonts w:ascii="Calibri" w:hAnsi="Calibri" w:cs="Calibri"/>
          <w:noProof/>
        </w:rPr>
        <w:tab/>
        <w:t xml:space="preserve">Hardy C, Phillips N, Lawrence TB. Resources, knowledge and influence: The organizational effects of inter-organizational collaboration. J Manag Stud. 2003;40(2):321–47. </w:t>
      </w:r>
    </w:p>
    <w:p w14:paraId="7971102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98. </w:t>
      </w:r>
      <w:r w:rsidRPr="006A5B59">
        <w:rPr>
          <w:rFonts w:ascii="Calibri" w:hAnsi="Calibri" w:cs="Calibri"/>
          <w:noProof/>
        </w:rPr>
        <w:tab/>
        <w:t xml:space="preserve">Cohen WM, Levinthal DA. Absorptive capacity: A new perspective on learning and innovation. Adm Sci Q. 1990;128–52. </w:t>
      </w:r>
    </w:p>
    <w:p w14:paraId="01864AE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99. </w:t>
      </w:r>
      <w:r w:rsidRPr="006A5B59">
        <w:rPr>
          <w:rFonts w:ascii="Calibri" w:hAnsi="Calibri" w:cs="Calibri"/>
          <w:noProof/>
        </w:rPr>
        <w:tab/>
        <w:t xml:space="preserve">Child J, Faulkner D. Strategies of cooperation: Managing alliances, networks, and joint ventures. Oxford University; 1998. </w:t>
      </w:r>
    </w:p>
    <w:p w14:paraId="17F3DDA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100. </w:t>
      </w:r>
      <w:r w:rsidRPr="006A5B59">
        <w:rPr>
          <w:rFonts w:ascii="Calibri" w:hAnsi="Calibri" w:cs="Calibri"/>
          <w:noProof/>
        </w:rPr>
        <w:tab/>
        <w:t xml:space="preserve">Murray GF, D’Aunno T, Lewis VA. Trust, Money, and Power: Life Cycle Dynamics in Alliances Between Management Partners and Accountable Care Organizations. Milbank Q. 2018;96(4):755–81. </w:t>
      </w:r>
    </w:p>
    <w:p w14:paraId="018C0F5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101. </w:t>
      </w:r>
      <w:r w:rsidRPr="006A5B59">
        <w:rPr>
          <w:rFonts w:ascii="Calibri" w:hAnsi="Calibri" w:cs="Calibri"/>
          <w:noProof/>
        </w:rPr>
        <w:tab/>
        <w:t>Westra D, Angeli F, Carree M, Ruwaard D. Understanding competition between healthcare providers: Introducing an intermediary inter-organizational perspective. Health Policy (New York) [Internet]. 2017;121(2):149–57. Available from: http://dx.doi.org/10.1016/j.healthpol.2016.11.018</w:t>
      </w:r>
    </w:p>
    <w:p w14:paraId="753450C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102. </w:t>
      </w:r>
      <w:r w:rsidRPr="006A5B59">
        <w:rPr>
          <w:rFonts w:ascii="Calibri" w:hAnsi="Calibri" w:cs="Calibri"/>
          <w:noProof/>
        </w:rPr>
        <w:tab/>
        <w:t>Leach R, Banerjee S, Beer G, Tencheva S, Conn D, Waterman A, et al. QUALITY IMPROVEMENT: Supporting a hospital in difficulty: -experience of a “-buddying” agreement to implement a new medical pathway. Futur Healthc J [Internet]. 2019;6(1):67–75. Available from: http://ovidsp.ovid.com/ovidweb.cgi?T=JS&amp;PAGE=reference&amp;D=prem3&amp;NEWS=N&amp;AN=31098590</w:t>
      </w:r>
    </w:p>
    <w:p w14:paraId="730AF8C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103. </w:t>
      </w:r>
      <w:r w:rsidRPr="006A5B59">
        <w:rPr>
          <w:rFonts w:ascii="Calibri" w:hAnsi="Calibri" w:cs="Calibri"/>
          <w:noProof/>
        </w:rPr>
        <w:tab/>
        <w:t xml:space="preserve">Provan KG. Interorganizational cooperation and decision making autonomy in a consortium multihospital system. Acad Manag Rev. 1984;9(3):494–504. </w:t>
      </w:r>
    </w:p>
    <w:p w14:paraId="06F602D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104. </w:t>
      </w:r>
      <w:r w:rsidRPr="006A5B59">
        <w:rPr>
          <w:rFonts w:ascii="Calibri" w:hAnsi="Calibri" w:cs="Calibri"/>
          <w:noProof/>
        </w:rPr>
        <w:tab/>
        <w:t xml:space="preserve">Malatesta D, Smith CR. Lessons from resource dependence theory for contemporary public and nonprofit management. Public Adm Rev. 2014;74(1):14–25. </w:t>
      </w:r>
    </w:p>
    <w:p w14:paraId="26D6EBC3"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105. </w:t>
      </w:r>
      <w:r w:rsidRPr="006A5B59">
        <w:rPr>
          <w:rFonts w:ascii="Calibri" w:hAnsi="Calibri" w:cs="Calibri"/>
          <w:noProof/>
        </w:rPr>
        <w:tab/>
        <w:t xml:space="preserve">DiMaggio PJ, Powell WW. The iron cage revisited: Institutional isomorphism and collective rationality in organizational fields. Am Sociol Rev. 1983;147–60. </w:t>
      </w:r>
    </w:p>
    <w:p w14:paraId="1E1F578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106. </w:t>
      </w:r>
      <w:r w:rsidRPr="006A5B59">
        <w:rPr>
          <w:rFonts w:ascii="Calibri" w:hAnsi="Calibri" w:cs="Calibri"/>
          <w:noProof/>
        </w:rPr>
        <w:tab/>
        <w:t xml:space="preserve">Lamie J, Ball R. Evaluation of partnership working within a community planning context. Local Gov Stud. 2010;36(1):109–27. </w:t>
      </w:r>
    </w:p>
    <w:p w14:paraId="336DBF0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107. </w:t>
      </w:r>
      <w:r w:rsidRPr="006A5B59">
        <w:rPr>
          <w:rFonts w:ascii="Calibri" w:hAnsi="Calibri" w:cs="Calibri"/>
          <w:noProof/>
        </w:rPr>
        <w:tab/>
        <w:t xml:space="preserve">McCreadie C, Mathew D, Filinson R, Askham J. Ambiguity and cooperation in the implementation of adult protection policy. Soc Policy Adm. 2008;42(3):248–66. </w:t>
      </w:r>
    </w:p>
    <w:p w14:paraId="1445E8A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108. </w:t>
      </w:r>
      <w:r w:rsidRPr="006A5B59">
        <w:rPr>
          <w:rFonts w:ascii="Calibri" w:hAnsi="Calibri" w:cs="Calibri"/>
          <w:noProof/>
        </w:rPr>
        <w:tab/>
        <w:t xml:space="preserve">Garside P. Evidence based mergers?: Two things are important in mergers: clear goals, clearly communicated. British Medical Journal Publishing Group; 1999. </w:t>
      </w:r>
    </w:p>
    <w:p w14:paraId="58FB0D3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109. </w:t>
      </w:r>
      <w:r w:rsidRPr="006A5B59">
        <w:rPr>
          <w:rFonts w:ascii="Calibri" w:hAnsi="Calibri" w:cs="Calibri"/>
          <w:noProof/>
        </w:rPr>
        <w:tab/>
        <w:t xml:space="preserve">Fisher R, Thorlby R, Alderwick H. Understanding primary care networks. 2019; </w:t>
      </w:r>
    </w:p>
    <w:p w14:paraId="323783F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110. </w:t>
      </w:r>
      <w:r w:rsidRPr="006A5B59">
        <w:rPr>
          <w:rFonts w:ascii="Calibri" w:hAnsi="Calibri" w:cs="Calibri"/>
          <w:noProof/>
        </w:rPr>
        <w:tab/>
        <w:t xml:space="preserve">Hudson B, Hardy B. What is a ‘successful’ partnership and how can it be measured? In: Partnerships, New Labour and the governance of welfare. 2002. </w:t>
      </w:r>
    </w:p>
    <w:p w14:paraId="16CEC4B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111. </w:t>
      </w:r>
      <w:r w:rsidRPr="006A5B59">
        <w:rPr>
          <w:rFonts w:ascii="Calibri" w:hAnsi="Calibri" w:cs="Calibri"/>
          <w:noProof/>
        </w:rPr>
        <w:tab/>
        <w:t xml:space="preserve">Advancing Quality Alliance. System Integration Framework Assessment. 2014. p. 1. </w:t>
      </w:r>
    </w:p>
    <w:p w14:paraId="155E8C56"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112. </w:t>
      </w:r>
      <w:r w:rsidRPr="006A5B59">
        <w:rPr>
          <w:rFonts w:ascii="Calibri" w:hAnsi="Calibri" w:cs="Calibri"/>
          <w:noProof/>
        </w:rPr>
        <w:tab/>
        <w:t xml:space="preserve">Cartwright S, Cooper CL. The role of culture compatibility in successful organizational marriage. Acad Manag Perspect. 1993;7(2):57–70. </w:t>
      </w:r>
    </w:p>
    <w:p w14:paraId="673A748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113. </w:t>
      </w:r>
      <w:r w:rsidRPr="006A5B59">
        <w:rPr>
          <w:rFonts w:ascii="Calibri" w:hAnsi="Calibri" w:cs="Calibri"/>
          <w:noProof/>
        </w:rPr>
        <w:tab/>
        <w:t xml:space="preserve">Huxham C. Theorizing collaboration practice. Public Manag Rev. 2003;5(3):401–23. </w:t>
      </w:r>
    </w:p>
    <w:p w14:paraId="4894CB69" w14:textId="6A708C3E"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114. </w:t>
      </w:r>
      <w:r w:rsidRPr="006A5B59">
        <w:rPr>
          <w:rFonts w:ascii="Calibri" w:hAnsi="Calibri" w:cs="Calibri"/>
          <w:noProof/>
        </w:rPr>
        <w:tab/>
        <w:t xml:space="preserve">IAP. IAP2 spectrum of public participation. IAP2, Halifax; 2007. </w:t>
      </w:r>
      <w:r w:rsidR="00536E4B" w:rsidRPr="00536E4B">
        <w:rPr>
          <w:rFonts w:ascii="Calibri" w:hAnsi="Calibri" w:cs="Calibri"/>
          <w:noProof/>
        </w:rPr>
        <w:t>https://www.iap2.org/page/pillars</w:t>
      </w:r>
      <w:r w:rsidR="00536E4B">
        <w:rPr>
          <w:rFonts w:ascii="Calibri" w:hAnsi="Calibri" w:cs="Calibri"/>
          <w:noProof/>
        </w:rPr>
        <w:t xml:space="preserve"> (last accessed 24/6/22)</w:t>
      </w:r>
    </w:p>
    <w:p w14:paraId="0F4C64B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115. </w:t>
      </w:r>
      <w:r w:rsidRPr="006A5B59">
        <w:rPr>
          <w:rFonts w:ascii="Calibri" w:hAnsi="Calibri" w:cs="Calibri"/>
          <w:noProof/>
        </w:rPr>
        <w:tab/>
        <w:t xml:space="preserve">Lasker RD, Weiss ES, Miller R. Partnership Synergy: A Practical Framework for Studying and Strengthening the Collaborative Advantage. The Milbank Quartlerly. 2001;79(2):179–205. </w:t>
      </w:r>
    </w:p>
    <w:p w14:paraId="00C0BE1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116. </w:t>
      </w:r>
      <w:r w:rsidRPr="006A5B59">
        <w:rPr>
          <w:rFonts w:ascii="Calibri" w:hAnsi="Calibri" w:cs="Calibri"/>
          <w:noProof/>
        </w:rPr>
        <w:tab/>
        <w:t xml:space="preserve">Booth A, Carroll C. How to build up the actionable knowledge base: the role of “best fit” framework synthesis for studies of improvement in healthcare. BMJ Qual Saf. 2015;24(11):700–8. </w:t>
      </w:r>
    </w:p>
    <w:p w14:paraId="7D482FC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117. </w:t>
      </w:r>
      <w:r w:rsidRPr="006A5B59">
        <w:rPr>
          <w:rFonts w:ascii="Calibri" w:hAnsi="Calibri" w:cs="Calibri"/>
          <w:noProof/>
        </w:rPr>
        <w:tab/>
        <w:t xml:space="preserve">Child J, Faulkner D, Tallman S. Cooperative Strategy: Managing Alliances, Networks, and Joint Ventures. 2005; </w:t>
      </w:r>
    </w:p>
    <w:p w14:paraId="555D8F1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118. </w:t>
      </w:r>
      <w:r w:rsidRPr="006A5B59">
        <w:rPr>
          <w:rFonts w:ascii="Calibri" w:hAnsi="Calibri" w:cs="Calibri"/>
          <w:noProof/>
        </w:rPr>
        <w:tab/>
        <w:t xml:space="preserve">Gray B. Collaborating: Finding common ground for multiparty problems. 1989; </w:t>
      </w:r>
    </w:p>
    <w:p w14:paraId="0147CB7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119. </w:t>
      </w:r>
      <w:r w:rsidRPr="006A5B59">
        <w:rPr>
          <w:rFonts w:ascii="Calibri" w:hAnsi="Calibri" w:cs="Calibri"/>
          <w:noProof/>
        </w:rPr>
        <w:tab/>
        <w:t xml:space="preserve">Hudson B, Hardy B, Henwood M, Wistow G. In Pursuit of Inter-Agency Collaboration In The Public Sector. Public Manag An Int J Res Theory. 1999;1(2):235–60. </w:t>
      </w:r>
    </w:p>
    <w:p w14:paraId="3A5540B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120. </w:t>
      </w:r>
      <w:r w:rsidRPr="006A5B59">
        <w:rPr>
          <w:rFonts w:ascii="Calibri" w:hAnsi="Calibri" w:cs="Calibri"/>
          <w:noProof/>
        </w:rPr>
        <w:tab/>
        <w:t xml:space="preserve">Kanter RM. Becoming PALs: Pooling, allying, and linking across companies. Acad Manag Perspect. 1989;3(3):183–93. </w:t>
      </w:r>
    </w:p>
    <w:p w14:paraId="73A1687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121. </w:t>
      </w:r>
      <w:r w:rsidRPr="006A5B59">
        <w:rPr>
          <w:rFonts w:ascii="Calibri" w:hAnsi="Calibri" w:cs="Calibri"/>
          <w:noProof/>
        </w:rPr>
        <w:tab/>
        <w:t xml:space="preserve">ourpartnership.org.uk. Ourpartnership.org.uk. Guidance. 2007. </w:t>
      </w:r>
    </w:p>
    <w:p w14:paraId="12310E9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122. </w:t>
      </w:r>
      <w:r w:rsidRPr="006A5B59">
        <w:rPr>
          <w:rFonts w:ascii="Calibri" w:hAnsi="Calibri" w:cs="Calibri"/>
          <w:noProof/>
        </w:rPr>
        <w:tab/>
        <w:t xml:space="preserve">Wilson A, Charlton K. Making partnerships work: A practical guide for the public, private, voluntary and community sectors. Joseph Rowntree Foundation York; 1997. </w:t>
      </w:r>
    </w:p>
    <w:p w14:paraId="7F0AB39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123. </w:t>
      </w:r>
      <w:r w:rsidRPr="006A5B59">
        <w:rPr>
          <w:rFonts w:ascii="Calibri" w:hAnsi="Calibri" w:cs="Calibri"/>
          <w:noProof/>
        </w:rPr>
        <w:tab/>
        <w:t xml:space="preserve">Crisp BR, Swerissen H, Duckett SJ. Four approaches to capacity building in health: consequences for measurement and accountability. Health Promot Int. 2000;15(2):99–107. </w:t>
      </w:r>
    </w:p>
    <w:p w14:paraId="5897984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124. </w:t>
      </w:r>
      <w:r w:rsidRPr="006A5B59">
        <w:rPr>
          <w:rFonts w:ascii="Calibri" w:hAnsi="Calibri" w:cs="Calibri"/>
          <w:noProof/>
        </w:rPr>
        <w:tab/>
        <w:t xml:space="preserve">Tuckman BW, Jensen MAC. Stages of Small-Group Development. Gr Organ Stud. 1977;2(4):419–27. </w:t>
      </w:r>
    </w:p>
    <w:p w14:paraId="4ABA4E3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125. </w:t>
      </w:r>
      <w:r w:rsidRPr="006A5B59">
        <w:rPr>
          <w:rFonts w:ascii="Calibri" w:hAnsi="Calibri" w:cs="Calibri"/>
          <w:noProof/>
        </w:rPr>
        <w:tab/>
        <w:t xml:space="preserve">Axelsson R, Axelsson SB. Integration and collaboration in public health - A conceptual framework. Int J Health Plann Manage. 2006;21(1):75–88. </w:t>
      </w:r>
    </w:p>
    <w:p w14:paraId="6856523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126. </w:t>
      </w:r>
      <w:r w:rsidRPr="006A5B59">
        <w:rPr>
          <w:rFonts w:ascii="Calibri" w:hAnsi="Calibri" w:cs="Calibri"/>
          <w:noProof/>
        </w:rPr>
        <w:tab/>
        <w:t xml:space="preserve">Connell NAD, Mannion R. Conceptualisations of trust in the organisational literature: Some indicators from a complementary perspective. J Heal Organ Manag. 2006;20(5):417–33. </w:t>
      </w:r>
    </w:p>
    <w:p w14:paraId="529CEC7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127. </w:t>
      </w:r>
      <w:r w:rsidRPr="006A5B59">
        <w:rPr>
          <w:rFonts w:ascii="Calibri" w:hAnsi="Calibri" w:cs="Calibri"/>
          <w:noProof/>
        </w:rPr>
        <w:tab/>
        <w:t>Rycroft-Malone J, Burton CR, Wilkinson J, Harvey G, McCormack B, Baker R, et al. Collective action for implementation: A realist evaluation of organisational collaboration in healthcare. Implement Sci [Internet]. 2016;11(1):1–17. Available from: http://dx.doi.org/10.1186/s13012-016-0380-z</w:t>
      </w:r>
    </w:p>
    <w:p w14:paraId="6928349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128. </w:t>
      </w:r>
      <w:r w:rsidRPr="006A5B59">
        <w:rPr>
          <w:rFonts w:ascii="Calibri" w:hAnsi="Calibri" w:cs="Calibri"/>
          <w:noProof/>
        </w:rPr>
        <w:tab/>
        <w:t xml:space="preserve">Dixon-Woods M, Martin GP. Does quality improvement improve quality? Futur Hosp J. 2016;3(3):191–4. </w:t>
      </w:r>
    </w:p>
    <w:p w14:paraId="4676A13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129. </w:t>
      </w:r>
      <w:r w:rsidRPr="006A5B59">
        <w:rPr>
          <w:rFonts w:ascii="Calibri" w:hAnsi="Calibri" w:cs="Calibri"/>
          <w:noProof/>
        </w:rPr>
        <w:tab/>
        <w:t xml:space="preserve">Pawson R, Tilley N. Realistic evaluation. SAGE Publications Ltd.; 1997. 256 p. </w:t>
      </w:r>
    </w:p>
    <w:p w14:paraId="5014317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130. </w:t>
      </w:r>
      <w:r w:rsidRPr="006A5B59">
        <w:rPr>
          <w:rFonts w:ascii="Calibri" w:hAnsi="Calibri" w:cs="Calibri"/>
          <w:noProof/>
        </w:rPr>
        <w:tab/>
        <w:t xml:space="preserve">Wong G, Westhorp G, Pawson R, Greenhalgh T. Realist Synthesis. RAMESES Training Materials. The RAMESES Project. 2013. </w:t>
      </w:r>
    </w:p>
    <w:p w14:paraId="31BB9F8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131. </w:t>
      </w:r>
      <w:r w:rsidRPr="006A5B59">
        <w:rPr>
          <w:rFonts w:ascii="Calibri" w:hAnsi="Calibri" w:cs="Calibri"/>
          <w:noProof/>
        </w:rPr>
        <w:tab/>
        <w:t xml:space="preserve">Dalkin SM, Greenhalgh J, Jones D, Cunningham B, Lhussier M. What’s in a mechanism? Development of a key concept in realist evaluation. Implement Sci. 2015;10(1):1–7. </w:t>
      </w:r>
    </w:p>
    <w:p w14:paraId="05E45923"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132. </w:t>
      </w:r>
      <w:r w:rsidRPr="006A5B59">
        <w:rPr>
          <w:rFonts w:ascii="Calibri" w:hAnsi="Calibri" w:cs="Calibri"/>
          <w:noProof/>
        </w:rPr>
        <w:tab/>
        <w:t xml:space="preserve">Jagosh J, MacAulay AC, Pluye P, Salsberg J, Bush PL, Henderson J, et al. Uncovering the benefits of participatory research: Implications of a realist review for health research and practice. Milbank Q. 2012;90(2):311–46. </w:t>
      </w:r>
    </w:p>
    <w:p w14:paraId="243C4BB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133. </w:t>
      </w:r>
      <w:r w:rsidRPr="006A5B59">
        <w:rPr>
          <w:rFonts w:ascii="Calibri" w:hAnsi="Calibri" w:cs="Calibri"/>
          <w:noProof/>
        </w:rPr>
        <w:tab/>
        <w:t xml:space="preserve">Zamboni K, Baker U, Tyagi M, Schellenberg J, Hill Z, Hanson C. How and under what circumstances do quality improvement collaboratives lead to better outcomes? A systematic review. Implement Sci. 2020;15(1):27. </w:t>
      </w:r>
    </w:p>
    <w:p w14:paraId="38306CB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134. </w:t>
      </w:r>
      <w:r w:rsidRPr="006A5B59">
        <w:rPr>
          <w:rFonts w:ascii="Calibri" w:hAnsi="Calibri" w:cs="Calibri"/>
          <w:noProof/>
        </w:rPr>
        <w:tab/>
        <w:t xml:space="preserve">Wong G, Greenhalgh T, Westhorp G, Buckingham J, Pawson R. RAMESES publication standards: realist syntheses. BMC Med. 2013;11(21):2–14. </w:t>
      </w:r>
    </w:p>
    <w:p w14:paraId="34C770C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135. </w:t>
      </w:r>
      <w:r w:rsidRPr="006A5B59">
        <w:rPr>
          <w:rFonts w:ascii="Calibri" w:hAnsi="Calibri" w:cs="Calibri"/>
          <w:noProof/>
        </w:rPr>
        <w:tab/>
        <w:t xml:space="preserve">Aunger JA, Millar R, Greenhalgh J. When trust, confidence, and faith collide: refining a realist theory of how and why inter-organisational collaborations in healthcare work. BMC Health Serv Res. 2021;21(602). </w:t>
      </w:r>
    </w:p>
    <w:p w14:paraId="623EB3B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136. </w:t>
      </w:r>
      <w:r w:rsidRPr="006A5B59">
        <w:rPr>
          <w:rFonts w:ascii="Calibri" w:hAnsi="Calibri" w:cs="Calibri"/>
          <w:noProof/>
        </w:rPr>
        <w:tab/>
        <w:t xml:space="preserve">Wong G. Data gathering in realist reviews: looking for needles in haystacks. Doing Realis Res London SAGE. 2018; </w:t>
      </w:r>
    </w:p>
    <w:p w14:paraId="1A819ED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137. </w:t>
      </w:r>
      <w:r w:rsidRPr="006A5B59">
        <w:rPr>
          <w:rFonts w:ascii="Calibri" w:hAnsi="Calibri" w:cs="Calibri"/>
          <w:noProof/>
        </w:rPr>
        <w:tab/>
        <w:t xml:space="preserve">Pawson R, Greenhalgh T, Harvey G, Walshe K. Realist synthesis: an introduction. Manchester ESRC Res Methods Program Univ Manchester. 2004; </w:t>
      </w:r>
    </w:p>
    <w:p w14:paraId="79B787C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138. </w:t>
      </w:r>
      <w:r w:rsidRPr="006A5B59">
        <w:rPr>
          <w:rFonts w:ascii="Calibri" w:hAnsi="Calibri" w:cs="Calibri"/>
          <w:noProof/>
        </w:rPr>
        <w:tab/>
        <w:t xml:space="preserve">Aunger JA, Millar R, Greenhalgh J, Mannion R, Rafferty AM, McLeod H. Why do some inter-organisational collaborations in healthcare work when others do not? A realist review. Syst Rev. 2021;10(82). </w:t>
      </w:r>
    </w:p>
    <w:p w14:paraId="10DFD54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139. </w:t>
      </w:r>
      <w:r w:rsidRPr="006A5B59">
        <w:rPr>
          <w:rFonts w:ascii="Calibri" w:hAnsi="Calibri" w:cs="Calibri"/>
          <w:noProof/>
        </w:rPr>
        <w:tab/>
        <w:t xml:space="preserve">Wong G, Westhorp G, Manzano A, Greenhalgh J, Jagosh J, Greenhalgh T. RAMESES II reporting standards for realist evaluations. BMC Med. 2016;14(1):1–18. </w:t>
      </w:r>
    </w:p>
    <w:p w14:paraId="7606AAE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140. </w:t>
      </w:r>
      <w:r w:rsidRPr="006A5B59">
        <w:rPr>
          <w:rFonts w:ascii="Calibri" w:hAnsi="Calibri" w:cs="Calibri"/>
          <w:noProof/>
        </w:rPr>
        <w:tab/>
        <w:t xml:space="preserve">Millar R, Freeman T, Mannion R. Hospital board oversight of quality and safety: a stakeholder analysis exploring the role of trust and intelligence. BMC Health Serv Res. 2015; </w:t>
      </w:r>
    </w:p>
    <w:p w14:paraId="78D69DF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141. </w:t>
      </w:r>
      <w:r w:rsidRPr="006A5B59">
        <w:rPr>
          <w:rFonts w:ascii="Calibri" w:hAnsi="Calibri" w:cs="Calibri"/>
          <w:noProof/>
        </w:rPr>
        <w:tab/>
        <w:t xml:space="preserve">Manzano A. The craft of interviewing in realist evaluation. Evaluation. 2016;22(3):342–60. </w:t>
      </w:r>
    </w:p>
    <w:p w14:paraId="5C77860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142. </w:t>
      </w:r>
      <w:r w:rsidRPr="006A5B59">
        <w:rPr>
          <w:rFonts w:ascii="Calibri" w:hAnsi="Calibri" w:cs="Calibri"/>
          <w:noProof/>
        </w:rPr>
        <w:tab/>
        <w:t xml:space="preserve">Jagosh J. Retroductive theorizing in Pawson and Tilley’s applied scientific realism. J Crit Realis. 2020;19(2):121–30. </w:t>
      </w:r>
    </w:p>
    <w:p w14:paraId="705D2D9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143. </w:t>
      </w:r>
      <w:r w:rsidRPr="006A5B59">
        <w:rPr>
          <w:rFonts w:ascii="Calibri" w:hAnsi="Calibri" w:cs="Calibri"/>
          <w:noProof/>
        </w:rPr>
        <w:tab/>
        <w:t xml:space="preserve">Greenhalgh T, Pawson R, Wong G, Westhorp G, Greenhalgh J, Manzano A, et al. Retroduction in realist evaluation: The RAMESES II Project. 2017. </w:t>
      </w:r>
    </w:p>
    <w:p w14:paraId="41AA76B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144. </w:t>
      </w:r>
      <w:r w:rsidRPr="006A5B59">
        <w:rPr>
          <w:rFonts w:ascii="Calibri" w:hAnsi="Calibri" w:cs="Calibri"/>
          <w:noProof/>
        </w:rPr>
        <w:tab/>
        <w:t>Dalkin S, Forster N, Hodgson P, Lhussier M, Carr SM. Using computer assisted qualitative data analysis software (CAQDAS; NVivo) to assist in the complex process of realist theory generation, refinement and testing. Int J Soc Res Methodol [Internet]. 2021;24(1):123–34. Available from: https://doi.org/10.1080/13645579.2020.1803528</w:t>
      </w:r>
    </w:p>
    <w:p w14:paraId="4398E5F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145. </w:t>
      </w:r>
      <w:r w:rsidRPr="006A5B59">
        <w:rPr>
          <w:rFonts w:ascii="Calibri" w:hAnsi="Calibri" w:cs="Calibri"/>
          <w:noProof/>
        </w:rPr>
        <w:tab/>
        <w:t xml:space="preserve">Adedoyin AC, Miller M, Jackson MS, Dodor B, Hall K. Faculty experiences of merger and organizational change in a social work program. J Evidence-Informed Soc Work. 2016;13(1):87–98. </w:t>
      </w:r>
    </w:p>
    <w:p w14:paraId="5BBB9B0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146. </w:t>
      </w:r>
      <w:r w:rsidRPr="006A5B59">
        <w:rPr>
          <w:rFonts w:ascii="Calibri" w:hAnsi="Calibri" w:cs="Calibri"/>
          <w:noProof/>
        </w:rPr>
        <w:tab/>
        <w:t xml:space="preserve">Billings JR, De Weger E. Contracting for integrated health and social care: a critical review of four models. J Integr Care. 2015;23(3):153–75. </w:t>
      </w:r>
    </w:p>
    <w:p w14:paraId="4738763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147. </w:t>
      </w:r>
      <w:r w:rsidRPr="006A5B59">
        <w:rPr>
          <w:rFonts w:ascii="Calibri" w:hAnsi="Calibri" w:cs="Calibri"/>
          <w:noProof/>
        </w:rPr>
        <w:tab/>
        <w:t xml:space="preserve">Cameron A, Lart R, Bostock L. Factors that promote and hinder joint and integrated working between health and social care services : a review of research literature. Heal Soc Care Community. 2014;22(3):225–33. </w:t>
      </w:r>
    </w:p>
    <w:p w14:paraId="5C1C588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148. </w:t>
      </w:r>
      <w:r w:rsidRPr="006A5B59">
        <w:rPr>
          <w:rFonts w:ascii="Calibri" w:hAnsi="Calibri" w:cs="Calibri"/>
          <w:noProof/>
        </w:rPr>
        <w:tab/>
        <w:t>Care Quality Commission. Partnership working to deliver health and social care in cornwall [Internet]. Newcastle upon Tyne: Care Quality Commission; 2017. Available from: http://www.scie-socialcareonline.org.uk/partnership-working-to-deliver-health-and-social-care-in-cornwall-responding-to-a-risk-or-priority-in-an-area/r/a110f00000RCvMsAAL</w:t>
      </w:r>
    </w:p>
    <w:p w14:paraId="467C00A3"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149. </w:t>
      </w:r>
      <w:r w:rsidRPr="006A5B59">
        <w:rPr>
          <w:rFonts w:ascii="Calibri" w:hAnsi="Calibri" w:cs="Calibri"/>
          <w:noProof/>
        </w:rPr>
        <w:tab/>
        <w:t xml:space="preserve">Cereste M, Doherty NF, Travers CJ. An investigation into the level and impact of merger activity amongst hospitals in the UK’s National Health Service. J Health Organ Manag. 2003;17(1):6–24. </w:t>
      </w:r>
    </w:p>
    <w:p w14:paraId="1E315AC3" w14:textId="7F02F01F"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150. </w:t>
      </w:r>
      <w:r w:rsidRPr="006A5B59">
        <w:rPr>
          <w:rFonts w:ascii="Calibri" w:hAnsi="Calibri" w:cs="Calibri"/>
          <w:noProof/>
        </w:rPr>
        <w:tab/>
        <w:t xml:space="preserve">Community Network. Delivering neighbourhood-level integrated care in Haringey and Islington. 2020;(July). </w:t>
      </w:r>
      <w:r w:rsidR="00536E4B">
        <w:rPr>
          <w:rFonts w:ascii="Calibri" w:hAnsi="Calibri" w:cs="Calibri"/>
          <w:noProof/>
        </w:rPr>
        <w:t>(last accessed 24/6/22)</w:t>
      </w:r>
    </w:p>
    <w:p w14:paraId="6673B3BE" w14:textId="5F276EDA"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151. </w:t>
      </w:r>
      <w:r w:rsidRPr="006A5B59">
        <w:rPr>
          <w:rFonts w:ascii="Calibri" w:hAnsi="Calibri" w:cs="Calibri"/>
          <w:noProof/>
        </w:rPr>
        <w:tab/>
        <w:t xml:space="preserve">Community Network. Delivering neighbourhood-level integrated care in Norfolk. 2020;(July). </w:t>
      </w:r>
      <w:r w:rsidR="00536E4B" w:rsidRPr="00536E4B">
        <w:rPr>
          <w:rFonts w:ascii="Calibri" w:hAnsi="Calibri" w:cs="Calibri"/>
          <w:noProof/>
        </w:rPr>
        <w:t>https://www.nhsconfed.org/case-studies/delivering-neighbourhood-level-integrated-care-norfolk</w:t>
      </w:r>
      <w:r w:rsidR="00536E4B">
        <w:rPr>
          <w:rFonts w:ascii="Calibri" w:hAnsi="Calibri" w:cs="Calibri"/>
          <w:noProof/>
        </w:rPr>
        <w:t xml:space="preserve"> </w:t>
      </w:r>
      <w:r w:rsidR="00536E4B" w:rsidRPr="00536E4B">
        <w:rPr>
          <w:rFonts w:ascii="Calibri" w:hAnsi="Calibri" w:cs="Calibri"/>
          <w:noProof/>
        </w:rPr>
        <w:t>(last accessed 24/6/22)</w:t>
      </w:r>
    </w:p>
    <w:p w14:paraId="7FC3761B" w14:textId="1F3F5F3C"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152. </w:t>
      </w:r>
      <w:r w:rsidRPr="006A5B59">
        <w:rPr>
          <w:rFonts w:ascii="Calibri" w:hAnsi="Calibri" w:cs="Calibri"/>
          <w:noProof/>
        </w:rPr>
        <w:tab/>
        <w:t xml:space="preserve">Community Network. Delivering neighbourhood-level integrated care in Luton. 2020;(July). </w:t>
      </w:r>
      <w:r w:rsidR="00536E4B" w:rsidRPr="00536E4B">
        <w:rPr>
          <w:rFonts w:ascii="Calibri" w:hAnsi="Calibri" w:cs="Calibri"/>
          <w:noProof/>
        </w:rPr>
        <w:t>https://www.nhsconfed.org/case-studies/delivering-neighbourhood-level-integrated-care-luton</w:t>
      </w:r>
      <w:r w:rsidR="00536E4B">
        <w:rPr>
          <w:rFonts w:ascii="Calibri" w:hAnsi="Calibri" w:cs="Calibri"/>
          <w:noProof/>
        </w:rPr>
        <w:t xml:space="preserve"> </w:t>
      </w:r>
      <w:r w:rsidR="00536E4B" w:rsidRPr="00536E4B">
        <w:rPr>
          <w:rFonts w:ascii="Calibri" w:hAnsi="Calibri" w:cs="Calibri"/>
          <w:noProof/>
        </w:rPr>
        <w:t>(last accessed 24/6/22)</w:t>
      </w:r>
    </w:p>
    <w:p w14:paraId="0896F434" w14:textId="54ED8E74"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153. </w:t>
      </w:r>
      <w:r w:rsidRPr="006A5B59">
        <w:rPr>
          <w:rFonts w:ascii="Calibri" w:hAnsi="Calibri" w:cs="Calibri"/>
          <w:noProof/>
        </w:rPr>
        <w:tab/>
        <w:t xml:space="preserve">Community Network. Delivering integrated care at neighbourhood level. 2020;(July). </w:t>
      </w:r>
      <w:r w:rsidR="00536E4B" w:rsidRPr="00536E4B">
        <w:rPr>
          <w:rFonts w:ascii="Calibri" w:hAnsi="Calibri" w:cs="Calibri"/>
          <w:noProof/>
        </w:rPr>
        <w:t>https://www.nhsconfed.org/publications/delivering-integrated-care-neighbourhood-level</w:t>
      </w:r>
      <w:r w:rsidR="00536E4B">
        <w:rPr>
          <w:rFonts w:ascii="Calibri" w:hAnsi="Calibri" w:cs="Calibri"/>
          <w:noProof/>
        </w:rPr>
        <w:t xml:space="preserve"> </w:t>
      </w:r>
      <w:r w:rsidR="00536E4B" w:rsidRPr="00536E4B">
        <w:rPr>
          <w:rFonts w:ascii="Calibri" w:hAnsi="Calibri" w:cs="Calibri"/>
          <w:noProof/>
        </w:rPr>
        <w:t>(last accessed 24/6/22)</w:t>
      </w:r>
    </w:p>
    <w:p w14:paraId="22233540" w14:textId="63CF6C1D"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154. </w:t>
      </w:r>
      <w:r w:rsidRPr="006A5B59">
        <w:rPr>
          <w:rFonts w:ascii="Calibri" w:hAnsi="Calibri" w:cs="Calibri"/>
          <w:noProof/>
        </w:rPr>
        <w:tab/>
        <w:t xml:space="preserve">Community Network. Delivering neighbourhood-level integrated care in Leeds. 2020;(July). </w:t>
      </w:r>
      <w:r w:rsidR="00536E4B" w:rsidRPr="00536E4B">
        <w:rPr>
          <w:rFonts w:ascii="Calibri" w:hAnsi="Calibri" w:cs="Calibri"/>
          <w:noProof/>
        </w:rPr>
        <w:t>https://nhsproviders.org/media/690815/delivering-neighbourhood-level-integrated-care-leeds.pdf</w:t>
      </w:r>
      <w:r w:rsidR="00536E4B">
        <w:rPr>
          <w:rFonts w:ascii="Calibri" w:hAnsi="Calibri" w:cs="Calibri"/>
          <w:noProof/>
        </w:rPr>
        <w:t xml:space="preserve">  </w:t>
      </w:r>
      <w:r w:rsidR="00536E4B" w:rsidRPr="00536E4B">
        <w:rPr>
          <w:rFonts w:ascii="Calibri" w:hAnsi="Calibri" w:cs="Calibri"/>
          <w:noProof/>
        </w:rPr>
        <w:t>(last accessed 24/6/22)</w:t>
      </w:r>
    </w:p>
    <w:p w14:paraId="3BBEA13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155. </w:t>
      </w:r>
      <w:r w:rsidRPr="006A5B59">
        <w:rPr>
          <w:rFonts w:ascii="Calibri" w:hAnsi="Calibri" w:cs="Calibri"/>
          <w:noProof/>
        </w:rPr>
        <w:tab/>
        <w:t xml:space="preserve">Cortvriend P. Change management of mergers : the impact on NHS staff and their psychological contracts. Heal Serv Manag Res. 2004;17(3):177–87. </w:t>
      </w:r>
    </w:p>
    <w:p w14:paraId="1B3C2B21" w14:textId="0407EE9F"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156. </w:t>
      </w:r>
      <w:r w:rsidRPr="006A5B59">
        <w:rPr>
          <w:rFonts w:ascii="Calibri" w:hAnsi="Calibri" w:cs="Calibri"/>
          <w:noProof/>
        </w:rPr>
        <w:tab/>
        <w:t xml:space="preserve">Crump H, Edwards N. Provider Chains: Lessons from other sectors. 2014. </w:t>
      </w:r>
      <w:r w:rsidR="00536E4B" w:rsidRPr="00536E4B">
        <w:rPr>
          <w:rFonts w:ascii="Calibri" w:hAnsi="Calibri" w:cs="Calibri"/>
          <w:noProof/>
        </w:rPr>
        <w:t>https://www.nuffieldtrust.org.uk/research/provider-chains-lessons-from-other-sectors</w:t>
      </w:r>
      <w:r w:rsidR="00536E4B">
        <w:rPr>
          <w:rFonts w:ascii="Calibri" w:hAnsi="Calibri" w:cs="Calibri"/>
          <w:noProof/>
        </w:rPr>
        <w:t xml:space="preserve">  </w:t>
      </w:r>
      <w:r w:rsidR="00536E4B" w:rsidRPr="00536E4B">
        <w:rPr>
          <w:rFonts w:ascii="Calibri" w:hAnsi="Calibri" w:cs="Calibri"/>
          <w:noProof/>
        </w:rPr>
        <w:t>(last accessed 24/6/22)</w:t>
      </w:r>
    </w:p>
    <w:p w14:paraId="6E4F4A88" w14:textId="68C12295"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157. </w:t>
      </w:r>
      <w:r w:rsidRPr="006A5B59">
        <w:rPr>
          <w:rFonts w:ascii="Calibri" w:hAnsi="Calibri" w:cs="Calibri"/>
          <w:noProof/>
        </w:rPr>
        <w:tab/>
        <w:t xml:space="preserve">Das-Thompson J, McQuade K, Pett W, Ville N. The future of integrated care in England. NHS Confederation Briefing. 2020. </w:t>
      </w:r>
      <w:r w:rsidR="00536E4B" w:rsidRPr="00536E4B">
        <w:rPr>
          <w:rFonts w:ascii="Calibri" w:hAnsi="Calibri" w:cs="Calibri"/>
          <w:noProof/>
        </w:rPr>
        <w:t>https://www.nhsconfed.org/publications/future-integrated-care-england</w:t>
      </w:r>
      <w:r w:rsidR="00536E4B">
        <w:rPr>
          <w:rFonts w:ascii="Calibri" w:hAnsi="Calibri" w:cs="Calibri"/>
          <w:noProof/>
        </w:rPr>
        <w:t xml:space="preserve"> </w:t>
      </w:r>
      <w:r w:rsidR="00536E4B" w:rsidRPr="00536E4B">
        <w:rPr>
          <w:rFonts w:ascii="Calibri" w:hAnsi="Calibri" w:cs="Calibri"/>
          <w:noProof/>
        </w:rPr>
        <w:t>(</w:t>
      </w:r>
      <w:r w:rsidR="00536E4B">
        <w:rPr>
          <w:rFonts w:ascii="Calibri" w:hAnsi="Calibri" w:cs="Calibri"/>
          <w:noProof/>
        </w:rPr>
        <w:t>L</w:t>
      </w:r>
      <w:r w:rsidR="00536E4B" w:rsidRPr="00536E4B">
        <w:rPr>
          <w:rFonts w:ascii="Calibri" w:hAnsi="Calibri" w:cs="Calibri"/>
          <w:noProof/>
        </w:rPr>
        <w:t>ast accessed 24/6/22)</w:t>
      </w:r>
    </w:p>
    <w:p w14:paraId="72EB306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158. </w:t>
      </w:r>
      <w:r w:rsidRPr="006A5B59">
        <w:rPr>
          <w:rFonts w:ascii="Calibri" w:hAnsi="Calibri" w:cs="Calibri"/>
          <w:noProof/>
        </w:rPr>
        <w:tab/>
        <w:t xml:space="preserve">Dickinson H, Peck E, Davidson D. Opportunity seized or missed? A case study of leadership and organizational change in the creation of a Care Trust. J Interprof Care. 2007;21(5):503–13. </w:t>
      </w:r>
    </w:p>
    <w:p w14:paraId="43ADAA8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159. </w:t>
      </w:r>
      <w:r w:rsidRPr="006A5B59">
        <w:rPr>
          <w:rFonts w:ascii="Calibri" w:hAnsi="Calibri" w:cs="Calibri"/>
          <w:noProof/>
        </w:rPr>
        <w:tab/>
        <w:t xml:space="preserve">Douglas R. A framework for healthy alliances. Alliances Heal Promot. 1998;3–4. </w:t>
      </w:r>
    </w:p>
    <w:p w14:paraId="7873CA4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160. </w:t>
      </w:r>
      <w:r w:rsidRPr="006A5B59">
        <w:rPr>
          <w:rFonts w:ascii="Calibri" w:hAnsi="Calibri" w:cs="Calibri"/>
          <w:noProof/>
        </w:rPr>
        <w:tab/>
        <w:t>Erens B, Wistow G, Mounier-Jack S, Douglas N, Manacorda T, Durand MA, et al. Early findings from the evaluation of the Integrated Care and Support Pioneers in England. J Integr Care [Internet]. 2017;25(3):137–49. Available from: http://www.scie-socialcareonline.org.uk/early-findings-from-the-evaluation-of-the-integrated-care-and-support-pioneers-in-england/r/a1C0f0000066QX6EAM</w:t>
      </w:r>
    </w:p>
    <w:p w14:paraId="0D24838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161. </w:t>
      </w:r>
      <w:r w:rsidRPr="006A5B59">
        <w:rPr>
          <w:rFonts w:ascii="Calibri" w:hAnsi="Calibri" w:cs="Calibri"/>
          <w:noProof/>
        </w:rPr>
        <w:tab/>
        <w:t xml:space="preserve">Evans D, Killoran A. Tackling health inequalities through partnership working: Learning from a realistic evaluation. Crit Public Health. 2000;10(2):125–40. </w:t>
      </w:r>
    </w:p>
    <w:p w14:paraId="4CD5A0D6"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162. </w:t>
      </w:r>
      <w:r w:rsidRPr="006A5B59">
        <w:rPr>
          <w:rFonts w:ascii="Calibri" w:hAnsi="Calibri" w:cs="Calibri"/>
          <w:noProof/>
        </w:rPr>
        <w:tab/>
        <w:t xml:space="preserve">Ferrier GD, Valdmanis VG. Do Mergers Improve Hospital Productivity? J Oper Res Soc. 2004;55(10):1071–80. </w:t>
      </w:r>
    </w:p>
    <w:p w14:paraId="3A881BB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163. </w:t>
      </w:r>
      <w:r w:rsidRPr="006A5B59">
        <w:rPr>
          <w:rFonts w:ascii="Calibri" w:hAnsi="Calibri" w:cs="Calibri"/>
          <w:noProof/>
        </w:rPr>
        <w:tab/>
        <w:t xml:space="preserve">Findlay P. Review of Partnership Working in NHS Scotland. 2019;(January). </w:t>
      </w:r>
    </w:p>
    <w:p w14:paraId="129B290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164. </w:t>
      </w:r>
      <w:r w:rsidRPr="006A5B59">
        <w:rPr>
          <w:rFonts w:ascii="Calibri" w:hAnsi="Calibri" w:cs="Calibri"/>
          <w:noProof/>
        </w:rPr>
        <w:tab/>
        <w:t>Forbes T, Evans D, Scott N. Implementing health and social care policy - England and Scotland compared. Policy Stud [Internet]. 2010;31(6):591–611. Available from: http://www.scie-socialcareonline.org.uk/implementing-health-and-social-care-policy-england-and-scotland-compared/r/a1CG0000000GiMeMAK</w:t>
      </w:r>
    </w:p>
    <w:p w14:paraId="6580945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165. </w:t>
      </w:r>
      <w:r w:rsidRPr="006A5B59">
        <w:rPr>
          <w:rFonts w:ascii="Calibri" w:hAnsi="Calibri" w:cs="Calibri"/>
          <w:noProof/>
        </w:rPr>
        <w:tab/>
        <w:t xml:space="preserve">Foundation Trust Network. Review of buddying arrangements, with a focus on trusts in special measures and their partnering organisations. London; 2014. </w:t>
      </w:r>
    </w:p>
    <w:p w14:paraId="10C8391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166. </w:t>
      </w:r>
      <w:r w:rsidRPr="006A5B59">
        <w:rPr>
          <w:rFonts w:ascii="Calibri" w:hAnsi="Calibri" w:cs="Calibri"/>
          <w:noProof/>
        </w:rPr>
        <w:tab/>
        <w:t xml:space="preserve">Fowler Davis S, Hinde S, Ariss S. Complex programme evaluation of a “new care model” vanguard: a shared commitment to quality improvement in an integrated health and care context. BMJ Open. 2020;10(3):e029174. </w:t>
      </w:r>
    </w:p>
    <w:p w14:paraId="6C4396A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167. </w:t>
      </w:r>
      <w:r w:rsidRPr="006A5B59">
        <w:rPr>
          <w:rFonts w:ascii="Calibri" w:hAnsi="Calibri" w:cs="Calibri"/>
          <w:noProof/>
        </w:rPr>
        <w:tab/>
        <w:t xml:space="preserve">Gannon-Leary P, Baines S, Wilson R. Collaboration and partnership: A review and reflections on a national project to join up local services in England. J Interprof Care. 2006;20(6):665–74. </w:t>
      </w:r>
    </w:p>
    <w:p w14:paraId="77F84AD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168. </w:t>
      </w:r>
      <w:r w:rsidRPr="006A5B59">
        <w:rPr>
          <w:rFonts w:ascii="Calibri" w:hAnsi="Calibri" w:cs="Calibri"/>
          <w:noProof/>
        </w:rPr>
        <w:tab/>
        <w:t xml:space="preserve">Glasby J, Dickinson H. International Perspectives on Health and Social Care: Partnership Working in Action. Health (San Francisco). 2009. </w:t>
      </w:r>
    </w:p>
    <w:p w14:paraId="0B5B9B1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169. </w:t>
      </w:r>
      <w:r w:rsidRPr="006A5B59">
        <w:rPr>
          <w:rFonts w:ascii="Calibri" w:hAnsi="Calibri" w:cs="Calibri"/>
          <w:noProof/>
        </w:rPr>
        <w:tab/>
        <w:t>Gulliver P. Two Approaches to the Joint Commissioning of Mental Health Services. Ment Heal Rev [Internet]. 1999;4(3):21–3. Available from: http://www.scie-socialcareonline.org.uk/two-approaches-to-the-joint-commissioning-of-mental-health-services/r/a1CG0000000GNNaMAO</w:t>
      </w:r>
    </w:p>
    <w:p w14:paraId="5459360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170. </w:t>
      </w:r>
      <w:r w:rsidRPr="006A5B59">
        <w:rPr>
          <w:rFonts w:ascii="Calibri" w:hAnsi="Calibri" w:cs="Calibri"/>
          <w:noProof/>
        </w:rPr>
        <w:tab/>
        <w:t>Gulliver P, Peck E, Towell D. Evaluation of the Implementation of the Mental Health Review in Somerset: Results after Fifteen Months of Data Collection. J Integr Care [Internet]. 2001;9(1):14–22. Available from: http://www.scie-socialcareonline.org.uk/evaluation-of-the-implementation-of-the-mental-health-review-in-somerset-results-after-fifteen-months-of-data-collection/r/a1CG0000000GTfaMAG</w:t>
      </w:r>
    </w:p>
    <w:p w14:paraId="7D7B0D6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171. </w:t>
      </w:r>
      <w:r w:rsidRPr="006A5B59">
        <w:rPr>
          <w:rFonts w:ascii="Calibri" w:hAnsi="Calibri" w:cs="Calibri"/>
          <w:noProof/>
        </w:rPr>
        <w:tab/>
        <w:t xml:space="preserve">Hearld L, Alexander J, Shi Y. Leadership transitions in multisectoral health care alliances : implications for member perceptions of participation value. Health Care Manage Rev. 2015;40(4):185–274. </w:t>
      </w:r>
    </w:p>
    <w:p w14:paraId="74BEE8B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172. </w:t>
      </w:r>
      <w:r w:rsidRPr="006A5B59">
        <w:rPr>
          <w:rFonts w:ascii="Calibri" w:hAnsi="Calibri" w:cs="Calibri"/>
          <w:noProof/>
        </w:rPr>
        <w:tab/>
        <w:t xml:space="preserve">Henderson S, Wagner JL, Gosdin MM, Hoeft TJ, Unützer J, Rath L, et al. Complexity in partnerships: A qualitative examination of collaborative depression care in primary care clinics and community-based organisations in California, United States. Heal Soc Care Community. 2020;28(4):1199–208. </w:t>
      </w:r>
    </w:p>
    <w:p w14:paraId="5AF361E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173. </w:t>
      </w:r>
      <w:r w:rsidRPr="006A5B59">
        <w:rPr>
          <w:rFonts w:ascii="Calibri" w:hAnsi="Calibri" w:cs="Calibri"/>
          <w:noProof/>
        </w:rPr>
        <w:tab/>
        <w:t xml:space="preserve">Idel M. Influence of a merger on nurses’ emotional well-being : the importance of self-efficacy and emotional reactivity. J Nurs Manag. 2003;11(1):59–63. </w:t>
      </w:r>
    </w:p>
    <w:p w14:paraId="4600445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174. </w:t>
      </w:r>
      <w:r w:rsidRPr="006A5B59">
        <w:rPr>
          <w:rFonts w:ascii="Calibri" w:hAnsi="Calibri" w:cs="Calibri"/>
          <w:noProof/>
        </w:rPr>
        <w:tab/>
        <w:t xml:space="preserve">Jones C. The working of a primary care network in Wirral: Experiences thus far. Br J Community Nurs. 2020;25(7):353–5. </w:t>
      </w:r>
    </w:p>
    <w:p w14:paraId="1349D05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175. </w:t>
      </w:r>
      <w:r w:rsidRPr="006A5B59">
        <w:rPr>
          <w:rFonts w:ascii="Calibri" w:hAnsi="Calibri" w:cs="Calibri"/>
          <w:noProof/>
        </w:rPr>
        <w:tab/>
        <w:t>Kendall E, Muenchberger H, Sunderland N, Harris M, Cowan D. Collaborative capacity building in complex community-based health partnerships: a model for translating knowledge into action. J Public Heal Manag Pract [Internet]. 2012;18(5):E1-13. Available from: http://ovidsp.ovid.com/ovidweb.cgi?T=JS&amp;PAGE=reference&amp;D=med9&amp;NEWS=N&amp;AN=22836542</w:t>
      </w:r>
    </w:p>
    <w:p w14:paraId="11CB39B5" w14:textId="64AC47F0"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176. </w:t>
      </w:r>
      <w:r w:rsidRPr="006A5B59">
        <w:rPr>
          <w:rFonts w:ascii="Calibri" w:hAnsi="Calibri" w:cs="Calibri"/>
          <w:noProof/>
        </w:rPr>
        <w:tab/>
        <w:t xml:space="preserve">Kershaw M, McKenna H, Charles A, Ewbank L, Ham C. Sustainability and transformation partnerships in London. 2018. </w:t>
      </w:r>
      <w:r w:rsidR="00536E4B" w:rsidRPr="00536E4B">
        <w:rPr>
          <w:rFonts w:ascii="Calibri" w:hAnsi="Calibri" w:cs="Calibri"/>
          <w:noProof/>
        </w:rPr>
        <w:t>https://www.kingsfund.org.uk/sites/default/files/2018-10/London%20STPs%20independent%20review%20October%202018.pdf</w:t>
      </w:r>
      <w:r w:rsidR="00536E4B">
        <w:rPr>
          <w:rFonts w:ascii="Calibri" w:hAnsi="Calibri" w:cs="Calibri"/>
          <w:noProof/>
        </w:rPr>
        <w:t xml:space="preserve"> (Last Accessed 24/6/22)</w:t>
      </w:r>
    </w:p>
    <w:p w14:paraId="3C7197E4"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177. </w:t>
      </w:r>
      <w:r w:rsidRPr="006A5B59">
        <w:rPr>
          <w:rFonts w:ascii="Calibri" w:hAnsi="Calibri" w:cs="Calibri"/>
          <w:noProof/>
        </w:rPr>
        <w:tab/>
        <w:t xml:space="preserve">Lalani M, Hall K, Skrypak M, Laing C, Welch J, Toohey P, et al. Building motivation to participate in a quality improvement collaborative in NHS hospital trusts in Southeast England: A qualitative participatory evaluation. BMJ Open. 2018;8(4):1–8. </w:t>
      </w:r>
    </w:p>
    <w:p w14:paraId="6CDCD613"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178. </w:t>
      </w:r>
      <w:r w:rsidRPr="006A5B59">
        <w:rPr>
          <w:rFonts w:ascii="Calibri" w:hAnsi="Calibri" w:cs="Calibri"/>
          <w:noProof/>
        </w:rPr>
        <w:tab/>
        <w:t xml:space="preserve">Lewis JM. A network approach for researching partnerships in health. Aust New Zealand Health Policy. 2005;2(1):1–11. </w:t>
      </w:r>
    </w:p>
    <w:p w14:paraId="6F0D855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179. </w:t>
      </w:r>
      <w:r w:rsidRPr="006A5B59">
        <w:rPr>
          <w:rFonts w:ascii="Calibri" w:hAnsi="Calibri" w:cs="Calibri"/>
          <w:noProof/>
        </w:rPr>
        <w:tab/>
        <w:t>Lim K. Impact of hospital mergers on staff job satisfaction : a quantitative study. Hum Resour Health [Internet]. 2014;12(70). Available from: http://www.human-resources-health.com/content/12/1/70/</w:t>
      </w:r>
    </w:p>
    <w:p w14:paraId="74C1774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180. </w:t>
      </w:r>
      <w:r w:rsidRPr="006A5B59">
        <w:rPr>
          <w:rFonts w:ascii="Calibri" w:hAnsi="Calibri" w:cs="Calibri"/>
          <w:noProof/>
        </w:rPr>
        <w:tab/>
        <w:t xml:space="preserve">Mandell M, Steelman T. Understanding what can be accomplished through interorganizational innovations the importance of typologies, context and management strategies. Public Manag Rev. 2003;5(2):197–224. </w:t>
      </w:r>
    </w:p>
    <w:p w14:paraId="3D09D7C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181. </w:t>
      </w:r>
      <w:r w:rsidRPr="006A5B59">
        <w:rPr>
          <w:rFonts w:ascii="Calibri" w:hAnsi="Calibri" w:cs="Calibri"/>
          <w:noProof/>
        </w:rPr>
        <w:tab/>
        <w:t xml:space="preserve">Maniatopoulos G, Hunter DJ, Erskine J, Hudson B. Implementing the New Care Models in the NHS: Reconfiguring the Multilevel Nature of Context to Make It Happen. In: Transitions and Boundaries in the Coordination and Reform of Health Services. Palgrave Macmillan; 2020. p. 3–27. </w:t>
      </w:r>
    </w:p>
    <w:p w14:paraId="3DA8BAC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182. </w:t>
      </w:r>
      <w:r w:rsidRPr="006A5B59">
        <w:rPr>
          <w:rFonts w:ascii="Calibri" w:hAnsi="Calibri" w:cs="Calibri"/>
          <w:noProof/>
        </w:rPr>
        <w:tab/>
        <w:t xml:space="preserve">Mervyn K, Amoo NA, Malby R. Challenges and Insights in Inter-Organizational Collaborative Healthcare Networks: An Empirical Case Study of a Place-Based Network. Int J Organ Anal. 2019;27(4):875–902. </w:t>
      </w:r>
    </w:p>
    <w:p w14:paraId="0D131076"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183. </w:t>
      </w:r>
      <w:r w:rsidRPr="006A5B59">
        <w:rPr>
          <w:rFonts w:ascii="Calibri" w:hAnsi="Calibri" w:cs="Calibri"/>
          <w:noProof/>
        </w:rPr>
        <w:tab/>
        <w:t>Naylor C, Alderwick H, Honeyman M. Acute hospitals and integrated care. From hospitals to health systems. King’s Fund (revista electrónica) [Internet]. 2015;(March):1–90. Available from: http://www.kingsfund.org.uk/sites/files/kf/field/field_publication_file/acute-hospitals-and-integrated-care-march-2015.pdf</w:t>
      </w:r>
    </w:p>
    <w:p w14:paraId="2F6B250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184. </w:t>
      </w:r>
      <w:r w:rsidRPr="006A5B59">
        <w:rPr>
          <w:rFonts w:ascii="Calibri" w:hAnsi="Calibri" w:cs="Calibri"/>
          <w:noProof/>
        </w:rPr>
        <w:tab/>
        <w:t xml:space="preserve">NHS Professionals. Understanding the key success factors in collaborative working. 2019. </w:t>
      </w:r>
    </w:p>
    <w:p w14:paraId="3C7782A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185. </w:t>
      </w:r>
      <w:r w:rsidRPr="006A5B59">
        <w:rPr>
          <w:rFonts w:ascii="Calibri" w:hAnsi="Calibri" w:cs="Calibri"/>
          <w:noProof/>
        </w:rPr>
        <w:tab/>
        <w:t xml:space="preserve">NHS Providers. A place to work: system approaches to workforce challenges in the NHS. 2019. </w:t>
      </w:r>
    </w:p>
    <w:p w14:paraId="4FDC6B6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186. </w:t>
      </w:r>
      <w:r w:rsidRPr="006A5B59">
        <w:rPr>
          <w:rFonts w:ascii="Calibri" w:hAnsi="Calibri" w:cs="Calibri"/>
          <w:noProof/>
        </w:rPr>
        <w:tab/>
        <w:t xml:space="preserve">NHS Providers. Collaborative working: tackling governance challenges in practice. NHS Provid. 2018;(November). </w:t>
      </w:r>
    </w:p>
    <w:p w14:paraId="5612333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187. </w:t>
      </w:r>
      <w:r w:rsidRPr="006A5B59">
        <w:rPr>
          <w:rFonts w:ascii="Calibri" w:hAnsi="Calibri" w:cs="Calibri"/>
          <w:noProof/>
        </w:rPr>
        <w:tab/>
        <w:t xml:space="preserve">NHS Providers, NHS Clinical Commissioners. Driving forward system working: a snapshot of early progress in collaborative commissioning. NHS Providers. 2018. </w:t>
      </w:r>
    </w:p>
    <w:p w14:paraId="134410D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188. </w:t>
      </w:r>
      <w:r w:rsidRPr="006A5B59">
        <w:rPr>
          <w:rFonts w:ascii="Calibri" w:hAnsi="Calibri" w:cs="Calibri"/>
          <w:noProof/>
        </w:rPr>
        <w:tab/>
        <w:t xml:space="preserve">Peck E, Towell D, Gulliver P. The meanings of “culture” in health and social care: A case study of the combined Trust in Somerset. J Interprof Care. 2001;15(4):319–27. </w:t>
      </w:r>
    </w:p>
    <w:p w14:paraId="3547AB2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189. </w:t>
      </w:r>
      <w:r w:rsidRPr="006A5B59">
        <w:rPr>
          <w:rFonts w:ascii="Calibri" w:hAnsi="Calibri" w:cs="Calibri"/>
          <w:noProof/>
        </w:rPr>
        <w:tab/>
        <w:t>Pickup S. Partnership and governance : the Hertfordshire experience. J Integr Care [Internet]. 2004;12(2):14–9. Available from: http://www.scie-socialcareonline.org.uk/partnership-and-governance-the-hertfordshire-experience/r/a1CG0000000GMw6MAG</w:t>
      </w:r>
    </w:p>
    <w:p w14:paraId="197CD75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190. </w:t>
      </w:r>
      <w:r w:rsidRPr="006A5B59">
        <w:rPr>
          <w:rFonts w:ascii="Calibri" w:hAnsi="Calibri" w:cs="Calibri"/>
          <w:noProof/>
        </w:rPr>
        <w:tab/>
        <w:t xml:space="preserve">Round T, Ashworth M, Crilly T, Ferlie E, Wolfe C. An integrated care programme in London: qualitative evaluation. J Integr Care. 2018;26(4):296–308. </w:t>
      </w:r>
    </w:p>
    <w:p w14:paraId="655E3A4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191. </w:t>
      </w:r>
      <w:r w:rsidRPr="006A5B59">
        <w:rPr>
          <w:rFonts w:ascii="Calibri" w:hAnsi="Calibri" w:cs="Calibri"/>
          <w:noProof/>
        </w:rPr>
        <w:tab/>
        <w:t xml:space="preserve">Shaw J. Tracking the merger: The human experience. Heal Serv Manag Res. 2002;15(4):211–22. </w:t>
      </w:r>
    </w:p>
    <w:p w14:paraId="6AEFE5C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192. </w:t>
      </w:r>
      <w:r w:rsidRPr="006A5B59">
        <w:rPr>
          <w:rFonts w:ascii="Calibri" w:hAnsi="Calibri" w:cs="Calibri"/>
          <w:noProof/>
        </w:rPr>
        <w:tab/>
        <w:t>Southby K, Gamsu M. Factors affecting general practice collaboration with voluntary and community sector organisations. Heal Soc Care Community [Internet]. 2018;26(3):e360–9. Available from: http://www.scie-socialcareonline.org.uk/factors-affecting-general-practice-collaboration-with-voluntary-and-community-sector-organisations/r/a1C0f000005MUy2EAG</w:t>
      </w:r>
    </w:p>
    <w:p w14:paraId="104DFD06"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193. </w:t>
      </w:r>
      <w:r w:rsidRPr="006A5B59">
        <w:rPr>
          <w:rFonts w:ascii="Calibri" w:hAnsi="Calibri" w:cs="Calibri"/>
          <w:noProof/>
        </w:rPr>
        <w:tab/>
        <w:t xml:space="preserve">Southwark and Lambeth Integrated Care. Integrating Care in Southwark and Lambeth: What we did and how we did it. 2016. </w:t>
      </w:r>
    </w:p>
    <w:p w14:paraId="1AF095D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194. </w:t>
      </w:r>
      <w:r w:rsidRPr="006A5B59">
        <w:rPr>
          <w:rFonts w:ascii="Calibri" w:hAnsi="Calibri" w:cs="Calibri"/>
          <w:noProof/>
        </w:rPr>
        <w:tab/>
        <w:t xml:space="preserve">Starling A. Implementing new models of care : lessons from the new care models programme in England. Foundation TH, editor. Int J Care Coord. 2018;21(1–2):50–4. </w:t>
      </w:r>
    </w:p>
    <w:p w14:paraId="1AB1179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195. </w:t>
      </w:r>
      <w:r w:rsidRPr="006A5B59">
        <w:rPr>
          <w:rFonts w:ascii="Calibri" w:hAnsi="Calibri" w:cs="Calibri"/>
          <w:noProof/>
        </w:rPr>
        <w:tab/>
        <w:t>Steininger K, Kempinger B, Schiffer S, Pomberger G. A Process Model for IT Migrations in the Context of a Hospital Merger - Results from an Austrian Case Study. Stud Health Technol Inform [Internet]. 2016;223:182–90. Available from: http://ovidsp.ovid.com/ovidweb.cgi?T=JS&amp;PAGE=reference&amp;D=med13&amp;NEWS=N&amp;AN=27139402</w:t>
      </w:r>
    </w:p>
    <w:p w14:paraId="16E30EC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196. </w:t>
      </w:r>
      <w:r w:rsidRPr="006A5B59">
        <w:rPr>
          <w:rFonts w:ascii="Calibri" w:hAnsi="Calibri" w:cs="Calibri"/>
          <w:noProof/>
        </w:rPr>
        <w:tab/>
        <w:t xml:space="preserve">The King’s Fund. Distilling the lessons : a review of the King’s Fund Joint Community Care Commissioning Project. Associates RG and, editor. 2005; </w:t>
      </w:r>
    </w:p>
    <w:p w14:paraId="1FBB3CC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197. </w:t>
      </w:r>
      <w:r w:rsidRPr="006A5B59">
        <w:rPr>
          <w:rFonts w:ascii="Calibri" w:hAnsi="Calibri" w:cs="Calibri"/>
          <w:noProof/>
        </w:rPr>
        <w:tab/>
        <w:t>Timmins N. Leading for integrated care: “If you think competition is hard, you should try collaboration.” 2019;(November):3–25. Available from: https://www.kingsfund.org.uk/sites/default/files/2019-11/leading-for-integrated-care.pdf</w:t>
      </w:r>
    </w:p>
    <w:p w14:paraId="6D17F05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198. </w:t>
      </w:r>
      <w:r w:rsidRPr="006A5B59">
        <w:rPr>
          <w:rFonts w:ascii="Calibri" w:hAnsi="Calibri" w:cs="Calibri"/>
          <w:noProof/>
        </w:rPr>
        <w:tab/>
        <w:t xml:space="preserve">What Works Scotland. Partnership working across UK public services. 2015;(December):26. </w:t>
      </w:r>
    </w:p>
    <w:p w14:paraId="4A6B3296"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199. </w:t>
      </w:r>
      <w:r w:rsidRPr="006A5B59">
        <w:rPr>
          <w:rFonts w:ascii="Calibri" w:hAnsi="Calibri" w:cs="Calibri"/>
          <w:noProof/>
        </w:rPr>
        <w:tab/>
        <w:t xml:space="preserve">Wildridge V, Childs S, Cawthra L, Madge B. How to create successful partnerships — a review. Health Info Libr J. 2004;21:3–19. </w:t>
      </w:r>
    </w:p>
    <w:p w14:paraId="0D80725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200. </w:t>
      </w:r>
      <w:r w:rsidRPr="006A5B59">
        <w:rPr>
          <w:rFonts w:ascii="Calibri" w:hAnsi="Calibri" w:cs="Calibri"/>
          <w:noProof/>
        </w:rPr>
        <w:tab/>
        <w:t xml:space="preserve">Zuckerman HS, Kaluzny AD, Ricketts TC. Alliances in health care: What we know, what we think we know, and what we should know. Health Care Manage Rev. 1995;20(1):54–64. </w:t>
      </w:r>
    </w:p>
    <w:p w14:paraId="13AF693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201. </w:t>
      </w:r>
      <w:r w:rsidRPr="006A5B59">
        <w:rPr>
          <w:rFonts w:ascii="Calibri" w:hAnsi="Calibri" w:cs="Calibri"/>
          <w:noProof/>
        </w:rPr>
        <w:tab/>
        <w:t xml:space="preserve">Mohr J, Spekman R. Characteristics of partnership success: partnership attributes, communication behavior, and conflict resolution techniques. Strateg Manag J. 1994;15(2):135–52. </w:t>
      </w:r>
    </w:p>
    <w:p w14:paraId="4B65501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202. </w:t>
      </w:r>
      <w:r w:rsidRPr="006A5B59">
        <w:rPr>
          <w:rFonts w:ascii="Calibri" w:hAnsi="Calibri" w:cs="Calibri"/>
          <w:noProof/>
        </w:rPr>
        <w:tab/>
        <w:t xml:space="preserve">Lumineau F, Eckerd S, Handley S. Inter-organizational conflicts: research overview, challenges, and opportunities. J Strateg Contract Negot. 2015;1(1):42–64. </w:t>
      </w:r>
    </w:p>
    <w:p w14:paraId="08BEFAD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203. </w:t>
      </w:r>
      <w:r w:rsidRPr="006A5B59">
        <w:rPr>
          <w:rFonts w:ascii="Calibri" w:hAnsi="Calibri" w:cs="Calibri"/>
          <w:noProof/>
        </w:rPr>
        <w:tab/>
        <w:t xml:space="preserve">Willem A, Lucidarme S. Pitfalls and Challenges for Trust and Effectiveness in Collaborative Networks. Public Manag Rev. 2014;16(5):733–60. </w:t>
      </w:r>
    </w:p>
    <w:p w14:paraId="21A90A0E" w14:textId="4420249C"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204. </w:t>
      </w:r>
      <w:r w:rsidRPr="006A5B59">
        <w:rPr>
          <w:rFonts w:ascii="Calibri" w:hAnsi="Calibri" w:cs="Calibri"/>
          <w:noProof/>
        </w:rPr>
        <w:tab/>
        <w:t>Fillingham D, Weir B. System leadership: Lessons and learning from AQuA’s Integrated Care Discovery Communities. King’s Fund [Internet]. 2014;(October). Available from: http://www.kingsfund.org.uk/sites/files/kf/field/field_publication_file/system-leadership-october-2014.pdf</w:t>
      </w:r>
      <w:r w:rsidR="008E2A94">
        <w:rPr>
          <w:rFonts w:ascii="Calibri" w:hAnsi="Calibri" w:cs="Calibri"/>
          <w:noProof/>
        </w:rPr>
        <w:t xml:space="preserve"> (Last accessed 24/6/22)</w:t>
      </w:r>
    </w:p>
    <w:p w14:paraId="6CF384A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205. </w:t>
      </w:r>
      <w:r w:rsidRPr="006A5B59">
        <w:rPr>
          <w:rFonts w:ascii="Calibri" w:hAnsi="Calibri" w:cs="Calibri"/>
          <w:noProof/>
        </w:rPr>
        <w:tab/>
        <w:t xml:space="preserve">Kopanaki E, Smithson S. The issue of flexibility in inter-organisational collaboration: An appreciative systems thinking perspective. Int J Appl Syst Stud. 2013;5(1–2):92–113. </w:t>
      </w:r>
    </w:p>
    <w:p w14:paraId="553555D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206. </w:t>
      </w:r>
      <w:r w:rsidRPr="006A5B59">
        <w:rPr>
          <w:rFonts w:ascii="Calibri" w:hAnsi="Calibri" w:cs="Calibri"/>
          <w:noProof/>
        </w:rPr>
        <w:tab/>
        <w:t xml:space="preserve">Liu P, Li Z. Task complexity: A review and conceptualization framework. Int J Ind Ergon. 2012;42(6):553–68. </w:t>
      </w:r>
    </w:p>
    <w:p w14:paraId="7A2AB1C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207. </w:t>
      </w:r>
      <w:r w:rsidRPr="006A5B59">
        <w:rPr>
          <w:rFonts w:ascii="Calibri" w:hAnsi="Calibri" w:cs="Calibri"/>
          <w:noProof/>
        </w:rPr>
        <w:tab/>
        <w:t xml:space="preserve">Smith C. Understanding trust and confidence: Two paradigms and their significance for health and social care. J Appl Philos. 2005;22(3):299–316. </w:t>
      </w:r>
    </w:p>
    <w:p w14:paraId="52F2301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208. </w:t>
      </w:r>
      <w:r w:rsidRPr="006A5B59">
        <w:rPr>
          <w:rFonts w:ascii="Calibri" w:hAnsi="Calibri" w:cs="Calibri"/>
          <w:noProof/>
        </w:rPr>
        <w:tab/>
        <w:t xml:space="preserve">McNamara M. Unraveling the characteristics of mandated collaboration. In: Advancing collaboration theory: Models, typologies, and evidence. Routledge New York, NY; 2016. p. 65–86. </w:t>
      </w:r>
    </w:p>
    <w:p w14:paraId="302C1A0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209. </w:t>
      </w:r>
      <w:r w:rsidRPr="006A5B59">
        <w:rPr>
          <w:rFonts w:ascii="Calibri" w:hAnsi="Calibri" w:cs="Calibri"/>
          <w:noProof/>
        </w:rPr>
        <w:tab/>
        <w:t xml:space="preserve">Knoben J, Oerlemans LAG. Proximity and inter-organizational collaboration: A literature review. Int J Manag Rev. 2006;8(2):71–89. </w:t>
      </w:r>
    </w:p>
    <w:p w14:paraId="26EE79E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210. </w:t>
      </w:r>
      <w:r w:rsidRPr="006A5B59">
        <w:rPr>
          <w:rFonts w:ascii="Calibri" w:hAnsi="Calibri" w:cs="Calibri"/>
          <w:noProof/>
        </w:rPr>
        <w:tab/>
        <w:t xml:space="preserve">Torre A, Gallaud D, Paper C. Geographical proximity and circulation of knowledge through inter-firm cooperation. 2004; </w:t>
      </w:r>
    </w:p>
    <w:p w14:paraId="25C8193E" w14:textId="5D6E2B49"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211. </w:t>
      </w:r>
      <w:r w:rsidRPr="006A5B59">
        <w:rPr>
          <w:rFonts w:ascii="Calibri" w:hAnsi="Calibri" w:cs="Calibri"/>
          <w:noProof/>
        </w:rPr>
        <w:tab/>
        <w:t xml:space="preserve">Hardy B, Hudson B, Waddington E. Assessing strategic partnership the partnership assessment tool. Strateg Partnerin Taskforce. 2003; </w:t>
      </w:r>
      <w:r w:rsidR="00C277FB" w:rsidRPr="00C277FB">
        <w:rPr>
          <w:rFonts w:ascii="Calibri" w:hAnsi="Calibri" w:cs="Calibri"/>
          <w:noProof/>
        </w:rPr>
        <w:t>https://www.conservationgateway.org/ConservationPlanning/partnering/cpc/Documents/AssessingStrategicPartnership.pdf</w:t>
      </w:r>
      <w:r w:rsidR="00C277FB">
        <w:rPr>
          <w:rFonts w:ascii="Calibri" w:hAnsi="Calibri" w:cs="Calibri"/>
          <w:noProof/>
        </w:rPr>
        <w:t xml:space="preserve"> (Last accessed 24/6/22)</w:t>
      </w:r>
    </w:p>
    <w:p w14:paraId="087D367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212. </w:t>
      </w:r>
      <w:r w:rsidRPr="006A5B59">
        <w:rPr>
          <w:rFonts w:ascii="Calibri" w:hAnsi="Calibri" w:cs="Calibri"/>
          <w:noProof/>
        </w:rPr>
        <w:tab/>
        <w:t xml:space="preserve">Rousseau DM, Sitkin SB, Burt RS, Camerer C. Not so different after all: A cross-discipline view of trust. Academy of Management Review. 1998. </w:t>
      </w:r>
    </w:p>
    <w:p w14:paraId="469E5B8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213. </w:t>
      </w:r>
      <w:r w:rsidRPr="006A5B59">
        <w:rPr>
          <w:rFonts w:ascii="Calibri" w:hAnsi="Calibri" w:cs="Calibri"/>
          <w:noProof/>
        </w:rPr>
        <w:tab/>
        <w:t xml:space="preserve">Aunger J, Millar R, Greenhalgh J. Modelling healthcare inter-organizational collaborations over time: a systematic review and best-fit framework synthesis. </w:t>
      </w:r>
    </w:p>
    <w:p w14:paraId="44291E2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214. </w:t>
      </w:r>
      <w:r w:rsidRPr="006A5B59">
        <w:rPr>
          <w:rFonts w:ascii="Calibri" w:hAnsi="Calibri" w:cs="Calibri"/>
          <w:noProof/>
        </w:rPr>
        <w:tab/>
        <w:t>Pettigrew LM, Kumpunen S, Rosen R, Posaner R, Mays N. Lessons for ‘large-scale’ general practice provider organisations in England from other inter-organisational healthcare collaborations. Health Policy (New York) [Internet]. 2019;123(1):51–61. Available from: https://doi.org/10.1016/j.healthpol.2018.10.017</w:t>
      </w:r>
    </w:p>
    <w:p w14:paraId="7876CA81"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215. </w:t>
      </w:r>
      <w:r w:rsidRPr="006A5B59">
        <w:rPr>
          <w:rFonts w:ascii="Calibri" w:hAnsi="Calibri" w:cs="Calibri"/>
          <w:noProof/>
        </w:rPr>
        <w:tab/>
        <w:t>Renger R, Foltysova J, Becker KL, Souvannasacd E. The power of the context map: Designing realistic outcome evaluation strategies and other unanticipated benefits. Eval Program Plann [Internet]. 2015;52:118–25. Available from: http://dx.doi.org/10.1016/j.evalprogplan.2015.04.003</w:t>
      </w:r>
    </w:p>
    <w:p w14:paraId="0043BF3D"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216. </w:t>
      </w:r>
      <w:r w:rsidRPr="006A5B59">
        <w:rPr>
          <w:rFonts w:ascii="Calibri" w:hAnsi="Calibri" w:cs="Calibri"/>
          <w:noProof/>
        </w:rPr>
        <w:tab/>
        <w:t xml:space="preserve">McKenzie J. Perform or else: From discipline to performance. Routledge; 2002. </w:t>
      </w:r>
    </w:p>
    <w:p w14:paraId="420C2AC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217. </w:t>
      </w:r>
      <w:r w:rsidRPr="006A5B59">
        <w:rPr>
          <w:rFonts w:ascii="Calibri" w:hAnsi="Calibri" w:cs="Calibri"/>
          <w:noProof/>
        </w:rPr>
        <w:tab/>
        <w:t xml:space="preserve">Rycroft-Malone J, Burton C, Wilkinson JE, Harvey G, McCormack B, Baker R, et al. Collective action for knowledge moblisation: a realist evaluation of the collaborations for leadership in applied Health Research and care. Heal Serv Deliv Res. 2015;3(44). </w:t>
      </w:r>
    </w:p>
    <w:p w14:paraId="67D0EC4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218. </w:t>
      </w:r>
      <w:r w:rsidRPr="006A5B59">
        <w:rPr>
          <w:rFonts w:ascii="Calibri" w:hAnsi="Calibri" w:cs="Calibri"/>
          <w:noProof/>
        </w:rPr>
        <w:tab/>
        <w:t xml:space="preserve">Bate SP, Robert G. Knowledge management and communities of practice in the private sector: Lessons for modernizing the national health service in England and Wales. Public Adm. 2002;80(4):643–63. </w:t>
      </w:r>
    </w:p>
    <w:p w14:paraId="55064B6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219. </w:t>
      </w:r>
      <w:r w:rsidRPr="006A5B59">
        <w:rPr>
          <w:rFonts w:ascii="Calibri" w:hAnsi="Calibri" w:cs="Calibri"/>
          <w:noProof/>
        </w:rPr>
        <w:tab/>
        <w:t xml:space="preserve">Urtaran-Laresgoiti M, Álvarez-Rosete A, Nuño-Solinís R. A system-wide transformation towards integrated care in the Basque Country: A realist evaluation. Int J Care Coord. 2018;21(3):98–108. </w:t>
      </w:r>
    </w:p>
    <w:p w14:paraId="6D8834F7"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220. </w:t>
      </w:r>
      <w:r w:rsidRPr="006A5B59">
        <w:rPr>
          <w:rFonts w:ascii="Calibri" w:hAnsi="Calibri" w:cs="Calibri"/>
          <w:noProof/>
        </w:rPr>
        <w:tab/>
        <w:t xml:space="preserve">Tremblay D, Touati N, Poder T, Vasiliadis HM, Bilodeau K, Berbiche D, et al. Collaborative governance in the Quebec Cancer Network: A realist evaluation of emerging mechanisms of institutionalization, multi-level governance, and value creation using a longitudinal multiple case study design. BMC Health Serv Res. 2019;19(1):1–14. </w:t>
      </w:r>
    </w:p>
    <w:p w14:paraId="1D64D38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221. </w:t>
      </w:r>
      <w:r w:rsidRPr="006A5B59">
        <w:rPr>
          <w:rFonts w:ascii="Calibri" w:hAnsi="Calibri" w:cs="Calibri"/>
          <w:noProof/>
        </w:rPr>
        <w:tab/>
        <w:t xml:space="preserve">Chen B. Assesing Interorganizational Networks for Public Service Delivery: A Process-Perceived Effectiveness Framework. Public Perform Manag Rev. 2008;31(3):348–63. </w:t>
      </w:r>
    </w:p>
    <w:p w14:paraId="4014B0BF" w14:textId="555D6E9E"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222. </w:t>
      </w:r>
      <w:r w:rsidRPr="006A5B59">
        <w:rPr>
          <w:rFonts w:ascii="Calibri" w:hAnsi="Calibri" w:cs="Calibri"/>
          <w:noProof/>
        </w:rPr>
        <w:tab/>
        <w:t xml:space="preserve">Charles A, Ewbank L, Naylor C, Walsh N, Murray R. Developing place-based partnerships: the foundation of effective integrated care systems. 2021. </w:t>
      </w:r>
      <w:r w:rsidR="00C277FB" w:rsidRPr="00C277FB">
        <w:rPr>
          <w:rFonts w:ascii="Calibri" w:hAnsi="Calibri" w:cs="Calibri"/>
          <w:noProof/>
        </w:rPr>
        <w:t>https://www.kingsfund.org.uk/publications/place-based-partnerships-integrated-care-systems</w:t>
      </w:r>
      <w:r w:rsidR="00C277FB">
        <w:rPr>
          <w:rFonts w:ascii="Calibri" w:hAnsi="Calibri" w:cs="Calibri"/>
          <w:noProof/>
        </w:rPr>
        <w:t xml:space="preserve"> (Last accessed 24/6/22)</w:t>
      </w:r>
    </w:p>
    <w:p w14:paraId="74CD782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223. </w:t>
      </w:r>
      <w:r w:rsidRPr="006A5B59">
        <w:rPr>
          <w:rFonts w:ascii="Calibri" w:hAnsi="Calibri" w:cs="Calibri"/>
          <w:noProof/>
        </w:rPr>
        <w:tab/>
        <w:t xml:space="preserve">Walshe K, Harvey G, Hyde P, Pandit N. Organizational failure and turnaround: Lessons for public services from the for-profit sector. Public Money Manag. 2004;24(4):201–8. </w:t>
      </w:r>
    </w:p>
    <w:p w14:paraId="0986AE03"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224. </w:t>
      </w:r>
      <w:r w:rsidRPr="006A5B59">
        <w:rPr>
          <w:rFonts w:ascii="Calibri" w:hAnsi="Calibri" w:cs="Calibri"/>
          <w:noProof/>
        </w:rPr>
        <w:tab/>
        <w:t xml:space="preserve">Harvey G, Jas P, Walshe K. Analysing organisational context: case studies on the contribution of absorptive capacity theory to understanding inter-organisational variation in performance improvement. BMJ Qual Saf. 2015;24(1):48–55. </w:t>
      </w:r>
    </w:p>
    <w:p w14:paraId="0ECE4DBC"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225. </w:t>
      </w:r>
      <w:r w:rsidRPr="006A5B59">
        <w:rPr>
          <w:rFonts w:ascii="Calibri" w:hAnsi="Calibri" w:cs="Calibri"/>
          <w:noProof/>
        </w:rPr>
        <w:tab/>
        <w:t xml:space="preserve">Ravaghi H, Mannion R, Sajadi HS. Organizational failure and turnaround in public sector organizations: A systematic review of the evidence. Med J Islam Repub Iran. 2017;31:76. </w:t>
      </w:r>
    </w:p>
    <w:p w14:paraId="1B88D1F5"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226. </w:t>
      </w:r>
      <w:r w:rsidRPr="006A5B59">
        <w:rPr>
          <w:rFonts w:ascii="Calibri" w:hAnsi="Calibri" w:cs="Calibri"/>
          <w:noProof/>
        </w:rPr>
        <w:tab/>
        <w:t xml:space="preserve">Jas P, Skelcher C. Performance decline and turnaround in public organizations: A theoretical and empirical analysis. Br J Manag. 2005;16(3):195–210. </w:t>
      </w:r>
    </w:p>
    <w:p w14:paraId="6AEB615E"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227. </w:t>
      </w:r>
      <w:r w:rsidRPr="006A5B59">
        <w:rPr>
          <w:rFonts w:ascii="Calibri" w:hAnsi="Calibri" w:cs="Calibri"/>
          <w:noProof/>
        </w:rPr>
        <w:tab/>
        <w:t xml:space="preserve">Harvey G, Skelcher C, Spencer E, Jas P, Walshe K. Absorptive capacity in a non-market environment. Public Manag Rev. 2010;12(1):77–97. </w:t>
      </w:r>
    </w:p>
    <w:p w14:paraId="63034A4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228. </w:t>
      </w:r>
      <w:r w:rsidRPr="006A5B59">
        <w:rPr>
          <w:rFonts w:ascii="Calibri" w:hAnsi="Calibri" w:cs="Calibri"/>
          <w:noProof/>
        </w:rPr>
        <w:tab/>
        <w:t>Mahase E. NHS reorganisation must not be rushed through during pandemic, leaders warn. BMJ [Internet]. 2021 Feb 11;372:n431. Available from: http://www.bmj.com/content/372/bmj.n431.abstract</w:t>
      </w:r>
    </w:p>
    <w:p w14:paraId="1045A52B"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229. </w:t>
      </w:r>
      <w:r w:rsidRPr="006A5B59">
        <w:rPr>
          <w:rFonts w:ascii="Calibri" w:hAnsi="Calibri" w:cs="Calibri"/>
          <w:noProof/>
        </w:rPr>
        <w:tab/>
        <w:t>Alderwick H. NHS reorganisation after the pandemic. BMJ [Internet]. 2020 Nov 18;371:m4468. Available from: http://www.bmj.com/content/371/bmj.m4468.abstract</w:t>
      </w:r>
    </w:p>
    <w:p w14:paraId="5ADE238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230. </w:t>
      </w:r>
      <w:r w:rsidRPr="006A5B59">
        <w:rPr>
          <w:rFonts w:ascii="Calibri" w:hAnsi="Calibri" w:cs="Calibri"/>
          <w:noProof/>
        </w:rPr>
        <w:tab/>
        <w:t>Alderwick H, Gardner T, Mays N. England’s new health and care bill. BMJ [Internet]. 2021 Jul 13;374:n1767. Available from: http://www.bmj.com/content/374/bmj.n1767.abstract</w:t>
      </w:r>
    </w:p>
    <w:p w14:paraId="1705179B" w14:textId="60317DDE"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231. </w:t>
      </w:r>
      <w:r w:rsidRPr="006A5B59">
        <w:rPr>
          <w:rFonts w:ascii="Calibri" w:hAnsi="Calibri" w:cs="Calibri"/>
          <w:noProof/>
        </w:rPr>
        <w:tab/>
        <w:t xml:space="preserve">Brennan S. ICS boundary changes revealed. Health Service Journal. 2021; </w:t>
      </w:r>
      <w:r w:rsidR="00C277FB" w:rsidRPr="00C277FB">
        <w:rPr>
          <w:rFonts w:ascii="Calibri" w:hAnsi="Calibri" w:cs="Calibri"/>
          <w:noProof/>
        </w:rPr>
        <w:t>https://www.hsj.co.uk/policy-and-regulation/ics-boundary-changes-revealed/7030571.article</w:t>
      </w:r>
      <w:r w:rsidR="00C277FB">
        <w:rPr>
          <w:rFonts w:ascii="Calibri" w:hAnsi="Calibri" w:cs="Calibri"/>
          <w:noProof/>
        </w:rPr>
        <w:t xml:space="preserve"> (Last accessed 24/6/22)</w:t>
      </w:r>
    </w:p>
    <w:p w14:paraId="396765E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232. </w:t>
      </w:r>
      <w:r w:rsidRPr="006A5B59">
        <w:rPr>
          <w:rFonts w:ascii="Calibri" w:hAnsi="Calibri" w:cs="Calibri"/>
          <w:noProof/>
        </w:rPr>
        <w:tab/>
        <w:t xml:space="preserve">Rycroft-Malone J, Seers K, Eldh AC, Cox K, Crichton N, Harvey G, et al. A realist process evaluation within the Facilitating Implementation of Research Evidence (FIRE) cluster randomised controlled international trial: An exemplar. Implement Sci. 2018;13(1):1–15. </w:t>
      </w:r>
    </w:p>
    <w:p w14:paraId="4EBE4662"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233. </w:t>
      </w:r>
      <w:r w:rsidRPr="006A5B59">
        <w:rPr>
          <w:rFonts w:ascii="Calibri" w:hAnsi="Calibri" w:cs="Calibri"/>
          <w:noProof/>
        </w:rPr>
        <w:tab/>
        <w:t>Pearson M, Brand SL, Quinn C, Shaw J, Maguire M, Michie S, et al. Using realist review to inform intervention development: Methodological illustration and conceptual platform for collaborative care in offender mental health. Implement Sci [Internet]. 2015;10(1):1–12. Available from: http://dx.doi.org/10.1186/s13012-015-0321-2</w:t>
      </w:r>
    </w:p>
    <w:p w14:paraId="749EFF2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234. </w:t>
      </w:r>
      <w:r w:rsidRPr="006A5B59">
        <w:rPr>
          <w:rFonts w:ascii="Calibri" w:hAnsi="Calibri" w:cs="Calibri"/>
          <w:noProof/>
        </w:rPr>
        <w:tab/>
        <w:t xml:space="preserve">Westrum R. A typology of organisational cultures. Qual Saf Heal Care. 2004;13(SUPPL. 2):22–7. </w:t>
      </w:r>
    </w:p>
    <w:p w14:paraId="12AF8E6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235. </w:t>
      </w:r>
      <w:r w:rsidRPr="006A5B59">
        <w:rPr>
          <w:rFonts w:ascii="Calibri" w:hAnsi="Calibri" w:cs="Calibri"/>
          <w:noProof/>
        </w:rPr>
        <w:tab/>
        <w:t>van Tulder R, Keen N. Capturing Collaborative Challenges: Designing Complexity-Sensitive Theories of Change for Cross-Sector Partnerships. J Bus Ethics [Internet]. 2018;150(2):315–32. Available from: https://doi.org/10.1007/s10551-018-3857-7</w:t>
      </w:r>
    </w:p>
    <w:p w14:paraId="73F6DC68"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236. </w:t>
      </w:r>
      <w:r w:rsidRPr="006A5B59">
        <w:rPr>
          <w:rFonts w:ascii="Calibri" w:hAnsi="Calibri" w:cs="Calibri"/>
          <w:noProof/>
        </w:rPr>
        <w:tab/>
        <w:t xml:space="preserve">Lacobucci G. What’s behind the government’s new review of health and care leadership? Bmj. 2021;n2430. </w:t>
      </w:r>
    </w:p>
    <w:p w14:paraId="60727D9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237. </w:t>
      </w:r>
      <w:r w:rsidRPr="006A5B59">
        <w:rPr>
          <w:rFonts w:ascii="Calibri" w:hAnsi="Calibri" w:cs="Calibri"/>
          <w:noProof/>
        </w:rPr>
        <w:tab/>
        <w:t xml:space="preserve">Shearn K, Allmark P, Piercy H, Hirst J. Building Realist Program Theory for Large Complex and Messy Interventions. Int J Qual Methods. 2017;16(1):1–11. </w:t>
      </w:r>
    </w:p>
    <w:p w14:paraId="2347D9DA"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238. </w:t>
      </w:r>
      <w:r w:rsidRPr="006A5B59">
        <w:rPr>
          <w:rFonts w:ascii="Calibri" w:hAnsi="Calibri" w:cs="Calibri"/>
          <w:noProof/>
        </w:rPr>
        <w:tab/>
        <w:t xml:space="preserve">Green BN, Johnson CD, Adams A. Writing narrative literature reviews for peer-reviewed journals: secrets of the trade. J Chiropr Med. 2006;15:5–19. </w:t>
      </w:r>
    </w:p>
    <w:p w14:paraId="167D4030"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239. </w:t>
      </w:r>
      <w:r w:rsidRPr="006A5B59">
        <w:rPr>
          <w:rFonts w:ascii="Calibri" w:hAnsi="Calibri" w:cs="Calibri"/>
          <w:noProof/>
        </w:rPr>
        <w:tab/>
        <w:t xml:space="preserve">Kakemam E, Liang Z, Janati A, Arab-Zozani M, Mohaghegh B, Gholizadeh M. Leadership and Management Competencies for Hospital Managers: A Systematic Review and Best-Fit Framework Synthesis. J Healthc Leadersh. 2020;12:59. </w:t>
      </w:r>
    </w:p>
    <w:p w14:paraId="5E14298F"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240. </w:t>
      </w:r>
      <w:r w:rsidRPr="006A5B59">
        <w:rPr>
          <w:rFonts w:ascii="Calibri" w:hAnsi="Calibri" w:cs="Calibri"/>
          <w:noProof/>
        </w:rPr>
        <w:tab/>
        <w:t xml:space="preserve">Han L, Liu J, Evans R, Song Y, Ma J. Factors Influencing the Adoption of Health Information Standards in Health Care Organizations: A Systematic Review Based on Best Fit Framework Synthesis. JMIR Med Informatics. 2020;8(5):e17334. </w:t>
      </w:r>
    </w:p>
    <w:p w14:paraId="468B2EA9" w14:textId="77777777"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241. </w:t>
      </w:r>
      <w:r w:rsidRPr="006A5B59">
        <w:rPr>
          <w:rFonts w:ascii="Calibri" w:hAnsi="Calibri" w:cs="Calibri"/>
          <w:noProof/>
        </w:rPr>
        <w:tab/>
        <w:t xml:space="preserve">Carroll C, Booth A, Cooper K. A worked example of “best fit” framework synthesis: A systematic review of views concerning the taking of some potential chemopreventive agents. BMC Med Res Methodol. 2011; </w:t>
      </w:r>
    </w:p>
    <w:p w14:paraId="6489EFD2" w14:textId="3281F242" w:rsidR="006A5B59" w:rsidRPr="006A5B59" w:rsidRDefault="006A5B59" w:rsidP="006A5B59">
      <w:pPr>
        <w:widowControl w:val="0"/>
        <w:autoSpaceDE w:val="0"/>
        <w:autoSpaceDN w:val="0"/>
        <w:adjustRightInd w:val="0"/>
        <w:spacing w:line="360" w:lineRule="auto"/>
        <w:ind w:left="640" w:hanging="640"/>
        <w:rPr>
          <w:rFonts w:ascii="Calibri" w:hAnsi="Calibri" w:cs="Calibri"/>
          <w:noProof/>
        </w:rPr>
      </w:pPr>
      <w:r w:rsidRPr="006A5B59">
        <w:rPr>
          <w:rFonts w:ascii="Calibri" w:hAnsi="Calibri" w:cs="Calibri"/>
          <w:noProof/>
        </w:rPr>
        <w:t xml:space="preserve">242. </w:t>
      </w:r>
      <w:r w:rsidRPr="006A5B59">
        <w:rPr>
          <w:rFonts w:ascii="Calibri" w:hAnsi="Calibri" w:cs="Calibri"/>
          <w:noProof/>
        </w:rPr>
        <w:tab/>
        <w:t xml:space="preserve">Carroll C, Booth A, Leaviss J, Rick J. “best fit” framework synthesis: Refining the method. BMC Med Res Methodol. 2013; </w:t>
      </w:r>
      <w:r w:rsidR="00C277FB" w:rsidRPr="00C277FB">
        <w:rPr>
          <w:rFonts w:ascii="Calibri" w:hAnsi="Calibri" w:cs="Calibri"/>
          <w:noProof/>
        </w:rPr>
        <w:t xml:space="preserve">https://doi.org/10.1186/1471-2288-13-37 </w:t>
      </w:r>
      <w:r w:rsidR="00C277FB">
        <w:rPr>
          <w:rFonts w:ascii="Calibri" w:hAnsi="Calibri" w:cs="Calibri"/>
          <w:noProof/>
        </w:rPr>
        <w:t xml:space="preserve"> </w:t>
      </w:r>
    </w:p>
    <w:p w14:paraId="27C14845" w14:textId="1AC230BF" w:rsidR="00B42DF5" w:rsidRDefault="00447918" w:rsidP="006A5B59">
      <w:pPr>
        <w:widowControl w:val="0"/>
        <w:autoSpaceDE w:val="0"/>
        <w:autoSpaceDN w:val="0"/>
        <w:adjustRightInd w:val="0"/>
        <w:spacing w:line="360" w:lineRule="auto"/>
        <w:ind w:left="640" w:hanging="640"/>
        <w:sectPr w:rsidR="00B42DF5">
          <w:pgSz w:w="11906" w:h="16838"/>
          <w:pgMar w:top="1440" w:right="1440" w:bottom="1440" w:left="1440" w:header="708" w:footer="708" w:gutter="0"/>
          <w:cols w:space="708"/>
          <w:docGrid w:linePitch="360"/>
        </w:sectPr>
      </w:pPr>
      <w:r>
        <w:fldChar w:fldCharType="end"/>
      </w:r>
    </w:p>
    <w:p w14:paraId="522722B0" w14:textId="6474C7E3" w:rsidR="00447918" w:rsidRDefault="00B42DF5" w:rsidP="00525BE0">
      <w:pPr>
        <w:pStyle w:val="Heading1"/>
        <w:jc w:val="both"/>
      </w:pPr>
      <w:bookmarkStart w:id="163" w:name="_Toc85066494"/>
      <w:r>
        <w:t>Appendices</w:t>
      </w:r>
      <w:bookmarkEnd w:id="163"/>
    </w:p>
    <w:p w14:paraId="69C25B6C" w14:textId="21A691FC" w:rsidR="00CB501A" w:rsidRDefault="00CB501A" w:rsidP="00525BE0">
      <w:pPr>
        <w:pStyle w:val="Heading2"/>
        <w:spacing w:after="240"/>
        <w:jc w:val="both"/>
      </w:pPr>
      <w:bookmarkStart w:id="164" w:name="_Toc85066495"/>
      <w:r>
        <w:t xml:space="preserve">Appendix </w:t>
      </w:r>
      <w:r w:rsidR="00B85E73">
        <w:t>1</w:t>
      </w:r>
      <w:r>
        <w:t xml:space="preserve"> – Initial Rough Theory Methodology</w:t>
      </w:r>
      <w:bookmarkEnd w:id="164"/>
    </w:p>
    <w:p w14:paraId="603A372B" w14:textId="23527731" w:rsidR="00CB501A" w:rsidRPr="003A5469" w:rsidRDefault="00CB501A" w:rsidP="00525BE0">
      <w:pPr>
        <w:spacing w:after="240" w:line="360" w:lineRule="auto"/>
        <w:jc w:val="both"/>
        <w:rPr>
          <w:rFonts w:cstheme="minorHAnsi"/>
        </w:rPr>
      </w:pPr>
      <w:r w:rsidRPr="003A5469">
        <w:rPr>
          <w:rFonts w:cstheme="minorHAnsi"/>
        </w:rPr>
        <w:t>A realist synthesis involves identifying and then testing and refining theories that explain how context shapes the mechanisms through which partnering interventions work to produce outcomes. Mechanisms are defined as the “</w:t>
      </w:r>
      <w:r w:rsidRPr="003A5469">
        <w:rPr>
          <w:rFonts w:cstheme="minorHAnsi"/>
          <w:i/>
        </w:rPr>
        <w:t>underlying entities, processes, or [social] structures which operate in particular contexts to generate outcomes of interest</w:t>
      </w:r>
      <w:r w:rsidRPr="003A5469">
        <w:rPr>
          <w:rFonts w:cstheme="minorHAnsi"/>
        </w:rPr>
        <w:t xml:space="preserve">” </w:t>
      </w:r>
      <w:r w:rsidRPr="003A5469">
        <w:rPr>
          <w:rFonts w:cstheme="minorHAnsi"/>
        </w:rPr>
        <w:fldChar w:fldCharType="begin" w:fldLock="1"/>
      </w:r>
      <w:r w:rsidR="00EA4B53">
        <w:rPr>
          <w:rFonts w:cstheme="minorHAnsi"/>
        </w:rPr>
        <w:instrText>ADDIN CSL_CITATION {"citationItems":[{"id":"ITEM-1","itemData":{"abstract":"This training package has been developed to provide practical guidance to reviewers who want to undertake a realist synthesis (or realist review – the terms are synonymous). There has been, over recent years, a growing demand for training but so far, no ‘how to’ manuals exist. Development of the training materials was funded as part of the RAMESES project (http://www.ramesesproject.org).","author":[{"dropping-particle":"","family":"Wong","given":"Geoff","non-dropping-particle":"","parse-names":false,"suffix":""},{"dropping-particle":"","family":"Westhorp","given":"Gill","non-dropping-particle":"","parse-names":false,"suffix":""},{"dropping-particle":"","family":"Pawson","given":"Ray","non-dropping-particle":"","parse-names":false,"suffix":""},{"dropping-particle":"","family":"Greenhalgh","given":"Trish","non-dropping-particle":"","parse-names":false,"suffix":""}],"container-title":"The RAMESES Project","id":"ITEM-1","issue":"July 2013","issued":{"date-parts":[["2013"]]},"number-of-pages":"55","title":"Realist Synthesis. RAMESES Training Materials","type":"report"},"uris":["http://www.mendeley.com/documents/?uuid=4335c3e5-8fc7-4bd6-9e51-07f8abece93e"]}],"mendeley":{"formattedCitation":"&lt;sup&gt;130&lt;/sup&gt;","plainTextFormattedCitation":"130","previouslyFormattedCitation":"&lt;sup&gt;130&lt;/sup&gt;"},"properties":{"noteIndex":0},"schema":"https://github.com/citation-style-language/schema/raw/master/csl-citation.json"}</w:instrText>
      </w:r>
      <w:r w:rsidRPr="003A5469">
        <w:rPr>
          <w:rFonts w:cstheme="minorHAnsi"/>
        </w:rPr>
        <w:fldChar w:fldCharType="separate"/>
      </w:r>
      <w:r w:rsidR="00E25884" w:rsidRPr="00E25884">
        <w:rPr>
          <w:rFonts w:cstheme="minorHAnsi"/>
          <w:noProof/>
          <w:vertAlign w:val="superscript"/>
        </w:rPr>
        <w:t>130</w:t>
      </w:r>
      <w:r w:rsidRPr="003A5469">
        <w:rPr>
          <w:rFonts w:cstheme="minorHAnsi"/>
        </w:rPr>
        <w:fldChar w:fldCharType="end"/>
      </w:r>
      <w:r w:rsidRPr="003A5469">
        <w:rPr>
          <w:rFonts w:cstheme="minorHAnsi"/>
        </w:rPr>
        <w:t xml:space="preserve">. </w:t>
      </w:r>
      <w:r w:rsidRPr="003A5469">
        <w:rPr>
          <w:rFonts w:cstheme="minorHAnsi"/>
        </w:rPr>
        <w:fldChar w:fldCharType="begin" w:fldLock="1"/>
      </w:r>
      <w:r w:rsidR="00EA4B53">
        <w:rPr>
          <w:rFonts w:cstheme="minorHAnsi"/>
        </w:rPr>
        <w:instrText>ADDIN CSL_CITATION {"citationItems":[{"id":"ITEM-1","itemData":{"DOI":"10.1186/s13012-015-0237-x","ISBN":"1301201502","ISSN":"17485908","PMID":"25885787","abstract":"Background: The idea that underlying, generative mechanisms give rise to causal regularities has become a guiding principle across many social and natural science disciplines. A specific form of this enquiry, realist evaluation is gaining momentum in the evaluation of complex social interventions. It focuses on 'what works, how, in which conditions and for whom' using context, mechanism and outcome configurations as opposed to asking whether an intervention 'works'. Realist evaluation can be difficult to codify and requires considerable researcher reflection and creativity. As such there is often confusion when operationalising the method in practice. This article aims to clarify and further develop the concept of mechanism in realist evaluation and in doing so aid the learning of those operationalising the methodology. Discussion: Using a social science illustration, we argue that disaggregating the concept of mechanism into its constituent parts helps to understand the difference between the resources offered by the intervention and the ways in which this changes the reasoning of participants. This in turn helps to distinguish between a context and mechanism. The notion of mechanisms 'firing' in social science research is explored, with discussions surrounding how this may stifle researchers' realist thinking. We underline the importance of conceptualising mechanisms as operating on a continuum, rather than as an 'on/off' switch. Summary: The discussions in this article will hopefully progress and operationalise realist methods. This development is likely to occur due to the infancy of the methodology and its recent increased profile and use in social science research. The arguments we present have been tested and are explained throughout the article using a social science illustration, evidencing their usability and value.","author":[{"dropping-particle":"","family":"Dalkin","given":"Sonia Michelle","non-dropping-particle":"","parse-names":false,"suffix":""},{"dropping-particle":"","family":"Greenhalgh","given":"Joanne","non-dropping-particle":"","parse-names":false,"suffix":""},{"dropping-particle":"","family":"Jones","given":"Diana","non-dropping-particle":"","parse-names":false,"suffix":""},{"dropping-particle":"","family":"Cunningham","given":"Bill","non-dropping-particle":"","parse-names":false,"suffix":""},{"dropping-particle":"","family":"Lhussier","given":"Monique","non-dropping-particle":"","parse-names":false,"suffix":""}],"container-title":"Implementation Science","id":"ITEM-1","issue":"1","issued":{"date-parts":[["2015"]]},"page":"1-7","publisher":"???","title":"What's in a mechanism? Development of a key concept in realist evaluation","type":"article-journal","volume":"10"},"uris":["http://www.mendeley.com/documents/?uuid=61dad5b7-e703-44f9-ba9f-f82e65154089"]}],"mendeley":{"formattedCitation":"&lt;sup&gt;131&lt;/sup&gt;","manualFormatting":"Dalkin et al. (2015)","plainTextFormattedCitation":"131","previouslyFormattedCitation":"&lt;sup&gt;131&lt;/sup&gt;"},"properties":{"noteIndex":0},"schema":"https://github.com/citation-style-language/schema/raw/master/csl-citation.json"}</w:instrText>
      </w:r>
      <w:r w:rsidRPr="003A5469">
        <w:rPr>
          <w:rFonts w:cstheme="minorHAnsi"/>
        </w:rPr>
        <w:fldChar w:fldCharType="separate"/>
      </w:r>
      <w:r w:rsidRPr="003A5469">
        <w:rPr>
          <w:rFonts w:cstheme="minorHAnsi"/>
          <w:noProof/>
        </w:rPr>
        <w:t xml:space="preserve">Dalkin </w:t>
      </w:r>
      <w:r w:rsidRPr="003A5469">
        <w:rPr>
          <w:rFonts w:cstheme="minorHAnsi"/>
          <w:i/>
          <w:noProof/>
        </w:rPr>
        <w:t>et al. (</w:t>
      </w:r>
      <w:r w:rsidRPr="003A5469">
        <w:rPr>
          <w:rFonts w:cstheme="minorHAnsi"/>
          <w:noProof/>
        </w:rPr>
        <w:t>2015)</w:t>
      </w:r>
      <w:r w:rsidRPr="003A5469">
        <w:rPr>
          <w:rFonts w:cstheme="minorHAnsi"/>
        </w:rPr>
        <w:fldChar w:fldCharType="end"/>
      </w:r>
      <w:r w:rsidRPr="003A5469">
        <w:rPr>
          <w:rFonts w:cstheme="minorHAnsi"/>
        </w:rPr>
        <w:t xml:space="preserve"> go further in disaggregating the concept of a mechanism into its constituent parts:  either a resource that the intervention introduces to the environment, or the resulting reasoning that this incurs in the actors of the intervention. Contexts are defined as “</w:t>
      </w:r>
      <w:r w:rsidRPr="003A5469">
        <w:rPr>
          <w:rFonts w:cstheme="minorHAnsi"/>
          <w:i/>
          <w:iCs/>
          <w:shd w:val="clear" w:color="auto" w:fill="FFFFFF"/>
        </w:rPr>
        <w:t xml:space="preserve">relatively enduring and are what social programs aim to transform (rather than reproduce) by activating various structural, cultural, agential and relational mechanisms to produce various outcomes” </w:t>
      </w:r>
      <w:r w:rsidRPr="003A5469">
        <w:rPr>
          <w:rFonts w:cstheme="minorHAnsi"/>
          <w:i/>
          <w:iCs/>
          <w:shd w:val="clear" w:color="auto" w:fill="FFFFFF"/>
        </w:rPr>
        <w:fldChar w:fldCharType="begin" w:fldLock="1"/>
      </w:r>
      <w:r w:rsidR="00EA4B53">
        <w:rPr>
          <w:rFonts w:cstheme="minorHAnsi"/>
          <w:i/>
          <w:iCs/>
          <w:shd w:val="clear" w:color="auto" w:fill="FFFFFF"/>
        </w:rPr>
        <w:instrText>ADDIN CSL_CITATION {"citationItems":[{"id":"ITEM-1","itemData":{"ISBN":"9780761950097","abstract":"Authors Ray Pawson and Nick Tilley show how program evaluation needs to be and can be bettered. The authors present a profound and highly readable critique of current evaluation practice introducing a manifesto- and handbook-fresh approach. This volume is devoted to articulating a new evaluation paradigm, which promises greater validity and utility for evaluation as a whole. Realistic Evaluation reflects the paradigmÆs foundation in scientific realist philosophy and its commitment to the idea that programs deal with real problems rather than mere social constructions. Its primary intention is to inform realistic developments in policyùmaking that benefit program participants and the public. Pawson and Tilley argue persuasively and passionately that scientific evaluation requires a careful blend of theory and method, quality and quantity, ambition and realism. The book offers a complete blueprint for evaluation activities, covering design to data collection and analysis to the accumulation of findings across programs and onto the realization of research into policy. Practical examples are used throughout this powerful volume and are grounded in the major fields of program evaluation. Realistic Evaluation is essential reading for all those involved in the evaluation process, especially researchers, scholars, and students in sociology, social policy, criminology, health, and education.","author":[{"dropping-particle":"","family":"Pawson","given":"Ray","non-dropping-particle":"","parse-names":false,"suffix":""},{"dropping-particle":"","family":"Tilley","given":"Nicholas","non-dropping-particle":"","parse-names":false,"suffix":""}],"id":"ITEM-1","issued":{"date-parts":[["1997"]]},"number-of-pages":"256","publisher":"SAGE Publications Ltd.","title":"Realistic evaluation","type":"book"},"locator":"63","uris":["http://www.mendeley.com/documents/?uuid=5e6bd15f-9ac9-42f8-97c4-51f065f90496"]}],"mendeley":{"formattedCitation":"&lt;sup&gt;129&lt;/sup&gt;","plainTextFormattedCitation":"129","previouslyFormattedCitation":"&lt;sup&gt;129&lt;/sup&gt;"},"properties":{"noteIndex":0},"schema":"https://github.com/citation-style-language/schema/raw/master/csl-citation.json"}</w:instrText>
      </w:r>
      <w:r w:rsidRPr="003A5469">
        <w:rPr>
          <w:rFonts w:cstheme="minorHAnsi"/>
          <w:i/>
          <w:iCs/>
          <w:shd w:val="clear" w:color="auto" w:fill="FFFFFF"/>
        </w:rPr>
        <w:fldChar w:fldCharType="separate"/>
      </w:r>
      <w:r w:rsidR="00E25884" w:rsidRPr="00E25884">
        <w:rPr>
          <w:rFonts w:cstheme="minorHAnsi"/>
          <w:iCs/>
          <w:noProof/>
          <w:shd w:val="clear" w:color="auto" w:fill="FFFFFF"/>
          <w:vertAlign w:val="superscript"/>
        </w:rPr>
        <w:t>129</w:t>
      </w:r>
      <w:r w:rsidRPr="003A5469">
        <w:rPr>
          <w:rFonts w:cstheme="minorHAnsi"/>
          <w:i/>
          <w:iCs/>
          <w:shd w:val="clear" w:color="auto" w:fill="FFFFFF"/>
        </w:rPr>
        <w:fldChar w:fldCharType="end"/>
      </w:r>
      <w:r w:rsidRPr="003A5469">
        <w:rPr>
          <w:rFonts w:cstheme="minorHAnsi"/>
          <w:iCs/>
          <w:shd w:val="clear" w:color="auto" w:fill="FFFFFF"/>
        </w:rPr>
        <w:t xml:space="preserve">, and outcomes are the outputs which the interventions or programmes are intended to generate. At the end of a realist synthesis, it is best practice to have produced a set of refined context-mechanism-outcome configurations that provide an explanation of how contexts shape mechanisms through which the intervention leads to particular outcomes, and why this is the case </w:t>
      </w:r>
      <w:r w:rsidRPr="003A5469">
        <w:rPr>
          <w:rFonts w:cstheme="minorHAnsi"/>
          <w:iCs/>
          <w:shd w:val="clear" w:color="auto" w:fill="FFFFFF"/>
        </w:rPr>
        <w:fldChar w:fldCharType="begin" w:fldLock="1"/>
      </w:r>
      <w:r w:rsidR="00EA4B53">
        <w:rPr>
          <w:rFonts w:cstheme="minorHAnsi"/>
          <w:iCs/>
          <w:shd w:val="clear" w:color="auto" w:fill="FFFFFF"/>
        </w:rPr>
        <w:instrText>ADDIN CSL_CITATION {"citationItems":[{"id":"ITEM-1","itemData":{"abstract":"This training package has been developed to provide practical guidance to reviewers who want to undertake a realist synthesis (or realist review – the terms are synonymous). There has been, over recent years, a growing demand for training but so far, no ‘how to’ manuals exist. Development of the training materials was funded as part of the RAMESES project (http://www.ramesesproject.org).","author":[{"dropping-particle":"","family":"Wong","given":"Geoff","non-dropping-particle":"","parse-names":false,"suffix":""},{"dropping-particle":"","family":"Westhorp","given":"Gill","non-dropping-particle":"","parse-names":false,"suffix":""},{"dropping-particle":"","family":"Pawson","given":"Ray","non-dropping-particle":"","parse-names":false,"suffix":""},{"dropping-particle":"","family":"Greenhalgh","given":"Trish","non-dropping-particle":"","parse-names":false,"suffix":""}],"container-title":"The RAMESES Project","id":"ITEM-1","issue":"July 2013","issued":{"date-parts":[["2013"]]},"number-of-pages":"55","title":"Realist Synthesis. RAMESES Training Materials","type":"report"},"uris":["http://www.mendeley.com/documents/?uuid=4335c3e5-8fc7-4bd6-9e51-07f8abece93e"]}],"mendeley":{"formattedCitation":"&lt;sup&gt;130&lt;/sup&gt;","plainTextFormattedCitation":"130","previouslyFormattedCitation":"&lt;sup&gt;130&lt;/sup&gt;"},"properties":{"noteIndex":0},"schema":"https://github.com/citation-style-language/schema/raw/master/csl-citation.json"}</w:instrText>
      </w:r>
      <w:r w:rsidRPr="003A5469">
        <w:rPr>
          <w:rFonts w:cstheme="minorHAnsi"/>
          <w:iCs/>
          <w:shd w:val="clear" w:color="auto" w:fill="FFFFFF"/>
        </w:rPr>
        <w:fldChar w:fldCharType="separate"/>
      </w:r>
      <w:r w:rsidR="00E25884" w:rsidRPr="00E25884">
        <w:rPr>
          <w:rFonts w:cstheme="minorHAnsi"/>
          <w:iCs/>
          <w:noProof/>
          <w:shd w:val="clear" w:color="auto" w:fill="FFFFFF"/>
          <w:vertAlign w:val="superscript"/>
        </w:rPr>
        <w:t>130</w:t>
      </w:r>
      <w:r w:rsidRPr="003A5469">
        <w:rPr>
          <w:rFonts w:cstheme="minorHAnsi"/>
          <w:iCs/>
          <w:shd w:val="clear" w:color="auto" w:fill="FFFFFF"/>
        </w:rPr>
        <w:fldChar w:fldCharType="end"/>
      </w:r>
      <w:r w:rsidRPr="003A5469">
        <w:rPr>
          <w:rFonts w:cstheme="minorHAnsi"/>
          <w:iCs/>
          <w:shd w:val="clear" w:color="auto" w:fill="FFFFFF"/>
        </w:rPr>
        <w:t>. It is key to understand how interventions work, and why they do or do not given the presence of different contextual factors.</w:t>
      </w:r>
    </w:p>
    <w:p w14:paraId="34634CE8" w14:textId="58023080" w:rsidR="00CB501A" w:rsidRPr="003A5469" w:rsidRDefault="00CB501A" w:rsidP="00525BE0">
      <w:pPr>
        <w:spacing w:after="240" w:line="360" w:lineRule="auto"/>
        <w:jc w:val="both"/>
        <w:rPr>
          <w:rFonts w:cstheme="minorHAnsi"/>
        </w:rPr>
      </w:pPr>
      <w:r w:rsidRPr="003A5469">
        <w:rPr>
          <w:rFonts w:cstheme="minorHAnsi"/>
        </w:rPr>
        <w:fldChar w:fldCharType="begin" w:fldLock="1"/>
      </w:r>
      <w:r w:rsidR="00EA4B53">
        <w:rPr>
          <w:rFonts w:cstheme="minorHAnsi"/>
        </w:rPr>
        <w:instrText>ADDIN CSL_CITATION {"citationItems":[{"id":"ITEM-1","itemData":{"DOI":"10.1177/1609406917741796","ISSN":"16094069","abstract":"Program theory, that is, the specific idea about how a program causes the intended or observed outcomes, should be the central aspect of any realist evaluation or synthesis. The methods used for explicating or building initial rough program theories (IRPTs) in realist research are varied and arguably often underreported. In addition, preexisting psychological and sociological theories, at a higher level of abstraction, could be used to a greater extent to inform their development. This article illustrates a method for building IRPTs for use in realist research evaluation and synthesis. This illustration involves showing how the IRPTs were developed in a realist evaluation concerning sexual health services for young people. In this evaluation, a broad framework of abstract theories was constructed early in the process to support IRPT building and frame more specific program theories as they were developed. These abstract theories were selected to support theorizing at macro-, meso-, and microlevels of social structure. This article discusses the benefits of using this method to build initial theories for particular types of interventions that are large, complex, and messy. It also addresses challenges relating to the selection of suitable theories.","author":[{"dropping-particle":"","family":"Shearn","given":"Katie","non-dropping-particle":"","parse-names":false,"suffix":""},{"dropping-particle":"","family":"Allmark","given":"Peter","non-dropping-particle":"","parse-names":false,"suffix":""},{"dropping-particle":"","family":"Piercy","given":"Hilary","non-dropping-particle":"","parse-names":false,"suffix":""},{"dropping-particle":"","family":"Hirst","given":"Julia","non-dropping-particle":"","parse-names":false,"suffix":""}],"container-title":"International Journal of Qualitative Methods","id":"ITEM-1","issue":"1","issued":{"date-parts":[["2017"]]},"page":"1-11","title":"Building Realist Program Theory for Large Complex and Messy Interventions","type":"article-journal","volume":"16"},"locator":"4","uris":["http://www.mendeley.com/documents/?uuid=d1acdb0c-b96c-4e60-80cc-9a1fe9e4e363"]}],"mendeley":{"formattedCitation":"&lt;sup&gt;237&lt;/sup&gt;","manualFormatting":"Shearn et al. (2017, p. 4)","plainTextFormattedCitation":"237","previouslyFormattedCitation":"&lt;sup&gt;237&lt;/sup&gt;"},"properties":{"noteIndex":0},"schema":"https://github.com/citation-style-language/schema/raw/master/csl-citation.json"}</w:instrText>
      </w:r>
      <w:r w:rsidRPr="003A5469">
        <w:rPr>
          <w:rFonts w:cstheme="minorHAnsi"/>
        </w:rPr>
        <w:fldChar w:fldCharType="separate"/>
      </w:r>
      <w:r w:rsidRPr="003A5469">
        <w:rPr>
          <w:rFonts w:cstheme="minorHAnsi"/>
          <w:noProof/>
        </w:rPr>
        <w:t xml:space="preserve">Shearn </w:t>
      </w:r>
      <w:r w:rsidRPr="003A5469">
        <w:rPr>
          <w:rFonts w:cstheme="minorHAnsi"/>
          <w:i/>
          <w:noProof/>
        </w:rPr>
        <w:t>et al.</w:t>
      </w:r>
      <w:r w:rsidRPr="003A5469">
        <w:rPr>
          <w:rFonts w:cstheme="minorHAnsi"/>
          <w:noProof/>
        </w:rPr>
        <w:t xml:space="preserve"> (2017, p. 4)</w:t>
      </w:r>
      <w:r w:rsidRPr="003A5469">
        <w:rPr>
          <w:rFonts w:cstheme="minorHAnsi"/>
        </w:rPr>
        <w:fldChar w:fldCharType="end"/>
      </w:r>
      <w:r w:rsidRPr="003A5469">
        <w:rPr>
          <w:rFonts w:cstheme="minorHAnsi"/>
        </w:rPr>
        <w:t xml:space="preserve"> propose that it is necessary to form an IRT to “</w:t>
      </w:r>
      <w:r w:rsidRPr="003A5469">
        <w:rPr>
          <w:rFonts w:cstheme="minorHAnsi"/>
          <w:i/>
        </w:rPr>
        <w:t>become the object of the inquiry and the structure and framework for examining and synthesizing diverse evidence</w:t>
      </w:r>
      <w:r w:rsidRPr="003A5469">
        <w:rPr>
          <w:rFonts w:cstheme="minorHAnsi"/>
        </w:rPr>
        <w:t xml:space="preserve">”. Thus, the IRT that is being formulated here constitutes our initial groundwork for a fully encompassing theory that will explain “what is supposed to happen” as well as “why it is supposed to work”. A rough initial theory “may or may not be constructed in realist terms” </w:t>
      </w:r>
      <w:r w:rsidRPr="003A5469">
        <w:rPr>
          <w:rFonts w:cstheme="minorHAnsi"/>
        </w:rPr>
        <w:fldChar w:fldCharType="begin" w:fldLock="1"/>
      </w:r>
      <w:r w:rsidR="00EA4B53">
        <w:rPr>
          <w:rFonts w:cstheme="minorHAnsi"/>
        </w:rPr>
        <w:instrText>ADDIN CSL_CITATION {"citationItems":[{"id":"ITEM-1","itemData":{"abstract":"This training package has been developed to provide practical guidance to reviewers who want to undertake a realist synthesis (or realist review – the terms are synonymous). There has been, over recent years, a growing demand for training but so far, no ‘how to’ manuals exist. Development of the training materials was funded as part of the RAMESES project (http://www.ramesesproject.org).","author":[{"dropping-particle":"","family":"Wong","given":"Geoff","non-dropping-particle":"","parse-names":false,"suffix":""},{"dropping-particle":"","family":"Westhorp","given":"Gill","non-dropping-particle":"","parse-names":false,"suffix":""},{"dropping-particle":"","family":"Pawson","given":"Ray","non-dropping-particle":"","parse-names":false,"suffix":""},{"dropping-particle":"","family":"Greenhalgh","given":"Trish","non-dropping-particle":"","parse-names":false,"suffix":""}],"container-title":"The RAMESES Project","id":"ITEM-1","issue":"July 2013","issued":{"date-parts":[["2013"]]},"number-of-pages":"55","title":"Realist Synthesis. RAMESES Training Materials","type":"report"},"uris":["http://www.mendeley.com/documents/?uuid=4335c3e5-8fc7-4bd6-9e51-07f8abece93e"]}],"mendeley":{"formattedCitation":"&lt;sup&gt;130&lt;/sup&gt;","plainTextFormattedCitation":"130","previouslyFormattedCitation":"&lt;sup&gt;130&lt;/sup&gt;"},"properties":{"noteIndex":0},"schema":"https://github.com/citation-style-language/schema/raw/master/csl-citation.json"}</w:instrText>
      </w:r>
      <w:r w:rsidRPr="003A5469">
        <w:rPr>
          <w:rFonts w:cstheme="minorHAnsi"/>
        </w:rPr>
        <w:fldChar w:fldCharType="separate"/>
      </w:r>
      <w:r w:rsidR="00E25884" w:rsidRPr="00E25884">
        <w:rPr>
          <w:rFonts w:cstheme="minorHAnsi"/>
          <w:noProof/>
          <w:vertAlign w:val="superscript"/>
        </w:rPr>
        <w:t>130</w:t>
      </w:r>
      <w:r w:rsidRPr="003A5469">
        <w:rPr>
          <w:rFonts w:cstheme="minorHAnsi"/>
        </w:rPr>
        <w:fldChar w:fldCharType="end"/>
      </w:r>
      <w:r w:rsidRPr="003A5469">
        <w:rPr>
          <w:rFonts w:cstheme="minorHAnsi"/>
        </w:rPr>
        <w:t xml:space="preserve">.. In the case of partnerships, the intervention can take many forms, have multiple entry-points, and can operate through hundreds or thousands of actors within organisations, encompassing individual and group behavioural dynamics. So, with messy, complex interventions such as ‘partnering’, the means through which it is expected to work are often ambiguous or too heterogeneous to easily characterise (Greenhalgh, 2009). </w:t>
      </w:r>
    </w:p>
    <w:p w14:paraId="608A236A" w14:textId="7B29C2AD" w:rsidR="00CB501A" w:rsidRPr="003A5469" w:rsidRDefault="00CB501A" w:rsidP="00525BE0">
      <w:pPr>
        <w:spacing w:after="240" w:line="360" w:lineRule="auto"/>
        <w:jc w:val="both"/>
        <w:rPr>
          <w:rFonts w:cstheme="minorHAnsi"/>
        </w:rPr>
      </w:pPr>
      <w:r w:rsidRPr="003A5469">
        <w:rPr>
          <w:rFonts w:cstheme="minorHAnsi"/>
        </w:rPr>
        <w:t xml:space="preserve">In this case, to construct our IRT, policy and organisational documents were reviewed, as well as various ‘tacit theories’ present in similar topics in the literature (Shearn et al., 2017). A review of grey (policy and organisational strategy documents within the NHS) and academic literature was carried out in November 2019 – Jan 2020 to gain an understanding of existing typologies of partnering, the expected outcomes of partnering, and the ‘active ingredients’ at work therein. This utilised searching of Google, Google Scholar, and NHS websites in an unstructured but purposive manner typical of a narrative literature review </w:t>
      </w:r>
      <w:r w:rsidRPr="003A5469">
        <w:rPr>
          <w:rFonts w:cstheme="minorHAnsi"/>
        </w:rPr>
        <w:fldChar w:fldCharType="begin" w:fldLock="1"/>
      </w:r>
      <w:r w:rsidR="00EA4B53">
        <w:rPr>
          <w:rFonts w:cstheme="minorHAnsi"/>
        </w:rPr>
        <w:instrText>ADDIN CSL_CITATION {"citationItems":[{"id":"ITEM-1","itemData":{"DOI":"10.1162/ling_a_00246","ISSN":"0024-3892","abstract":"Various languages allowinstances of external possession – possessive encodingwith- out a possessive structure in DP. The analysis of these cases has long been a battle- ground of raising versus control. I provide a new argument in support of posses- sor raising of a type thematically parallel to raising to subject. The possessor phrase moves froma possessum-DP-internal position to an a-thematic A-positionwithin vP. Like raising to subject, thismovement is obligatory and does not result in the assign- ment of a newtheta-role to themoving element.","author":[{"dropping-particle":"","family":"Green","given":"Bart N","non-dropping-particle":"","parse-names":false,"suffix":""},{"dropping-particle":"","family":"Johnson","given":"Claire D","non-dropping-particle":"","parse-names":false,"suffix":""},{"dropping-particle":"","family":"Adams","given":"Alan","non-dropping-particle":"","parse-names":false,"suffix":""}],"container-title":"Journal of Chiropractic Medicine","id":"ITEM-1","issued":{"date-parts":[["2006"]]},"page":"5-19","title":"Writing narrative literature reviews for peer-reviewed journals: secrets of the trade","type":"article-journal","volume":"15"},"uris":["http://www.mendeley.com/documents/?uuid=0628d91d-4809-473c-bfb8-7c161368255b"]}],"mendeley":{"formattedCitation":"&lt;sup&gt;238&lt;/sup&gt;","plainTextFormattedCitation":"238","previouslyFormattedCitation":"&lt;sup&gt;238&lt;/sup&gt;"},"properties":{"noteIndex":0},"schema":"https://github.com/citation-style-language/schema/raw/master/csl-citation.json"}</w:instrText>
      </w:r>
      <w:r w:rsidRPr="003A5469">
        <w:rPr>
          <w:rFonts w:cstheme="minorHAnsi"/>
        </w:rPr>
        <w:fldChar w:fldCharType="separate"/>
      </w:r>
      <w:r w:rsidR="00E25884" w:rsidRPr="00E25884">
        <w:rPr>
          <w:rFonts w:cstheme="minorHAnsi"/>
          <w:noProof/>
          <w:vertAlign w:val="superscript"/>
        </w:rPr>
        <w:t>238</w:t>
      </w:r>
      <w:r w:rsidRPr="003A5469">
        <w:rPr>
          <w:rFonts w:cstheme="minorHAnsi"/>
        </w:rPr>
        <w:fldChar w:fldCharType="end"/>
      </w:r>
      <w:r w:rsidRPr="003A5469">
        <w:rPr>
          <w:rFonts w:cstheme="minorHAnsi"/>
        </w:rPr>
        <w:t>. For searches of review papers around partnering, papers were included when they were clearly related to inter-organisational collaborations in the public sector. For organisational documents, Google searches were conducted using terms such as “NHS Foundation partnership strategic document” and for other specific partnership types such as ‘alliance’ (see tables below) and results trawled for strategic organisational documents. These strategic organisational documents involving partnerships were scoured for intended outcomes and these were extracted into a table. Once the included papers were reviewed and an appropriate categorisation was identified, thematic analysis was then performed in a deductive manner to identify appropriate classifications for these outcomes.</w:t>
      </w:r>
    </w:p>
    <w:p w14:paraId="2E7D901F" w14:textId="77777777" w:rsidR="00CB501A" w:rsidRPr="003A5469" w:rsidRDefault="00CB501A" w:rsidP="00525BE0">
      <w:pPr>
        <w:spacing w:after="240" w:line="360" w:lineRule="auto"/>
        <w:jc w:val="both"/>
        <w:rPr>
          <w:rFonts w:cstheme="minorHAnsi"/>
        </w:rPr>
      </w:pPr>
      <w:r w:rsidRPr="003A5469">
        <w:rPr>
          <w:rFonts w:cstheme="minorHAnsi"/>
        </w:rPr>
        <w:t>Policy documents were identified in a similar fashion with keywords such as “NHS England”, “Partnership”, “Collaboration”, and more, with multiple policymaker organisations (such as NHS Providers, NHS Improvement) searched for. NHS Foundation, NHS England, NHS Providers, and other organisational sites were also trawled for such documents. Once an initial draft of this paper and theory was developed, it was presented to and deliberated by a panel of eleven experts from a range of organisations with an interest in partnering policies including NHS improvement, the Good Governance Institute, The Health Foundation, and NHS Providers, for review and refinement of its theoretical content, during the course of a 2-hour workshop.</w:t>
      </w:r>
    </w:p>
    <w:p w14:paraId="220EBD58" w14:textId="39AA6B58" w:rsidR="00CB501A" w:rsidRDefault="00A101A3" w:rsidP="00525BE0">
      <w:pPr>
        <w:jc w:val="both"/>
      </w:pPr>
      <w:r>
        <w:t xml:space="preserve">Table 1. </w:t>
      </w:r>
      <w:r w:rsidR="00CB501A">
        <w:t>Search terms utilised for reviews and frameworks (combination of elements across rows):</w:t>
      </w:r>
    </w:p>
    <w:tbl>
      <w:tblPr>
        <w:tblStyle w:val="TableGrid"/>
        <w:tblW w:w="0" w:type="auto"/>
        <w:tblLook w:val="04A0" w:firstRow="1" w:lastRow="0" w:firstColumn="1" w:lastColumn="0" w:noHBand="0" w:noVBand="1"/>
      </w:tblPr>
      <w:tblGrid>
        <w:gridCol w:w="2122"/>
        <w:gridCol w:w="6894"/>
      </w:tblGrid>
      <w:tr w:rsidR="00CB501A" w14:paraId="6F0B570D" w14:textId="77777777" w:rsidTr="00A77C56">
        <w:tc>
          <w:tcPr>
            <w:tcW w:w="2122" w:type="dxa"/>
          </w:tcPr>
          <w:p w14:paraId="2A82A8C5" w14:textId="77777777" w:rsidR="00CB501A" w:rsidRPr="00320B74" w:rsidRDefault="00CB501A" w:rsidP="00525BE0">
            <w:pPr>
              <w:jc w:val="both"/>
              <w:rPr>
                <w:b/>
              </w:rPr>
            </w:pPr>
            <w:r w:rsidRPr="00320B74">
              <w:rPr>
                <w:b/>
              </w:rPr>
              <w:t>Category</w:t>
            </w:r>
            <w:r>
              <w:rPr>
                <w:b/>
              </w:rPr>
              <w:t xml:space="preserve"> of search term</w:t>
            </w:r>
          </w:p>
        </w:tc>
        <w:tc>
          <w:tcPr>
            <w:tcW w:w="6894" w:type="dxa"/>
          </w:tcPr>
          <w:p w14:paraId="71915233" w14:textId="77777777" w:rsidR="00CB501A" w:rsidRPr="00320B74" w:rsidRDefault="00CB501A" w:rsidP="00525BE0">
            <w:pPr>
              <w:jc w:val="both"/>
              <w:rPr>
                <w:b/>
              </w:rPr>
            </w:pPr>
            <w:r w:rsidRPr="00320B74">
              <w:rPr>
                <w:b/>
              </w:rPr>
              <w:t>Terms</w:t>
            </w:r>
          </w:p>
        </w:tc>
      </w:tr>
      <w:tr w:rsidR="00CB501A" w14:paraId="541FC6F0" w14:textId="77777777" w:rsidTr="00A77C56">
        <w:tc>
          <w:tcPr>
            <w:tcW w:w="2122" w:type="dxa"/>
          </w:tcPr>
          <w:p w14:paraId="2117768D" w14:textId="77777777" w:rsidR="00CB501A" w:rsidRDefault="00CB501A" w:rsidP="00525BE0">
            <w:pPr>
              <w:jc w:val="both"/>
            </w:pPr>
            <w:r>
              <w:t>Types of partnership</w:t>
            </w:r>
          </w:p>
        </w:tc>
        <w:tc>
          <w:tcPr>
            <w:tcW w:w="6894" w:type="dxa"/>
          </w:tcPr>
          <w:p w14:paraId="1C2BB732" w14:textId="77777777" w:rsidR="00CB501A" w:rsidRDefault="00CB501A" w:rsidP="00525BE0">
            <w:pPr>
              <w:jc w:val="both"/>
            </w:pPr>
            <w:r>
              <w:t>Associate member, buddying, clinical network, contractual joint venture, merger, acquisition, service-level chain, joint management, co-ordinating, consolidation, integrated care system, accountable care system, organisational franchises, hospital chains, management contract, federation, mutual, joint working, partnership working, alliance</w:t>
            </w:r>
          </w:p>
        </w:tc>
      </w:tr>
      <w:tr w:rsidR="00CB501A" w14:paraId="3A79B1FA" w14:textId="77777777" w:rsidTr="00A77C56">
        <w:tc>
          <w:tcPr>
            <w:tcW w:w="2122" w:type="dxa"/>
          </w:tcPr>
          <w:p w14:paraId="621FD3DB" w14:textId="77777777" w:rsidR="00CB501A" w:rsidRDefault="00CB501A" w:rsidP="00525BE0">
            <w:pPr>
              <w:jc w:val="both"/>
            </w:pPr>
            <w:r>
              <w:t>Field</w:t>
            </w:r>
          </w:p>
        </w:tc>
        <w:tc>
          <w:tcPr>
            <w:tcW w:w="6894" w:type="dxa"/>
          </w:tcPr>
          <w:p w14:paraId="7A0F5D42" w14:textId="77777777" w:rsidR="00CB501A" w:rsidRDefault="00CB501A" w:rsidP="00525BE0">
            <w:pPr>
              <w:jc w:val="both"/>
            </w:pPr>
            <w:r>
              <w:t>Healthcare, hospitals, acute care, primary care, community, general practice, public sector</w:t>
            </w:r>
          </w:p>
        </w:tc>
      </w:tr>
      <w:tr w:rsidR="00CB501A" w14:paraId="301E045E" w14:textId="77777777" w:rsidTr="00A77C56">
        <w:tc>
          <w:tcPr>
            <w:tcW w:w="2122" w:type="dxa"/>
          </w:tcPr>
          <w:p w14:paraId="69AD872E" w14:textId="77777777" w:rsidR="00CB501A" w:rsidRDefault="00CB501A" w:rsidP="00525BE0">
            <w:pPr>
              <w:jc w:val="both"/>
            </w:pPr>
            <w:r>
              <w:t>Document type</w:t>
            </w:r>
          </w:p>
        </w:tc>
        <w:tc>
          <w:tcPr>
            <w:tcW w:w="6894" w:type="dxa"/>
          </w:tcPr>
          <w:p w14:paraId="4127D4DD" w14:textId="77777777" w:rsidR="00CB501A" w:rsidRDefault="00CB501A" w:rsidP="00525BE0">
            <w:pPr>
              <w:jc w:val="both"/>
            </w:pPr>
            <w:r>
              <w:t>Review, guide, model, framework</w:t>
            </w:r>
          </w:p>
        </w:tc>
      </w:tr>
    </w:tbl>
    <w:p w14:paraId="0A9A5B13" w14:textId="77777777" w:rsidR="00CB501A" w:rsidRDefault="00CB501A" w:rsidP="00525BE0">
      <w:pPr>
        <w:jc w:val="both"/>
      </w:pPr>
    </w:p>
    <w:p w14:paraId="5EA4A1F8" w14:textId="3388EA68" w:rsidR="00CB501A" w:rsidRDefault="00A101A3" w:rsidP="00525BE0">
      <w:pPr>
        <w:jc w:val="both"/>
      </w:pPr>
      <w:r>
        <w:t xml:space="preserve">Table 2. </w:t>
      </w:r>
      <w:r w:rsidR="00CB501A">
        <w:t>Search terms utilised for organisational documents (to gather data on outcomes):</w:t>
      </w:r>
    </w:p>
    <w:tbl>
      <w:tblPr>
        <w:tblStyle w:val="TableGrid"/>
        <w:tblW w:w="0" w:type="auto"/>
        <w:tblLook w:val="04A0" w:firstRow="1" w:lastRow="0" w:firstColumn="1" w:lastColumn="0" w:noHBand="0" w:noVBand="1"/>
      </w:tblPr>
      <w:tblGrid>
        <w:gridCol w:w="2122"/>
        <w:gridCol w:w="6894"/>
      </w:tblGrid>
      <w:tr w:rsidR="00CB501A" w14:paraId="07F69E6B" w14:textId="77777777" w:rsidTr="00A77C56">
        <w:tc>
          <w:tcPr>
            <w:tcW w:w="2122" w:type="dxa"/>
          </w:tcPr>
          <w:p w14:paraId="6CE69E87" w14:textId="77777777" w:rsidR="00CB501A" w:rsidRPr="00320B74" w:rsidRDefault="00CB501A" w:rsidP="00525BE0">
            <w:pPr>
              <w:jc w:val="both"/>
              <w:rPr>
                <w:b/>
              </w:rPr>
            </w:pPr>
            <w:r w:rsidRPr="00320B74">
              <w:rPr>
                <w:b/>
              </w:rPr>
              <w:t>Category</w:t>
            </w:r>
            <w:r>
              <w:rPr>
                <w:b/>
              </w:rPr>
              <w:t xml:space="preserve"> of search term</w:t>
            </w:r>
          </w:p>
        </w:tc>
        <w:tc>
          <w:tcPr>
            <w:tcW w:w="6894" w:type="dxa"/>
          </w:tcPr>
          <w:p w14:paraId="665C8F69" w14:textId="77777777" w:rsidR="00CB501A" w:rsidRPr="00320B74" w:rsidRDefault="00CB501A" w:rsidP="00525BE0">
            <w:pPr>
              <w:jc w:val="both"/>
              <w:rPr>
                <w:b/>
              </w:rPr>
            </w:pPr>
            <w:r w:rsidRPr="00320B74">
              <w:rPr>
                <w:b/>
              </w:rPr>
              <w:t>Terms</w:t>
            </w:r>
          </w:p>
        </w:tc>
      </w:tr>
      <w:tr w:rsidR="00CB501A" w14:paraId="7FF86282" w14:textId="77777777" w:rsidTr="00A77C56">
        <w:tc>
          <w:tcPr>
            <w:tcW w:w="2122" w:type="dxa"/>
          </w:tcPr>
          <w:p w14:paraId="1B28183C" w14:textId="77777777" w:rsidR="00CB501A" w:rsidRDefault="00CB501A" w:rsidP="00525BE0">
            <w:pPr>
              <w:jc w:val="both"/>
            </w:pPr>
            <w:r>
              <w:t>Types of organisation</w:t>
            </w:r>
          </w:p>
        </w:tc>
        <w:tc>
          <w:tcPr>
            <w:tcW w:w="6894" w:type="dxa"/>
          </w:tcPr>
          <w:p w14:paraId="6C367376" w14:textId="77777777" w:rsidR="00CB501A" w:rsidRDefault="00CB501A" w:rsidP="00525BE0">
            <w:pPr>
              <w:jc w:val="both"/>
            </w:pPr>
            <w:r>
              <w:t>NHS foundation, trust, provider, hospital, healthcare</w:t>
            </w:r>
          </w:p>
        </w:tc>
      </w:tr>
      <w:tr w:rsidR="00CB501A" w14:paraId="1ADD88C2" w14:textId="77777777" w:rsidTr="00A77C56">
        <w:tc>
          <w:tcPr>
            <w:tcW w:w="2122" w:type="dxa"/>
          </w:tcPr>
          <w:p w14:paraId="76E8241D" w14:textId="77777777" w:rsidR="00CB501A" w:rsidRDefault="00CB501A" w:rsidP="00525BE0">
            <w:pPr>
              <w:jc w:val="both"/>
            </w:pPr>
            <w:r>
              <w:t>Collaboration type</w:t>
            </w:r>
          </w:p>
        </w:tc>
        <w:tc>
          <w:tcPr>
            <w:tcW w:w="6894" w:type="dxa"/>
          </w:tcPr>
          <w:p w14:paraId="42BE555C" w14:textId="77777777" w:rsidR="00CB501A" w:rsidRDefault="00CB501A" w:rsidP="00525BE0">
            <w:pPr>
              <w:jc w:val="both"/>
            </w:pPr>
            <w:r>
              <w:t>partnership, alliance, collaboration, coordination, franchise, joint working, federation, network, joint venture, buddying, merger, acquisition</w:t>
            </w:r>
          </w:p>
        </w:tc>
      </w:tr>
      <w:tr w:rsidR="00CB501A" w14:paraId="58F0F513" w14:textId="77777777" w:rsidTr="00A77C56">
        <w:tc>
          <w:tcPr>
            <w:tcW w:w="2122" w:type="dxa"/>
          </w:tcPr>
          <w:p w14:paraId="3FD44841" w14:textId="77777777" w:rsidR="00CB501A" w:rsidRDefault="00CB501A" w:rsidP="00525BE0">
            <w:pPr>
              <w:jc w:val="both"/>
            </w:pPr>
            <w:r>
              <w:t>Document type</w:t>
            </w:r>
          </w:p>
        </w:tc>
        <w:tc>
          <w:tcPr>
            <w:tcW w:w="6894" w:type="dxa"/>
          </w:tcPr>
          <w:p w14:paraId="4DE4ADEB" w14:textId="77777777" w:rsidR="00CB501A" w:rsidRDefault="00CB501A" w:rsidP="00525BE0">
            <w:pPr>
              <w:jc w:val="both"/>
            </w:pPr>
            <w:r>
              <w:t>Strategic case, strategy, evaluation, proposed, agreement, memorandum of understanding, contract</w:t>
            </w:r>
          </w:p>
        </w:tc>
      </w:tr>
    </w:tbl>
    <w:p w14:paraId="2EF6B88A" w14:textId="77777777" w:rsidR="00CB501A" w:rsidRDefault="00CB501A" w:rsidP="00525BE0">
      <w:pPr>
        <w:jc w:val="both"/>
      </w:pPr>
    </w:p>
    <w:p w14:paraId="4A12496B" w14:textId="77777777" w:rsidR="00CB501A" w:rsidRDefault="00CB501A" w:rsidP="00525BE0">
      <w:pPr>
        <w:jc w:val="both"/>
      </w:pPr>
    </w:p>
    <w:p w14:paraId="3A976C0E" w14:textId="77777777" w:rsidR="00CB501A" w:rsidRDefault="00CB501A" w:rsidP="00525BE0">
      <w:pPr>
        <w:jc w:val="both"/>
      </w:pPr>
    </w:p>
    <w:p w14:paraId="5E193B49" w14:textId="29A3A24C" w:rsidR="00CB501A" w:rsidRPr="00387D1D" w:rsidRDefault="00CB501A" w:rsidP="00525BE0">
      <w:pPr>
        <w:jc w:val="both"/>
      </w:pPr>
      <w:r>
        <w:t xml:space="preserve"> </w:t>
      </w:r>
      <w:r w:rsidR="00A101A3">
        <w:t xml:space="preserve">Table 3. </w:t>
      </w:r>
      <w:r>
        <w:t>Search terms used for policy documents</w:t>
      </w:r>
    </w:p>
    <w:tbl>
      <w:tblPr>
        <w:tblStyle w:val="TableGrid"/>
        <w:tblW w:w="0" w:type="auto"/>
        <w:tblLook w:val="04A0" w:firstRow="1" w:lastRow="0" w:firstColumn="1" w:lastColumn="0" w:noHBand="0" w:noVBand="1"/>
      </w:tblPr>
      <w:tblGrid>
        <w:gridCol w:w="2122"/>
        <w:gridCol w:w="6894"/>
      </w:tblGrid>
      <w:tr w:rsidR="00CB501A" w14:paraId="42DAFFB0" w14:textId="77777777" w:rsidTr="00A77C56">
        <w:tc>
          <w:tcPr>
            <w:tcW w:w="2122" w:type="dxa"/>
          </w:tcPr>
          <w:p w14:paraId="0904566F" w14:textId="77777777" w:rsidR="00CB501A" w:rsidRPr="00320B74" w:rsidRDefault="00CB501A" w:rsidP="00525BE0">
            <w:pPr>
              <w:jc w:val="both"/>
              <w:rPr>
                <w:b/>
              </w:rPr>
            </w:pPr>
            <w:r w:rsidRPr="00320B74">
              <w:rPr>
                <w:b/>
              </w:rPr>
              <w:t>Category</w:t>
            </w:r>
            <w:r>
              <w:rPr>
                <w:b/>
              </w:rPr>
              <w:t xml:space="preserve"> of search term</w:t>
            </w:r>
          </w:p>
        </w:tc>
        <w:tc>
          <w:tcPr>
            <w:tcW w:w="6894" w:type="dxa"/>
          </w:tcPr>
          <w:p w14:paraId="06749DEB" w14:textId="77777777" w:rsidR="00CB501A" w:rsidRPr="00320B74" w:rsidRDefault="00CB501A" w:rsidP="00525BE0">
            <w:pPr>
              <w:jc w:val="both"/>
              <w:rPr>
                <w:b/>
              </w:rPr>
            </w:pPr>
            <w:r w:rsidRPr="00320B74">
              <w:rPr>
                <w:b/>
              </w:rPr>
              <w:t>Terms</w:t>
            </w:r>
          </w:p>
        </w:tc>
      </w:tr>
      <w:tr w:rsidR="00CB501A" w14:paraId="63EA06E0" w14:textId="77777777" w:rsidTr="00A77C56">
        <w:tc>
          <w:tcPr>
            <w:tcW w:w="2122" w:type="dxa"/>
          </w:tcPr>
          <w:p w14:paraId="668FC911" w14:textId="77777777" w:rsidR="00CB501A" w:rsidRDefault="00CB501A" w:rsidP="00525BE0">
            <w:pPr>
              <w:jc w:val="both"/>
            </w:pPr>
            <w:r>
              <w:t>Types of organisation</w:t>
            </w:r>
          </w:p>
        </w:tc>
        <w:tc>
          <w:tcPr>
            <w:tcW w:w="6894" w:type="dxa"/>
          </w:tcPr>
          <w:p w14:paraId="352191FA" w14:textId="77777777" w:rsidR="00CB501A" w:rsidRDefault="00CB501A" w:rsidP="00525BE0">
            <w:pPr>
              <w:jc w:val="both"/>
            </w:pPr>
            <w:r>
              <w:t xml:space="preserve">NHS England, NHS Improvement, The King’s Fund, UK Parliament, NHS Digital, NHS Employers </w:t>
            </w:r>
          </w:p>
        </w:tc>
      </w:tr>
      <w:tr w:rsidR="00CB501A" w14:paraId="2BE0C0D8" w14:textId="77777777" w:rsidTr="00A77C56">
        <w:tc>
          <w:tcPr>
            <w:tcW w:w="2122" w:type="dxa"/>
          </w:tcPr>
          <w:p w14:paraId="24169E29" w14:textId="77777777" w:rsidR="00CB501A" w:rsidRDefault="00CB501A" w:rsidP="00525BE0">
            <w:pPr>
              <w:jc w:val="both"/>
            </w:pPr>
            <w:r>
              <w:t>Collaboration type</w:t>
            </w:r>
          </w:p>
        </w:tc>
        <w:tc>
          <w:tcPr>
            <w:tcW w:w="6894" w:type="dxa"/>
          </w:tcPr>
          <w:p w14:paraId="12BE5C1F" w14:textId="77777777" w:rsidR="00CB501A" w:rsidRDefault="00CB501A" w:rsidP="00525BE0">
            <w:pPr>
              <w:jc w:val="both"/>
            </w:pPr>
            <w:r>
              <w:t>partnership, alliance, collaboration, coordination, franchise, joint working, federation, network, joint venture, buddying, mergers, acquisitions</w:t>
            </w:r>
          </w:p>
        </w:tc>
      </w:tr>
      <w:tr w:rsidR="00CB501A" w14:paraId="238B70C0" w14:textId="77777777" w:rsidTr="00A77C56">
        <w:tc>
          <w:tcPr>
            <w:tcW w:w="2122" w:type="dxa"/>
          </w:tcPr>
          <w:p w14:paraId="6852DF0E" w14:textId="77777777" w:rsidR="00CB501A" w:rsidRDefault="00CB501A" w:rsidP="00525BE0">
            <w:pPr>
              <w:jc w:val="both"/>
            </w:pPr>
            <w:r>
              <w:t>Document type</w:t>
            </w:r>
          </w:p>
        </w:tc>
        <w:tc>
          <w:tcPr>
            <w:tcW w:w="6894" w:type="dxa"/>
          </w:tcPr>
          <w:p w14:paraId="4E440BF4" w14:textId="77777777" w:rsidR="00CB501A" w:rsidRDefault="00CB501A" w:rsidP="00525BE0">
            <w:pPr>
              <w:jc w:val="both"/>
            </w:pPr>
            <w:r>
              <w:t>Review, recommendations, lessons, success, failure, factors, guide</w:t>
            </w:r>
          </w:p>
        </w:tc>
      </w:tr>
    </w:tbl>
    <w:p w14:paraId="0AD7E5B6" w14:textId="77777777" w:rsidR="00CB501A" w:rsidRDefault="00CB501A" w:rsidP="00525BE0">
      <w:pPr>
        <w:pStyle w:val="Heading2"/>
        <w:jc w:val="both"/>
      </w:pPr>
    </w:p>
    <w:p w14:paraId="283331EA" w14:textId="77777777" w:rsidR="00CB501A" w:rsidRDefault="00CB501A" w:rsidP="00525BE0">
      <w:pPr>
        <w:spacing w:after="0" w:line="240" w:lineRule="auto"/>
        <w:jc w:val="both"/>
        <w:rPr>
          <w:rFonts w:asciiTheme="majorHAnsi" w:eastAsiaTheme="majorEastAsia" w:hAnsiTheme="majorHAnsi" w:cstheme="majorBidi"/>
          <w:color w:val="2F5496" w:themeColor="accent1" w:themeShade="BF"/>
          <w:sz w:val="26"/>
          <w:szCs w:val="26"/>
        </w:rPr>
      </w:pPr>
      <w:r>
        <w:br w:type="page"/>
      </w:r>
    </w:p>
    <w:p w14:paraId="14718E08" w14:textId="77777777" w:rsidR="00B85E73" w:rsidRDefault="00B85E73" w:rsidP="00525BE0">
      <w:pPr>
        <w:pStyle w:val="Heading2"/>
        <w:jc w:val="both"/>
      </w:pPr>
      <w:bookmarkStart w:id="165" w:name="_Toc85066496"/>
      <w:r>
        <w:t>Appendix 2 – Life Cycle Methodology</w:t>
      </w:r>
      <w:bookmarkEnd w:id="165"/>
    </w:p>
    <w:p w14:paraId="636278DC" w14:textId="77777777" w:rsidR="00B85E73" w:rsidRPr="00E24015" w:rsidRDefault="00B85E73" w:rsidP="00525BE0">
      <w:pPr>
        <w:pStyle w:val="Heading3"/>
        <w:jc w:val="both"/>
        <w:rPr>
          <w:lang w:val="en-US"/>
        </w:rPr>
      </w:pPr>
      <w:bookmarkStart w:id="166" w:name="_Toc85066497"/>
      <w:r w:rsidRPr="00E24015">
        <w:rPr>
          <w:lang w:val="en-US"/>
        </w:rPr>
        <w:t>‘Best fit’ framework synthesis methodology</w:t>
      </w:r>
      <w:bookmarkEnd w:id="166"/>
    </w:p>
    <w:p w14:paraId="53C3735A" w14:textId="2652CA5F" w:rsidR="00B85E73" w:rsidRPr="00E24015" w:rsidRDefault="00B85E73" w:rsidP="00525BE0">
      <w:pPr>
        <w:jc w:val="both"/>
        <w:rPr>
          <w:rFonts w:cstheme="minorHAnsi"/>
          <w:lang w:val="en-US"/>
        </w:rPr>
      </w:pPr>
      <w:r w:rsidRPr="00E24015">
        <w:rPr>
          <w:rFonts w:cstheme="minorHAnsi"/>
          <w:lang w:val="en-US"/>
        </w:rPr>
        <w:t xml:space="preserve">This ‘best fit’ framework synthesis methodology was chosen for this study </w:t>
      </w:r>
      <w:r w:rsidRPr="00E24015">
        <w:rPr>
          <w:rFonts w:cstheme="minorHAnsi"/>
          <w:lang w:val="en-US"/>
        </w:rPr>
        <w:fldChar w:fldCharType="begin" w:fldLock="1"/>
      </w:r>
      <w:r w:rsidR="00EA4B53">
        <w:rPr>
          <w:rFonts w:cstheme="minorHAnsi"/>
          <w:lang w:val="en-US"/>
        </w:rPr>
        <w:instrText>ADDIN CSL_CITATION {"citationItems":[{"id":"ITEM-1","itemData":{"DOI":"10.1136/bmjqs-2014-003642","ISSN":"20445423","PMID":"26306609","abstract":"Increasing recognition of the role and value of theory in improvement work in healthcare offers the prospect of capitalising upon, and consolidating, actionable lessons from synthesis of improvement projects and initiatives. We propose that informed use of theory can (i) provide a mechanism by which to collect and organise data from a body of improvement work, (ii) offer a framework for analysis and identification of lessons learnt and (iii) facilitate an evaluation of the feasibility, effectiveness and acceptability of improvement programmes. Improvement practitioners can benefit from using an underpinning external structure as a lens by which to examine the specific achievements of their own projects alongside comparable initiatives led by others. We demonstrate the utility of a method known as 'best fit framework synthesis' (BFFS) in offering a ubiquitous and versatile means by which to collect, analyse and evaluate improvement work in healthcare. First reported in 2011, BFFS represents a pragmatic, flexible approach to integrating theory with findings from practice. A deductive phase, where a review team seeks to accommodate a substantial part of the data, is followed by an inductive phase, in which the team explores data not accommodated by the framework. We explore the potential for BFFS within improvement work by drawing upon the evidence synthesis methodology literature and practical examples of improvement work reported in BMJ Quality and Safety (2011-2015). We suggest four variants of BFFS that may have particular value in synthesising a body of improvement work. We conclude that BFFS, alongside other approaches that seek to optimise the contribution of theory to improvement work, represents one important enabling mechanism by which to establish the rigour and scientific credentials of the emerging discipline of 'improvement science'.","author":[{"dropping-particle":"","family":"Booth","given":"Andrew","non-dropping-particle":"","parse-names":false,"suffix":""},{"dropping-particle":"","family":"Carroll","given":"Christopher","non-dropping-particle":"","parse-names":false,"suffix":""}],"container-title":"BMJ quality &amp; safety","id":"ITEM-1","issue":"11","issued":{"date-parts":[["2015"]]},"page":"700-708","title":"How to build up the actionable knowledge base: the role of 'best fit' framework synthesis for studies of improvement in healthcare","type":"article-journal","volume":"24"},"uris":["http://www.mendeley.com/documents/?uuid=a48fb61e-0ee8-4ee9-8019-31fcae4ef50f"]}],"mendeley":{"formattedCitation":"&lt;sup&gt;116&lt;/sup&gt;","plainTextFormattedCitation":"116","previouslyFormattedCitation":"&lt;sup&gt;116&lt;/sup&gt;"},"properties":{"noteIndex":0},"schema":"https://github.com/citation-style-language/schema/raw/master/csl-citation.json"}</w:instrText>
      </w:r>
      <w:r w:rsidRPr="00E24015">
        <w:rPr>
          <w:rFonts w:cstheme="minorHAnsi"/>
          <w:lang w:val="en-US"/>
        </w:rPr>
        <w:fldChar w:fldCharType="separate"/>
      </w:r>
      <w:r w:rsidR="00E25884" w:rsidRPr="00E25884">
        <w:rPr>
          <w:rFonts w:cstheme="minorHAnsi"/>
          <w:noProof/>
          <w:vertAlign w:val="superscript"/>
          <w:lang w:val="en-US"/>
        </w:rPr>
        <w:t>116</w:t>
      </w:r>
      <w:r w:rsidRPr="00E24015">
        <w:rPr>
          <w:rFonts w:cstheme="minorHAnsi"/>
          <w:lang w:val="en-US"/>
        </w:rPr>
        <w:fldChar w:fldCharType="end"/>
      </w:r>
      <w:r w:rsidRPr="00E24015">
        <w:rPr>
          <w:rFonts w:cstheme="minorHAnsi"/>
          <w:lang w:val="en-US"/>
        </w:rPr>
        <w:t xml:space="preserve">. Frequently used in improvement studies in healthcare </w:t>
      </w:r>
      <w:r w:rsidRPr="00E24015">
        <w:rPr>
          <w:rFonts w:cstheme="minorHAnsi"/>
          <w:lang w:val="en-US"/>
        </w:rPr>
        <w:fldChar w:fldCharType="begin" w:fldLock="1"/>
      </w:r>
      <w:r w:rsidR="00EA4B53">
        <w:rPr>
          <w:rFonts w:cstheme="minorHAnsi"/>
          <w:lang w:val="en-US"/>
        </w:rPr>
        <w:instrText>ADDIN CSL_CITATION {"citationItems":[{"id":"ITEM-1","itemData":{"author":[{"dropping-particle":"","family":"Kakemam","given":"Edris","non-dropping-particle":"","parse-names":false,"suffix":""},{"dropping-particle":"","family":"Liang","given":"Zhanming","non-dropping-particle":"","parse-names":false,"suffix":""},{"dropping-particle":"","family":"Janati","given":"Ali","non-dropping-particle":"","parse-names":false,"suffix":""},{"dropping-particle":"","family":"Arab-Zozani","given":"Morteza","non-dropping-particle":"","parse-names":false,"suffix":""},{"dropping-particle":"","family":"Mohaghegh","given":"Bahram","non-dropping-particle":"","parse-names":false,"suffix":""},{"dropping-particle":"","family":"Gholizadeh","given":"Masoumeh","non-dropping-particle":"","parse-names":false,"suffix":""}],"container-title":"Journal of Healthcare Leadership","id":"ITEM-1","issued":{"date-parts":[["2020"]]},"page":"59","publisher":"Dove Press","title":"Leadership and Management Competencies for Hospital Managers: A Systematic Review and Best-Fit Framework Synthesis","type":"article-journal","volume":"12"},"uris":["http://www.mendeley.com/documents/?uuid=0c6ce875-130d-42e9-87b0-806dd90fe7b5","http://www.mendeley.com/documents/?uuid=d6937a90-916e-4091-986c-4d4073ce504a"]},{"id":"ITEM-2","itemData":{"author":[{"dropping-particle":"","family":"Han","given":"Lu","non-dropping-particle":"","parse-names":false,"suffix":""},{"dropping-particle":"","family":"Liu","given":"Jing","non-dropping-particle":"","parse-names":false,"suffix":""},{"dropping-particle":"","family":"Evans","given":"Richard","non-dropping-particle":"","parse-names":false,"suffix":""},{"dropping-particle":"","family":"Song","given":"Yang","non-dropping-particle":"","parse-names":false,"suffix":""},{"dropping-particle":"","family":"Ma","given":"Jingdong","non-dropping-particle":"","parse-names":false,"suffix":""}],"container-title":"JMIR Medical Informatics","id":"ITEM-2","issue":"5","issued":{"date-parts":[["2020"]]},"page":"e17334","publisher":"JMIR Publications Inc., Toronto, Canada","title":"Factors Influencing the Adoption of Health Information Standards in Health Care Organizations: A Systematic Review Based on Best Fit Framework Synthesis","type":"article-journal","volume":"8"},"uris":["http://www.mendeley.com/documents/?uuid=dde4d60e-fcde-4f49-a6ad-a887e7522981","http://www.mendeley.com/documents/?uuid=e3021850-f475-4461-8a6e-8c2f7fa0d8b8"]}],"mendeley":{"formattedCitation":"&lt;sup&gt;239,240&lt;/sup&gt;","plainTextFormattedCitation":"239,240","previouslyFormattedCitation":"&lt;sup&gt;239,240&lt;/sup&gt;"},"properties":{"noteIndex":0},"schema":"https://github.com/citation-style-language/schema/raw/master/csl-citation.json"}</w:instrText>
      </w:r>
      <w:r w:rsidRPr="00E24015">
        <w:rPr>
          <w:rFonts w:cstheme="minorHAnsi"/>
          <w:lang w:val="en-US"/>
        </w:rPr>
        <w:fldChar w:fldCharType="separate"/>
      </w:r>
      <w:r w:rsidR="00E25884" w:rsidRPr="00E25884">
        <w:rPr>
          <w:rFonts w:cstheme="minorHAnsi"/>
          <w:noProof/>
          <w:vertAlign w:val="superscript"/>
          <w:lang w:val="en-US"/>
        </w:rPr>
        <w:t>239,240</w:t>
      </w:r>
      <w:r w:rsidRPr="00E24015">
        <w:rPr>
          <w:rFonts w:cstheme="minorHAnsi"/>
          <w:lang w:val="en-US"/>
        </w:rPr>
        <w:fldChar w:fldCharType="end"/>
      </w:r>
      <w:r w:rsidRPr="00E24015">
        <w:rPr>
          <w:rFonts w:cstheme="minorHAnsi"/>
          <w:lang w:val="en-US"/>
        </w:rPr>
        <w:t xml:space="preserve">, this method was chosen for its flexible and rigorous approach to synthesizing existing frameworks (in this case, process models) with novel data, enabling key gaps in existing understanding to be covered with the formation of a new ‘meta-framework’ (termed here as a ‘composite model’). This new composite model would be purpose-built from many sources of evidence for the public sector </w:t>
      </w:r>
      <w:r w:rsidRPr="00E24015">
        <w:rPr>
          <w:rFonts w:cstheme="minorHAnsi"/>
          <w:lang w:val="en-US"/>
        </w:rPr>
        <w:fldChar w:fldCharType="begin" w:fldLock="1"/>
      </w:r>
      <w:r w:rsidR="00EA4B53">
        <w:rPr>
          <w:rFonts w:cstheme="minorHAnsi"/>
          <w:lang w:val="en-US"/>
        </w:rPr>
        <w:instrText>ADDIN CSL_CITATION {"citationItems":[{"id":"ITEM-1","itemData":{"DOI":"10.1136/bmjqs-2014-003642","ISSN":"20445423","PMID":"26306609","abstract":"Increasing recognition of the role and value of theory in improvement work in healthcare offers the prospect of capitalising upon, and consolidating, actionable lessons from synthesis of improvement projects and initiatives. We propose that informed use of theory can (i) provide a mechanism by which to collect and organise data from a body of improvement work, (ii) offer a framework for analysis and identification of lessons learnt and (iii) facilitate an evaluation of the feasibility, effectiveness and acceptability of improvement programmes. Improvement practitioners can benefit from using an underpinning external structure as a lens by which to examine the specific achievements of their own projects alongside comparable initiatives led by others. We demonstrate the utility of a method known as 'best fit framework synthesis' (BFFS) in offering a ubiquitous and versatile means by which to collect, analyse and evaluate improvement work in healthcare. First reported in 2011, BFFS represents a pragmatic, flexible approach to integrating theory with findings from practice. A deductive phase, where a review team seeks to accommodate a substantial part of the data, is followed by an inductive phase, in which the team explores data not accommodated by the framework. We explore the potential for BFFS within improvement work by drawing upon the evidence synthesis methodology literature and practical examples of improvement work reported in BMJ Quality and Safety (2011-2015). We suggest four variants of BFFS that may have particular value in synthesising a body of improvement work. We conclude that BFFS, alongside other approaches that seek to optimise the contribution of theory to improvement work, represents one important enabling mechanism by which to establish the rigour and scientific credentials of the emerging discipline of 'improvement science'.","author":[{"dropping-particle":"","family":"Booth","given":"Andrew","non-dropping-particle":"","parse-names":false,"suffix":""},{"dropping-particle":"","family":"Carroll","given":"Christopher","non-dropping-particle":"","parse-names":false,"suffix":""}],"container-title":"BMJ quality &amp; safety","id":"ITEM-1","issue":"11","issued":{"date-parts":[["2015"]]},"page":"700-708","title":"How to build up the actionable knowledge base: the role of 'best fit' framework synthesis for studies of improvement in healthcare","type":"article-journal","volume":"24"},"uris":["http://www.mendeley.com/documents/?uuid=a48fb61e-0ee8-4ee9-8019-31fcae4ef50f"]}],"mendeley":{"formattedCitation":"&lt;sup&gt;116&lt;/sup&gt;","plainTextFormattedCitation":"116","previouslyFormattedCitation":"&lt;sup&gt;116&lt;/sup&gt;"},"properties":{"noteIndex":0},"schema":"https://github.com/citation-style-language/schema/raw/master/csl-citation.json"}</w:instrText>
      </w:r>
      <w:r w:rsidRPr="00E24015">
        <w:rPr>
          <w:rFonts w:cstheme="minorHAnsi"/>
          <w:lang w:val="en-US"/>
        </w:rPr>
        <w:fldChar w:fldCharType="separate"/>
      </w:r>
      <w:r w:rsidR="00E25884" w:rsidRPr="00E25884">
        <w:rPr>
          <w:rFonts w:cstheme="minorHAnsi"/>
          <w:noProof/>
          <w:vertAlign w:val="superscript"/>
          <w:lang w:val="en-US"/>
        </w:rPr>
        <w:t>116</w:t>
      </w:r>
      <w:r w:rsidRPr="00E24015">
        <w:rPr>
          <w:rFonts w:cstheme="minorHAnsi"/>
          <w:lang w:val="en-US"/>
        </w:rPr>
        <w:fldChar w:fldCharType="end"/>
      </w:r>
      <w:r w:rsidRPr="00E24015">
        <w:rPr>
          <w:rFonts w:cstheme="minorHAnsi"/>
          <w:lang w:val="en-US"/>
        </w:rPr>
        <w:t xml:space="preserve">. The ‘Best fit’ method for framework synthesis for improvement science </w:t>
      </w:r>
      <w:r w:rsidRPr="00E24015">
        <w:rPr>
          <w:rFonts w:cstheme="minorHAnsi"/>
          <w:lang w:val="en-US"/>
        </w:rPr>
        <w:fldChar w:fldCharType="begin" w:fldLock="1"/>
      </w:r>
      <w:r w:rsidR="00EA4B53">
        <w:rPr>
          <w:rFonts w:cstheme="minorHAnsi"/>
          <w:lang w:val="en-US"/>
        </w:rPr>
        <w:instrText>ADDIN CSL_CITATION {"citationItems":[{"id":"ITEM-1","itemData":{"DOI":"10.1186/1471-2288-11-29","ISSN":"14712288","PMID":"21410933","abstract":"Background: A variety of different approaches to the synthesis of qualitative data are advocated in the literature. The aim of this paper is to describe the application of a pragmatic method of qualitative evidence synthesis and the lessons learned from adopting this \"best fit\" framework synthesis approach. Methods. An evaluation of framework synthesis as an approach to the qualitative systematic review of evidence exploring the views of adults to the taking of potential agents within the context of the primary prevention of colorectal cancer. Results: Twenty papers from North America, Australia, the UK and Europe met the criteria for inclusion. Fourteen themes were identified a priori from a related, existing conceptual model identified in the literature, which were then used to code the extracted data. Further analysis resulted in the generation of a more sophisticated model with additional themes. The synthesis required a combination of secondary framework and thematic analysis approaches and was conducted within a health technology assessment timeframe. Conclusion: The novel and pragmatic \"best fit\" approach to framework synthesis developed and described here was found to be fit for purpose. Future research should seek to test further this approach to qualitative data synthesis. © 2011 Carroll et al; licensee BioMed Central Ltd.","author":[{"dropping-particle":"","family":"Carroll","given":"Christopher","non-dropping-particle":"","parse-names":false,"suffix":""},{"dropping-particle":"","family":"Booth","given":"Andrew","non-dropping-particle":"","parse-names":false,"suffix":""},{"dropping-particle":"","family":"Cooper","given":"Katy","non-dropping-particle":"","parse-names":false,"suffix":""}],"container-title":"BMC Medical Research Methodology","id":"ITEM-1","issued":{"date-parts":[["2011"]]},"title":"A worked example of \"best fit\" framework synthesis: A systematic review of views concerning the taking of some potential chemopreventive agents","type":"article-journal"},"uris":["http://www.mendeley.com/documents/?uuid=f665c2ac-266b-4b9f-8d30-3e6a65ef4f87","http://www.mendeley.com/documents/?uuid=17f161f4-9870-400a-9ae3-8eb6713450fc"]},{"id":"ITEM-2","itemData":{"DOI":"10.1186/1471-2288-13-37","ISSN":"14712288","abstract":"Background: Following publication of the first worked example of the \"best fit\" method of evidence synthesis for the systematic review of qualitative evidence in this journal, the originators of the method identified a need to specify more fully some aspects of this particular derivative of framework synthesis. Methods and Results. We therefore present a second such worked example in which all techniques are defined and explained, and their appropriateness is assessed. Specified features of the method include the development of new techniques to identify theories in a systematic manner; the creation of an a priori framework for the synthesis; and the \"testing\" of the synthesis. An innovative combination of existing methods of quality assessment, analysis and synthesis is used to complete the process. This second worked example was a qualitative evidence synthesis of employees' views of workplace smoking cessation interventions, in which the \"best fit\" method was found to be practical and fit for purpose. Conclusions: The method is suited to producing context-specific conceptual models for describing or explaining the decision-making and health behaviours of patients and other groups. It offers a pragmatic means of conducting rapid qualitative evidence synthesis and generating programme theories relating to intervention effectiveness, which might be of relevance both to researchers and policy-makers. © 2013 Carroll et al.; licensee BioMed Central Ltd.","author":[{"dropping-particle":"","family":"Carroll","given":"Christopher","non-dropping-particle":"","parse-names":false,"suffix":""},{"dropping-particle":"","family":"Booth","given":"Andrew","non-dropping-particle":"","parse-names":false,"suffix":""},{"dropping-particle":"","family":"Leaviss","given":"Joanna","non-dropping-particle":"","parse-names":false,"suffix":""},{"dropping-particle":"","family":"Rick","given":"Jo","non-dropping-particle":"","parse-names":false,"suffix":""}],"container-title":"BMC Medical Research Methodology","id":"ITEM-2","issued":{"date-parts":[["2013"]]},"title":"\"best fit\" framework synthesis: Refining the method","type":"article-journal"},"uris":["http://www.mendeley.com/documents/?uuid=4e6c9e9a-894a-4606-8761-e0c4c0ead2ce","http://www.mendeley.com/documents/?uuid=45bed1df-4303-4668-b397-4929e0c656fa"]},{"id":"ITEM-3","itemData":{"DOI":"10.1136/bmjqs-2014-003642","ISSN":"20445423","PMID":"26306609","abstract":"Increasing recognition of the role and value of theory in improvement work in healthcare offers the prospect of capitalising upon, and consolidating, actionable lessons from synthesis of improvement projects and initiatives. We propose that informed use of theory can (i) provide a mechanism by which to collect and organise data from a body of improvement work, (ii) offer a framework for analysis and identification of lessons learnt and (iii) facilitate an evaluation of the feasibility, effectiveness and acceptability of improvement programmes. Improvement practitioners can benefit from using an underpinning external structure as a lens by which to examine the specific achievements of their own projects alongside comparable initiatives led by others. We demonstrate the utility of a method known as 'best fit framework synthesis' (BFFS) in offering a ubiquitous and versatile means by which to collect, analyse and evaluate improvement work in healthcare. First reported in 2011, BFFS represents a pragmatic, flexible approach to integrating theory with findings from practice. A deductive phase, where a review team seeks to accommodate a substantial part of the data, is followed by an inductive phase, in which the team explores data not accommodated by the framework. We explore the potential for BFFS within improvement work by drawing upon the evidence synthesis methodology literature and practical examples of improvement work reported in BMJ Quality and Safety (2011-2015). We suggest four variants of BFFS that may have particular value in synthesising a body of improvement work. We conclude that BFFS, alongside other approaches that seek to optimise the contribution of theory to improvement work, represents one important enabling mechanism by which to establish the rigour and scientific credentials of the emerging discipline of 'improvement science'.","author":[{"dropping-particle":"","family":"Booth","given":"Andrew","non-dropping-particle":"","parse-names":false,"suffix":""},{"dropping-particle":"","family":"Carroll","given":"Christopher","non-dropping-particle":"","parse-names":false,"suffix":""}],"container-title":"BMJ quality &amp; safety","id":"ITEM-3","issue":"11","issued":{"date-parts":[["2015"]]},"page":"700-708","title":"How to build up the actionable knowledge base: the role of 'best fit' framework synthesis for studies of improvement in healthcare","type":"article-journal","volume":"24"},"uris":["http://www.mendeley.com/documents/?uuid=a48fb61e-0ee8-4ee9-8019-31fcae4ef50f"]}],"mendeley":{"formattedCitation":"&lt;sup&gt;116,241,242&lt;/sup&gt;","plainTextFormattedCitation":"116,241,242","previouslyFormattedCitation":"&lt;sup&gt;116,241,242&lt;/sup&gt;"},"properties":{"noteIndex":0},"schema":"https://github.com/citation-style-language/schema/raw/master/csl-citation.json"}</w:instrText>
      </w:r>
      <w:r w:rsidRPr="00E24015">
        <w:rPr>
          <w:rFonts w:cstheme="minorHAnsi"/>
          <w:lang w:val="en-US"/>
        </w:rPr>
        <w:fldChar w:fldCharType="separate"/>
      </w:r>
      <w:r w:rsidR="00E25884" w:rsidRPr="00E25884">
        <w:rPr>
          <w:rFonts w:cstheme="minorHAnsi"/>
          <w:noProof/>
          <w:vertAlign w:val="superscript"/>
          <w:lang w:val="en-US"/>
        </w:rPr>
        <w:t>116,241,242</w:t>
      </w:r>
      <w:r w:rsidRPr="00E24015">
        <w:rPr>
          <w:rFonts w:cstheme="minorHAnsi"/>
          <w:lang w:val="en-US"/>
        </w:rPr>
        <w:fldChar w:fldCharType="end"/>
      </w:r>
      <w:r w:rsidRPr="00E24015">
        <w:rPr>
          <w:rFonts w:cstheme="minorHAnsi"/>
          <w:lang w:val="en-US"/>
        </w:rPr>
        <w:t xml:space="preserve"> involves seven systematic steps</w:t>
      </w:r>
      <w:r>
        <w:rPr>
          <w:rFonts w:cstheme="minorHAnsi"/>
          <w:lang w:val="en-US"/>
        </w:rPr>
        <w:t xml:space="preserve">. </w:t>
      </w:r>
      <w:r w:rsidRPr="00E24015">
        <w:rPr>
          <w:rFonts w:cstheme="minorHAnsi"/>
          <w:lang w:val="en-US"/>
        </w:rPr>
        <w:t xml:space="preserve">However, as the best fit methodology is not completely rigid and has a number of permutations for various intended objectives, we selected the ‘meta-framework’ strategy proposed by </w:t>
      </w:r>
      <w:r w:rsidRPr="00E24015">
        <w:rPr>
          <w:rFonts w:cstheme="minorHAnsi"/>
          <w:lang w:val="en-US"/>
        </w:rPr>
        <w:fldChar w:fldCharType="begin" w:fldLock="1"/>
      </w:r>
      <w:r w:rsidR="00EA4B53">
        <w:rPr>
          <w:rFonts w:cstheme="minorHAnsi"/>
          <w:lang w:val="en-US"/>
        </w:rPr>
        <w:instrText>ADDIN CSL_CITATION {"citationItems":[{"id":"ITEM-1","itemData":{"DOI":"10.1136/bmjqs-2014-003642","ISSN":"20445423","PMID":"26306609","abstract":"Increasing recognition of the role and value of theory in improvement work in healthcare offers the prospect of capitalising upon, and consolidating, actionable lessons from synthesis of improvement projects and initiatives. We propose that informed use of theory can (i) provide a mechanism by which to collect and organise data from a body of improvement work, (ii) offer a framework for analysis and identification of lessons learnt and (iii) facilitate an evaluation of the feasibility, effectiveness and acceptability of improvement programmes. Improvement practitioners can benefit from using an underpinning external structure as a lens by which to examine the specific achievements of their own projects alongside comparable initiatives led by others. We demonstrate the utility of a method known as 'best fit framework synthesis' (BFFS) in offering a ubiquitous and versatile means by which to collect, analyse and evaluate improvement work in healthcare. First reported in 2011, BFFS represents a pragmatic, flexible approach to integrating theory with findings from practice. A deductive phase, where a review team seeks to accommodate a substantial part of the data, is followed by an inductive phase, in which the team explores data not accommodated by the framework. We explore the potential for BFFS within improvement work by drawing upon the evidence synthesis methodology literature and practical examples of improvement work reported in BMJ Quality and Safety (2011-2015). We suggest four variants of BFFS that may have particular value in synthesising a body of improvement work. We conclude that BFFS, alongside other approaches that seek to optimise the contribution of theory to improvement work, represents one important enabling mechanism by which to establish the rigour and scientific credentials of the emerging discipline of 'improvement science'.","author":[{"dropping-particle":"","family":"Booth","given":"Andrew","non-dropping-particle":"","parse-names":false,"suffix":""},{"dropping-particle":"","family":"Carroll","given":"Christopher","non-dropping-particle":"","parse-names":false,"suffix":""}],"container-title":"BMJ quality &amp; safety","id":"ITEM-1","issue":"11","issued":{"date-parts":[["2015"]]},"page":"700-708","title":"How to build up the actionable knowledge base: the role of 'best fit' framework synthesis for studies of improvement in healthcare","type":"article-journal","volume":"24"},"uris":["http://www.mendeley.com/documents/?uuid=a48fb61e-0ee8-4ee9-8019-31fcae4ef50f"]}],"mendeley":{"formattedCitation":"&lt;sup&gt;116&lt;/sup&gt;","manualFormatting":"Booth and Carroll (2015)","plainTextFormattedCitation":"116","previouslyFormattedCitation":"&lt;sup&gt;116&lt;/sup&gt;"},"properties":{"noteIndex":0},"schema":"https://github.com/citation-style-language/schema/raw/master/csl-citation.json"}</w:instrText>
      </w:r>
      <w:r w:rsidRPr="00E24015">
        <w:rPr>
          <w:rFonts w:cstheme="minorHAnsi"/>
          <w:lang w:val="en-US"/>
        </w:rPr>
        <w:fldChar w:fldCharType="separate"/>
      </w:r>
      <w:r w:rsidRPr="00E24015">
        <w:rPr>
          <w:rFonts w:cstheme="minorHAnsi"/>
          <w:noProof/>
          <w:lang w:val="en-US"/>
        </w:rPr>
        <w:t>Booth and Carroll (2015)</w:t>
      </w:r>
      <w:r w:rsidRPr="00E24015">
        <w:rPr>
          <w:rFonts w:cstheme="minorHAnsi"/>
          <w:lang w:val="en-US"/>
        </w:rPr>
        <w:fldChar w:fldCharType="end"/>
      </w:r>
      <w:r w:rsidRPr="00E24015">
        <w:rPr>
          <w:rFonts w:cstheme="minorHAnsi"/>
          <w:lang w:val="en-US"/>
        </w:rPr>
        <w:t>, which uses an a priori framework as a base, against which stages and behaviors from other frameworks/models are coded, to build a novel framework/model.</w:t>
      </w:r>
    </w:p>
    <w:p w14:paraId="0C2D1EF6" w14:textId="77777777" w:rsidR="00B85E73" w:rsidRPr="00E24015" w:rsidRDefault="00B85E73" w:rsidP="00525BE0">
      <w:pPr>
        <w:jc w:val="both"/>
        <w:rPr>
          <w:rFonts w:cstheme="minorHAnsi"/>
          <w:lang w:val="en-US"/>
        </w:rPr>
      </w:pPr>
      <w:r w:rsidRPr="00E24015">
        <w:rPr>
          <w:rFonts w:cstheme="minorHAnsi"/>
          <w:lang w:val="en-US"/>
        </w:rPr>
        <w:t>Given this approach, our method was as follows: (1) conduct a systematic search to identify models in the literature (2) extract models and key behaviors from identified studies, (3) select an a priori framework from stages of included models using thematic analysis and separating key behaviors from stages of models, (4) code stages from other models against the a priori framework, (5) create new themes for any stages that cannot be coded against the a priori framework, (6) code previously separated behaviors against the new framework, adding stages if required, and (7) draw on additional evidence to add relationships between stages in the model. This method differs from a traditional systematic review by adding a method for synthesizing theories and frameworks, rather than focusing on efficacy or findings of the included studies.</w:t>
      </w:r>
    </w:p>
    <w:p w14:paraId="3A097FFC" w14:textId="77777777" w:rsidR="00B85E73" w:rsidRPr="00E24015" w:rsidRDefault="00B85E73" w:rsidP="00525BE0">
      <w:pPr>
        <w:pStyle w:val="Heading3"/>
        <w:jc w:val="both"/>
        <w:rPr>
          <w:lang w:val="en-US"/>
        </w:rPr>
      </w:pPr>
      <w:bookmarkStart w:id="167" w:name="_Toc85066498"/>
      <w:r w:rsidRPr="00E24015">
        <w:rPr>
          <w:lang w:val="en-US"/>
        </w:rPr>
        <w:t>Systematic search</w:t>
      </w:r>
      <w:bookmarkEnd w:id="167"/>
    </w:p>
    <w:p w14:paraId="197FBE5E" w14:textId="77777777" w:rsidR="00B85E73" w:rsidRPr="00E24015" w:rsidRDefault="00B85E73" w:rsidP="00525BE0">
      <w:pPr>
        <w:pStyle w:val="Heading4"/>
        <w:jc w:val="both"/>
        <w:rPr>
          <w:lang w:val="en-US"/>
        </w:rPr>
      </w:pPr>
      <w:r w:rsidRPr="00E24015">
        <w:rPr>
          <w:lang w:val="en-US"/>
        </w:rPr>
        <w:t>Search</w:t>
      </w:r>
    </w:p>
    <w:p w14:paraId="54B6CB21" w14:textId="77777777" w:rsidR="00B85E73" w:rsidRPr="00E24015" w:rsidRDefault="00B85E73" w:rsidP="00525BE0">
      <w:pPr>
        <w:jc w:val="both"/>
        <w:rPr>
          <w:rFonts w:cstheme="minorHAnsi"/>
          <w:lang w:val="en-US"/>
        </w:rPr>
      </w:pPr>
      <w:r w:rsidRPr="00E24015">
        <w:rPr>
          <w:rFonts w:cstheme="minorHAnsi"/>
          <w:lang w:val="en-US"/>
        </w:rPr>
        <w:t>Systematic searches were conducted around the areas of collaboration in a healthcare setting, encompassing a wide range of partnership types such as alliances, buddying, mergers, acquisitions, and hospital groups. Google Scholar searches, citation tracking and reference scanning was used to identify wider public-sector literature.</w:t>
      </w:r>
    </w:p>
    <w:p w14:paraId="039B868F" w14:textId="77777777" w:rsidR="00B85E73" w:rsidRPr="00E24015" w:rsidRDefault="00B85E73" w:rsidP="00525BE0">
      <w:pPr>
        <w:pStyle w:val="Heading4"/>
        <w:jc w:val="both"/>
        <w:rPr>
          <w:lang w:val="en-US"/>
        </w:rPr>
      </w:pPr>
      <w:r w:rsidRPr="00E24015">
        <w:rPr>
          <w:lang w:val="en-US"/>
        </w:rPr>
        <w:t>Search strategy</w:t>
      </w:r>
    </w:p>
    <w:p w14:paraId="0085E010" w14:textId="77777777" w:rsidR="00B85E73" w:rsidRPr="00E24015" w:rsidRDefault="00B85E73" w:rsidP="00525BE0">
      <w:pPr>
        <w:jc w:val="both"/>
        <w:rPr>
          <w:rFonts w:cstheme="minorHAnsi"/>
          <w:lang w:val="en-US"/>
        </w:rPr>
      </w:pPr>
      <w:r w:rsidRPr="00E24015">
        <w:rPr>
          <w:rFonts w:cstheme="minorHAnsi"/>
          <w:lang w:val="en-US"/>
        </w:rPr>
        <w:t>These searches were run between 20.02.20 and 04.03.20 on databases including Healthcare Management Information Consortium (HMIC), MEDLINE, Social Policy and Practice, and PsychINFO. These databases were chosen for their relevance to the healthcare sector in particular. Additionally, a more informal Google Scholar search was conducted on 11.03.20 to identify any grey literature or elements missed, as well as reference scanning and citation tracking. This search combined terms including “public sector”, “inter-organizational collaboration”, “life cycle”, and “model” or “framework”.</w:t>
      </w:r>
    </w:p>
    <w:p w14:paraId="2AF17D90" w14:textId="77777777" w:rsidR="00B85E73" w:rsidRPr="00E24015" w:rsidRDefault="00B85E73" w:rsidP="00525BE0">
      <w:pPr>
        <w:pStyle w:val="Heading4"/>
        <w:jc w:val="both"/>
        <w:rPr>
          <w:lang w:val="en-US"/>
        </w:rPr>
      </w:pPr>
      <w:r w:rsidRPr="00E24015">
        <w:rPr>
          <w:lang w:val="en-US"/>
        </w:rPr>
        <w:t>Study selection</w:t>
      </w:r>
    </w:p>
    <w:p w14:paraId="0D6AB630" w14:textId="77777777" w:rsidR="00B85E73" w:rsidRDefault="00B85E73" w:rsidP="00525BE0">
      <w:pPr>
        <w:jc w:val="both"/>
        <w:rPr>
          <w:rFonts w:cstheme="minorHAnsi"/>
          <w:lang w:val="en-US"/>
        </w:rPr>
      </w:pPr>
      <w:r w:rsidRPr="00E24015">
        <w:rPr>
          <w:rFonts w:cstheme="minorHAnsi"/>
          <w:lang w:val="en-US"/>
        </w:rPr>
        <w:t>Inclusion criteria were that the paper had to (1) clearly relate to collaborations between one or more organizations on either a structural or individual level and had to be (2) a case study, evaluation, opinion, or review. As such, papers outlining public-private partnerships would be included at this stage. To reach the final stage of inclusion, the paper had to be relevant to the procedural aspects of partnership by either (1) present a model developed for or explicitly applied to collaborations the public sector, or (2) relating to behaviors required for planning or implementing partnerships in the public sector. Exclusion criteria were (1) papers that relate to collaborations or partnerships between staff and patients rather than between organizations. Titles and abstracts were screened by one main reviewer with a subset of 10% of the total titles and abstracts screened by an independent party.</w:t>
      </w:r>
    </w:p>
    <w:p w14:paraId="51DC093E" w14:textId="77777777" w:rsidR="00B85E73" w:rsidRPr="00736782" w:rsidRDefault="00B85E73" w:rsidP="00525BE0">
      <w:pPr>
        <w:pStyle w:val="Heading4"/>
        <w:jc w:val="both"/>
        <w:rPr>
          <w:rFonts w:asciiTheme="minorHAnsi" w:hAnsiTheme="minorHAnsi"/>
          <w:lang w:val="en-US"/>
        </w:rPr>
      </w:pPr>
      <w:r>
        <w:rPr>
          <w:lang w:val="en-US"/>
        </w:rPr>
        <w:t>Data extraction</w:t>
      </w:r>
    </w:p>
    <w:p w14:paraId="015B81C1" w14:textId="2B21C80D" w:rsidR="00B85E73" w:rsidRDefault="00B85E73" w:rsidP="00525BE0">
      <w:pPr>
        <w:jc w:val="both"/>
        <w:rPr>
          <w:rFonts w:cstheme="minorHAnsi"/>
          <w:lang w:val="en-US"/>
        </w:rPr>
      </w:pPr>
      <w:r w:rsidRPr="00E24015">
        <w:rPr>
          <w:rFonts w:cstheme="minorHAnsi"/>
          <w:lang w:val="en-US"/>
        </w:rPr>
        <w:t>Data extraction was carried out by one reviewer, which involved combing the included papers for models of the stages which partnerships go through and the behaviors key to these stages. This information was then extracted into separate documents before being categorized and tabulated for relevance to the review</w:t>
      </w:r>
      <w:r>
        <w:rPr>
          <w:rFonts w:cstheme="minorHAnsi"/>
          <w:lang w:val="en-US"/>
        </w:rPr>
        <w:t>.</w:t>
      </w:r>
    </w:p>
    <w:p w14:paraId="0F463BD2" w14:textId="465AF97B" w:rsidR="00B85E73" w:rsidRPr="00B85E73" w:rsidRDefault="00B85E73" w:rsidP="00525BE0">
      <w:pPr>
        <w:spacing w:after="0" w:line="240" w:lineRule="auto"/>
        <w:jc w:val="both"/>
        <w:rPr>
          <w:rFonts w:cstheme="minorHAnsi"/>
          <w:lang w:val="en-US"/>
        </w:rPr>
      </w:pPr>
      <w:r>
        <w:rPr>
          <w:rFonts w:cstheme="minorHAnsi"/>
          <w:lang w:val="en-US"/>
        </w:rPr>
        <w:br w:type="page"/>
      </w:r>
    </w:p>
    <w:p w14:paraId="5D0C5B58" w14:textId="7FD7B5CA" w:rsidR="00B42DF5" w:rsidRDefault="00B42DF5" w:rsidP="00525BE0">
      <w:pPr>
        <w:pStyle w:val="Heading2"/>
        <w:jc w:val="both"/>
      </w:pPr>
      <w:bookmarkStart w:id="168" w:name="_Toc85066499"/>
      <w:r>
        <w:t xml:space="preserve">Appendix </w:t>
      </w:r>
      <w:r w:rsidR="00CB501A">
        <w:t>3</w:t>
      </w:r>
      <w:r>
        <w:t>: Search Strategy</w:t>
      </w:r>
      <w:bookmarkEnd w:id="168"/>
    </w:p>
    <w:p w14:paraId="177C266F" w14:textId="77777777" w:rsidR="00CD7991" w:rsidRDefault="00CD7991" w:rsidP="00CD7991"/>
    <w:p w14:paraId="11660790" w14:textId="71EB9AC4" w:rsidR="00CD7991" w:rsidRDefault="00CD7991" w:rsidP="00CD7991">
      <w:pPr>
        <w:spacing w:line="360" w:lineRule="auto"/>
        <w:jc w:val="both"/>
      </w:pPr>
      <w:r w:rsidRPr="00CD7991">
        <w:t xml:space="preserve">Some </w:t>
      </w:r>
      <w:r>
        <w:t xml:space="preserve">of this </w:t>
      </w:r>
      <w:r w:rsidRPr="00CD7991">
        <w:t>text has been reproduced from Aunger et al (</w:t>
      </w:r>
      <w:r>
        <w:t>138</w:t>
      </w:r>
      <w:r w:rsidRPr="00CD7991">
        <w:t>), published under the Creative Commons Attribution License (CC BY 4.0), which permits unrestricted use, distribution, and reproduction in any medium, provided the original work is properly cited (</w:t>
      </w:r>
      <w:hyperlink r:id="rId45" w:history="1">
        <w:r w:rsidRPr="003F5845">
          <w:rPr>
            <w:rStyle w:val="Hyperlink"/>
          </w:rPr>
          <w:t>https://creativecommons.org/licenses/by/4.0/</w:t>
        </w:r>
      </w:hyperlink>
      <w:r w:rsidRPr="00CD7991">
        <w:t>).</w:t>
      </w:r>
    </w:p>
    <w:p w14:paraId="35E8B9AF" w14:textId="77777777" w:rsidR="00CD7991" w:rsidRPr="00222275" w:rsidRDefault="00CD7991" w:rsidP="006D770F">
      <w:pPr>
        <w:spacing w:line="360" w:lineRule="auto"/>
        <w:jc w:val="both"/>
      </w:pPr>
    </w:p>
    <w:p w14:paraId="7561DE89" w14:textId="3A702A0E" w:rsidR="00AD33E9" w:rsidRDefault="004833F0" w:rsidP="00525BE0">
      <w:pPr>
        <w:pStyle w:val="Heading3"/>
        <w:jc w:val="both"/>
      </w:pPr>
      <w:bookmarkStart w:id="169" w:name="_Toc85066500"/>
      <w:r>
        <w:t>Theory gleaning:</w:t>
      </w:r>
      <w:bookmarkEnd w:id="169"/>
    </w:p>
    <w:p w14:paraId="6B2F4A5D" w14:textId="77777777" w:rsidR="004833F0" w:rsidRDefault="004833F0" w:rsidP="00525BE0">
      <w:pPr>
        <w:spacing w:after="160" w:line="259" w:lineRule="auto"/>
        <w:jc w:val="both"/>
        <w:rPr>
          <w:rFonts w:ascii="Calibri" w:hAnsi="Calibri" w:cs="Calibri"/>
          <w:lang w:val="en"/>
        </w:rPr>
      </w:pPr>
      <w:r>
        <w:t>HMIC Commentary search strategy</w:t>
      </w:r>
    </w:p>
    <w:p w14:paraId="1044CA6C"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 buddying.mp.</w:t>
      </w:r>
    </w:p>
    <w:p w14:paraId="3A1655CB"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 (clinical adj1 network).mp. [mp=title, other title, abstract, heading words]</w:t>
      </w:r>
    </w:p>
    <w:p w14:paraId="05E62E4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3. merger.mp.</w:t>
      </w:r>
    </w:p>
    <w:p w14:paraId="6A8B2CD7"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4. acquisition.mp.</w:t>
      </w:r>
    </w:p>
    <w:p w14:paraId="7844316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5. (joint adj1 management).mp. [mp=title, other title, abstract, heading words]</w:t>
      </w:r>
    </w:p>
    <w:p w14:paraId="6B27716A"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6. consolidation.mp.</w:t>
      </w:r>
    </w:p>
    <w:p w14:paraId="6336D03D"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7. (coordinating or co-ordinating or coordination or co-ordination).mp. [mp=title, other title, abstract, heading words]</w:t>
      </w:r>
    </w:p>
    <w:p w14:paraId="48DFA12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8. (hospital adj1 chain$).mp. [mp=title, other title, abstract, heading words]</w:t>
      </w:r>
    </w:p>
    <w:p w14:paraId="46374690"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9. federation.mp.</w:t>
      </w:r>
    </w:p>
    <w:p w14:paraId="519AEEE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10. (joint adj1 working).mp. [mp=title, other title, abstract, heading words]</w:t>
      </w:r>
    </w:p>
    <w:p w14:paraId="3FCB358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11. (partnership adj1 working).mp. [mp=title, other title, abstract, heading words]</w:t>
      </w:r>
    </w:p>
    <w:p w14:paraId="71D09B28"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12. alliance.mp.</w:t>
      </w:r>
    </w:p>
    <w:p w14:paraId="6ADD530D"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13. (joint adj1 commissioning).mp. [mp=title, other title, abstract, heading words]</w:t>
      </w:r>
    </w:p>
    <w:p w14:paraId="47C80DF0"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14. vanguard.mp.</w:t>
      </w:r>
    </w:p>
    <w:p w14:paraId="60CB7F89"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15. exp Integration/</w:t>
      </w:r>
    </w:p>
    <w:p w14:paraId="79E8925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16. 1 or 2 or 3 or 4 or 5 or 6 or 7 or 8 or 9 or 10 or 11 or 12 or 13 or 14 or 15</w:t>
      </w:r>
    </w:p>
    <w:p w14:paraId="6A422EAD"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17. health care/ or acute care/ or medical care/ or primary care/ or public sector/</w:t>
      </w:r>
    </w:p>
    <w:p w14:paraId="0805896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18. 16 and 17</w:t>
      </w:r>
    </w:p>
    <w:p w14:paraId="5775E79F"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19. opinion*.ti.</w:t>
      </w:r>
    </w:p>
    <w:p w14:paraId="6143B479"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20. (view or views).ti.</w:t>
      </w:r>
    </w:p>
    <w:p w14:paraId="7D6F6D8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21. editorial.mp.</w:t>
      </w:r>
    </w:p>
    <w:p w14:paraId="36C8EF1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22. note.mp.</w:t>
      </w:r>
    </w:p>
    <w:p w14:paraId="558A121C"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23. comment.mp.</w:t>
      </w:r>
    </w:p>
    <w:p w14:paraId="2CE5AF90"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24. letter.mp.</w:t>
      </w:r>
    </w:p>
    <w:p w14:paraId="028CF6AA"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25. or/19-24</w:t>
      </w:r>
    </w:p>
    <w:p w14:paraId="74DF98F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26. 18 and 25</w:t>
      </w:r>
    </w:p>
    <w:p w14:paraId="40FB56C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27. </w:t>
      </w:r>
      <w:r w:rsidRPr="00F940C0">
        <w:rPr>
          <w:rFonts w:ascii="Calibri" w:hAnsi="Calibri" w:cs="Calibri"/>
          <w:lang w:val="en"/>
        </w:rPr>
        <w:t>limit 26 to yr="1990"</w:t>
      </w:r>
    </w:p>
    <w:p w14:paraId="053DF3FB" w14:textId="77777777" w:rsidR="004833F0" w:rsidRDefault="004833F0" w:rsidP="00525BE0">
      <w:pPr>
        <w:autoSpaceDE w:val="0"/>
        <w:autoSpaceDN w:val="0"/>
        <w:adjustRightInd w:val="0"/>
        <w:spacing w:after="0"/>
        <w:jc w:val="both"/>
        <w:rPr>
          <w:rFonts w:ascii="Calibri" w:hAnsi="Calibri" w:cs="Calibri"/>
          <w:lang w:val="en"/>
        </w:rPr>
      </w:pPr>
    </w:p>
    <w:p w14:paraId="34C5A12D" w14:textId="77777777" w:rsidR="004833F0" w:rsidRDefault="004833F0" w:rsidP="00525BE0">
      <w:pPr>
        <w:autoSpaceDE w:val="0"/>
        <w:autoSpaceDN w:val="0"/>
        <w:adjustRightInd w:val="0"/>
        <w:spacing w:after="160"/>
        <w:jc w:val="both"/>
        <w:rPr>
          <w:rFonts w:ascii="Calibri" w:hAnsi="Calibri" w:cs="Calibri"/>
          <w:lang w:val="en"/>
        </w:rPr>
      </w:pPr>
      <w:r>
        <w:rPr>
          <w:rFonts w:ascii="Calibri" w:hAnsi="Calibri" w:cs="Calibri"/>
          <w:lang w:val="en"/>
        </w:rPr>
        <w:t>HMIC review, framework, theory, evaluation search strategy</w:t>
      </w:r>
    </w:p>
    <w:p w14:paraId="1CC50FA5"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w:t>
      </w:r>
      <w:r>
        <w:rPr>
          <w:rFonts w:ascii="Calibri" w:hAnsi="Calibri" w:cs="Calibri"/>
          <w:lang w:val="en"/>
        </w:rPr>
        <w:tab/>
        <w:t>buddying.mp.</w:t>
      </w:r>
      <w:r>
        <w:rPr>
          <w:rFonts w:ascii="Calibri" w:hAnsi="Calibri" w:cs="Calibri"/>
          <w:lang w:val="en"/>
        </w:rPr>
        <w:tab/>
      </w:r>
    </w:p>
    <w:p w14:paraId="4EF5EDA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w:t>
      </w:r>
      <w:r>
        <w:rPr>
          <w:rFonts w:ascii="Calibri" w:hAnsi="Calibri" w:cs="Calibri"/>
          <w:lang w:val="en"/>
        </w:rPr>
        <w:tab/>
        <w:t>(clinical adj1 network).mp. [mp=title, other title, abstract, heading words]</w:t>
      </w:r>
      <w:r>
        <w:rPr>
          <w:rFonts w:ascii="Calibri" w:hAnsi="Calibri" w:cs="Calibri"/>
          <w:lang w:val="en"/>
        </w:rPr>
        <w:tab/>
      </w:r>
    </w:p>
    <w:p w14:paraId="4BAC03A7"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3</w:t>
      </w:r>
      <w:r>
        <w:rPr>
          <w:rFonts w:ascii="Calibri" w:hAnsi="Calibri" w:cs="Calibri"/>
          <w:lang w:val="en"/>
        </w:rPr>
        <w:tab/>
        <w:t>merger.mp.</w:t>
      </w:r>
      <w:r>
        <w:rPr>
          <w:rFonts w:ascii="Calibri" w:hAnsi="Calibri" w:cs="Calibri"/>
          <w:lang w:val="en"/>
        </w:rPr>
        <w:tab/>
      </w:r>
    </w:p>
    <w:p w14:paraId="2114F689"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4</w:t>
      </w:r>
      <w:r>
        <w:rPr>
          <w:rFonts w:ascii="Calibri" w:hAnsi="Calibri" w:cs="Calibri"/>
          <w:lang w:val="en"/>
        </w:rPr>
        <w:tab/>
        <w:t>acquisition.mp.</w:t>
      </w:r>
      <w:r>
        <w:rPr>
          <w:rFonts w:ascii="Calibri" w:hAnsi="Calibri" w:cs="Calibri"/>
          <w:lang w:val="en"/>
        </w:rPr>
        <w:tab/>
      </w:r>
    </w:p>
    <w:p w14:paraId="3C42A995"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5</w:t>
      </w:r>
      <w:r>
        <w:rPr>
          <w:rFonts w:ascii="Calibri" w:hAnsi="Calibri" w:cs="Calibri"/>
          <w:lang w:val="en"/>
        </w:rPr>
        <w:tab/>
        <w:t>(joint adj1 management).mp. [mp=title, other title, abstract, heading words]</w:t>
      </w:r>
      <w:r>
        <w:rPr>
          <w:rFonts w:ascii="Calibri" w:hAnsi="Calibri" w:cs="Calibri"/>
          <w:lang w:val="en"/>
        </w:rPr>
        <w:tab/>
      </w:r>
    </w:p>
    <w:p w14:paraId="64707B5D"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6</w:t>
      </w:r>
      <w:r>
        <w:rPr>
          <w:rFonts w:ascii="Calibri" w:hAnsi="Calibri" w:cs="Calibri"/>
          <w:lang w:val="en"/>
        </w:rPr>
        <w:tab/>
        <w:t>consolidation.mp.</w:t>
      </w:r>
      <w:r>
        <w:rPr>
          <w:rFonts w:ascii="Calibri" w:hAnsi="Calibri" w:cs="Calibri"/>
          <w:lang w:val="en"/>
        </w:rPr>
        <w:tab/>
      </w:r>
    </w:p>
    <w:p w14:paraId="4A398E8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7</w:t>
      </w:r>
      <w:r>
        <w:rPr>
          <w:rFonts w:ascii="Calibri" w:hAnsi="Calibri" w:cs="Calibri"/>
          <w:lang w:val="en"/>
        </w:rPr>
        <w:tab/>
        <w:t>(coordinating or co-ordinating or coordination or co-ordination).mp. [mp=title, other title, abstract, heading words]</w:t>
      </w:r>
      <w:r>
        <w:rPr>
          <w:rFonts w:ascii="Calibri" w:hAnsi="Calibri" w:cs="Calibri"/>
          <w:lang w:val="en"/>
        </w:rPr>
        <w:tab/>
      </w:r>
    </w:p>
    <w:p w14:paraId="1D1CBE09"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8</w:t>
      </w:r>
      <w:r>
        <w:rPr>
          <w:rFonts w:ascii="Calibri" w:hAnsi="Calibri" w:cs="Calibri"/>
          <w:lang w:val="en"/>
        </w:rPr>
        <w:tab/>
        <w:t>(hospital adj1 chain$).mp. [mp=title, other title, abstract, heading words]</w:t>
      </w:r>
      <w:r>
        <w:rPr>
          <w:rFonts w:ascii="Calibri" w:hAnsi="Calibri" w:cs="Calibri"/>
          <w:lang w:val="en"/>
        </w:rPr>
        <w:tab/>
      </w:r>
    </w:p>
    <w:p w14:paraId="72B32A9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9</w:t>
      </w:r>
      <w:r>
        <w:rPr>
          <w:rFonts w:ascii="Calibri" w:hAnsi="Calibri" w:cs="Calibri"/>
          <w:lang w:val="en"/>
        </w:rPr>
        <w:tab/>
        <w:t>federation.mp.</w:t>
      </w:r>
      <w:r>
        <w:rPr>
          <w:rFonts w:ascii="Calibri" w:hAnsi="Calibri" w:cs="Calibri"/>
          <w:lang w:val="en"/>
        </w:rPr>
        <w:tab/>
      </w:r>
    </w:p>
    <w:p w14:paraId="5E7511E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10</w:t>
      </w:r>
      <w:r>
        <w:rPr>
          <w:rFonts w:ascii="Calibri" w:hAnsi="Calibri" w:cs="Calibri"/>
          <w:lang w:val="en"/>
        </w:rPr>
        <w:tab/>
        <w:t>(joint adj1 working).mp. [mp=title, other title, abstract, heading words]</w:t>
      </w:r>
      <w:r>
        <w:rPr>
          <w:rFonts w:ascii="Calibri" w:hAnsi="Calibri" w:cs="Calibri"/>
          <w:lang w:val="en"/>
        </w:rPr>
        <w:tab/>
      </w:r>
    </w:p>
    <w:p w14:paraId="4C3DD11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11</w:t>
      </w:r>
      <w:r>
        <w:rPr>
          <w:rFonts w:ascii="Calibri" w:hAnsi="Calibri" w:cs="Calibri"/>
          <w:lang w:val="en"/>
        </w:rPr>
        <w:tab/>
        <w:t>(partnership adj1 working).mp. [mp=title, other title, abstract, heading words]</w:t>
      </w:r>
      <w:r>
        <w:rPr>
          <w:rFonts w:ascii="Calibri" w:hAnsi="Calibri" w:cs="Calibri"/>
          <w:lang w:val="en"/>
        </w:rPr>
        <w:tab/>
      </w:r>
    </w:p>
    <w:p w14:paraId="7A8A71CF"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12</w:t>
      </w:r>
      <w:r>
        <w:rPr>
          <w:rFonts w:ascii="Calibri" w:hAnsi="Calibri" w:cs="Calibri"/>
          <w:lang w:val="en"/>
        </w:rPr>
        <w:tab/>
        <w:t>alliance.mp.</w:t>
      </w:r>
      <w:r>
        <w:rPr>
          <w:rFonts w:ascii="Calibri" w:hAnsi="Calibri" w:cs="Calibri"/>
          <w:lang w:val="en"/>
        </w:rPr>
        <w:tab/>
      </w:r>
    </w:p>
    <w:p w14:paraId="2C3CFCF9"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13</w:t>
      </w:r>
      <w:r>
        <w:rPr>
          <w:rFonts w:ascii="Calibri" w:hAnsi="Calibri" w:cs="Calibri"/>
          <w:lang w:val="en"/>
        </w:rPr>
        <w:tab/>
        <w:t>(joint adj1 commissioning).mp. [mp=title, other title, abstract, heading words]</w:t>
      </w:r>
      <w:r>
        <w:rPr>
          <w:rFonts w:ascii="Calibri" w:hAnsi="Calibri" w:cs="Calibri"/>
          <w:lang w:val="en"/>
        </w:rPr>
        <w:tab/>
      </w:r>
    </w:p>
    <w:p w14:paraId="3AC1B027"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14</w:t>
      </w:r>
      <w:r>
        <w:rPr>
          <w:rFonts w:ascii="Calibri" w:hAnsi="Calibri" w:cs="Calibri"/>
          <w:lang w:val="en"/>
        </w:rPr>
        <w:tab/>
        <w:t>vanguard.mp.</w:t>
      </w:r>
      <w:r>
        <w:rPr>
          <w:rFonts w:ascii="Calibri" w:hAnsi="Calibri" w:cs="Calibri"/>
          <w:lang w:val="en"/>
        </w:rPr>
        <w:tab/>
      </w:r>
    </w:p>
    <w:p w14:paraId="338F9DE3"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15</w:t>
      </w:r>
      <w:r>
        <w:rPr>
          <w:rFonts w:ascii="Calibri" w:hAnsi="Calibri" w:cs="Calibri"/>
          <w:lang w:val="en"/>
        </w:rPr>
        <w:tab/>
        <w:t>exp Integration/</w:t>
      </w:r>
      <w:r>
        <w:rPr>
          <w:rFonts w:ascii="Calibri" w:hAnsi="Calibri" w:cs="Calibri"/>
          <w:lang w:val="en"/>
        </w:rPr>
        <w:tab/>
      </w:r>
    </w:p>
    <w:p w14:paraId="27A8DF83"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16</w:t>
      </w:r>
      <w:r>
        <w:rPr>
          <w:rFonts w:ascii="Calibri" w:hAnsi="Calibri" w:cs="Calibri"/>
          <w:lang w:val="en"/>
        </w:rPr>
        <w:tab/>
        <w:t>health care/ or acute care/ or medical care/ or primary care/</w:t>
      </w:r>
      <w:r>
        <w:rPr>
          <w:rFonts w:ascii="Calibri" w:hAnsi="Calibri" w:cs="Calibri"/>
          <w:lang w:val="en"/>
        </w:rPr>
        <w:tab/>
      </w:r>
    </w:p>
    <w:p w14:paraId="14937A76"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17</w:t>
      </w:r>
      <w:r>
        <w:rPr>
          <w:rFonts w:ascii="Calibri" w:hAnsi="Calibri" w:cs="Calibri"/>
          <w:lang w:val="en"/>
        </w:rPr>
        <w:tab/>
        <w:t>administration/ or organisational structure/ or organisational theory/ or organisations/</w:t>
      </w:r>
      <w:r>
        <w:rPr>
          <w:rFonts w:ascii="Calibri" w:hAnsi="Calibri" w:cs="Calibri"/>
          <w:lang w:val="en"/>
        </w:rPr>
        <w:tab/>
      </w:r>
    </w:p>
    <w:p w14:paraId="78CDBA7C"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18</w:t>
      </w:r>
      <w:r>
        <w:rPr>
          <w:rFonts w:ascii="Calibri" w:hAnsi="Calibri" w:cs="Calibri"/>
          <w:lang w:val="en"/>
        </w:rPr>
        <w:tab/>
        <w:t>15 or 16 or 17</w:t>
      </w:r>
      <w:r>
        <w:rPr>
          <w:rFonts w:ascii="Calibri" w:hAnsi="Calibri" w:cs="Calibri"/>
          <w:lang w:val="en"/>
        </w:rPr>
        <w:tab/>
      </w:r>
    </w:p>
    <w:p w14:paraId="07781B0A"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19</w:t>
      </w:r>
      <w:r>
        <w:rPr>
          <w:rFonts w:ascii="Calibri" w:hAnsi="Calibri" w:cs="Calibri"/>
          <w:lang w:val="en"/>
        </w:rPr>
        <w:tab/>
        <w:t>7 or 10</w:t>
      </w:r>
      <w:r>
        <w:rPr>
          <w:rFonts w:ascii="Calibri" w:hAnsi="Calibri" w:cs="Calibri"/>
          <w:lang w:val="en"/>
        </w:rPr>
        <w:tab/>
      </w:r>
    </w:p>
    <w:p w14:paraId="25B2090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20</w:t>
      </w:r>
      <w:r>
        <w:rPr>
          <w:rFonts w:ascii="Calibri" w:hAnsi="Calibri" w:cs="Calibri"/>
          <w:lang w:val="en"/>
        </w:rPr>
        <w:tab/>
        <w:t>18 and 19</w:t>
      </w:r>
      <w:r>
        <w:rPr>
          <w:rFonts w:ascii="Calibri" w:hAnsi="Calibri" w:cs="Calibri"/>
          <w:lang w:val="en"/>
        </w:rPr>
        <w:tab/>
      </w:r>
    </w:p>
    <w:p w14:paraId="3A1031F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21</w:t>
      </w:r>
      <w:r>
        <w:rPr>
          <w:rFonts w:ascii="Calibri" w:hAnsi="Calibri" w:cs="Calibri"/>
          <w:lang w:val="en"/>
        </w:rPr>
        <w:tab/>
        <w:t>1 or 2 or 3 or 4 or 5 or 6 or 8 or 9 or 11 or 12 or 13 or 14 or 20</w:t>
      </w:r>
      <w:r>
        <w:rPr>
          <w:rFonts w:ascii="Calibri" w:hAnsi="Calibri" w:cs="Calibri"/>
          <w:lang w:val="en"/>
        </w:rPr>
        <w:tab/>
      </w:r>
    </w:p>
    <w:p w14:paraId="1A58EECD"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22</w:t>
      </w:r>
      <w:r>
        <w:rPr>
          <w:rFonts w:ascii="Calibri" w:hAnsi="Calibri" w:cs="Calibri"/>
          <w:lang w:val="en"/>
        </w:rPr>
        <w:tab/>
        <w:t>evaluat$.mp.</w:t>
      </w:r>
      <w:r>
        <w:rPr>
          <w:rFonts w:ascii="Calibri" w:hAnsi="Calibri" w:cs="Calibri"/>
          <w:lang w:val="en"/>
        </w:rPr>
        <w:tab/>
      </w:r>
    </w:p>
    <w:p w14:paraId="60CDF8CD"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23</w:t>
      </w:r>
      <w:r>
        <w:rPr>
          <w:rFonts w:ascii="Calibri" w:hAnsi="Calibri" w:cs="Calibri"/>
          <w:lang w:val="en"/>
        </w:rPr>
        <w:tab/>
        <w:t>interven$.mp. [mp=title, other title, abstract, heading words]</w:t>
      </w:r>
      <w:r>
        <w:rPr>
          <w:rFonts w:ascii="Calibri" w:hAnsi="Calibri" w:cs="Calibri"/>
          <w:lang w:val="en"/>
        </w:rPr>
        <w:tab/>
      </w:r>
    </w:p>
    <w:p w14:paraId="58CEB18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24</w:t>
      </w:r>
      <w:r>
        <w:rPr>
          <w:rFonts w:ascii="Calibri" w:hAnsi="Calibri" w:cs="Calibri"/>
          <w:lang w:val="en"/>
        </w:rPr>
        <w:tab/>
        <w:t>assess$.mp. [mp=title, other title, abstract, heading words]</w:t>
      </w:r>
      <w:r>
        <w:rPr>
          <w:rFonts w:ascii="Calibri" w:hAnsi="Calibri" w:cs="Calibri"/>
          <w:lang w:val="en"/>
        </w:rPr>
        <w:tab/>
      </w:r>
    </w:p>
    <w:p w14:paraId="0C7C8453"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25</w:t>
      </w:r>
      <w:r>
        <w:rPr>
          <w:rFonts w:ascii="Calibri" w:hAnsi="Calibri" w:cs="Calibri"/>
          <w:lang w:val="en"/>
        </w:rPr>
        <w:tab/>
        <w:t>trial.mp. [mp=title, other title, abstract, heading words]</w:t>
      </w:r>
      <w:r>
        <w:rPr>
          <w:rFonts w:ascii="Calibri" w:hAnsi="Calibri" w:cs="Calibri"/>
          <w:lang w:val="en"/>
        </w:rPr>
        <w:tab/>
      </w:r>
    </w:p>
    <w:p w14:paraId="1FED0B3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26</w:t>
      </w:r>
      <w:r>
        <w:rPr>
          <w:rFonts w:ascii="Calibri" w:hAnsi="Calibri" w:cs="Calibri"/>
          <w:lang w:val="en"/>
        </w:rPr>
        <w:tab/>
        <w:t>model.mp. [mp=title, other title, abstract, heading words]</w:t>
      </w:r>
      <w:r>
        <w:rPr>
          <w:rFonts w:ascii="Calibri" w:hAnsi="Calibri" w:cs="Calibri"/>
          <w:lang w:val="en"/>
        </w:rPr>
        <w:tab/>
      </w:r>
    </w:p>
    <w:p w14:paraId="63D322A0"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27</w:t>
      </w:r>
      <w:r>
        <w:rPr>
          <w:rFonts w:ascii="Calibri" w:hAnsi="Calibri" w:cs="Calibri"/>
          <w:lang w:val="en"/>
        </w:rPr>
        <w:tab/>
        <w:t>review.mp. [mp=title, other title, abstract, heading words]</w:t>
      </w:r>
      <w:r>
        <w:rPr>
          <w:rFonts w:ascii="Calibri" w:hAnsi="Calibri" w:cs="Calibri"/>
          <w:lang w:val="en"/>
        </w:rPr>
        <w:tab/>
      </w:r>
    </w:p>
    <w:p w14:paraId="35E44D6F"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28</w:t>
      </w:r>
      <w:r>
        <w:rPr>
          <w:rFonts w:ascii="Calibri" w:hAnsi="Calibri" w:cs="Calibri"/>
          <w:lang w:val="en"/>
        </w:rPr>
        <w:tab/>
        <w:t>(case adj1 study).mp. [mp=title, other title, abstract, heading words]</w:t>
      </w:r>
      <w:r>
        <w:rPr>
          <w:rFonts w:ascii="Calibri" w:hAnsi="Calibri" w:cs="Calibri"/>
          <w:lang w:val="en"/>
        </w:rPr>
        <w:tab/>
      </w:r>
    </w:p>
    <w:p w14:paraId="127B7817"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29</w:t>
      </w:r>
      <w:r>
        <w:rPr>
          <w:rFonts w:ascii="Calibri" w:hAnsi="Calibri" w:cs="Calibri"/>
          <w:lang w:val="en"/>
        </w:rPr>
        <w:tab/>
        <w:t>theory.mp. [mp=title, other title, abstract, heading words]</w:t>
      </w:r>
      <w:r>
        <w:rPr>
          <w:rFonts w:ascii="Calibri" w:hAnsi="Calibri" w:cs="Calibri"/>
          <w:lang w:val="en"/>
        </w:rPr>
        <w:tab/>
      </w:r>
    </w:p>
    <w:p w14:paraId="25BAB8E3"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30</w:t>
      </w:r>
      <w:r>
        <w:rPr>
          <w:rFonts w:ascii="Calibri" w:hAnsi="Calibri" w:cs="Calibri"/>
          <w:lang w:val="en"/>
        </w:rPr>
        <w:tab/>
        <w:t>22 or 23 or 24 or 25 or 26 or 27 or 28 or 29</w:t>
      </w:r>
      <w:r>
        <w:rPr>
          <w:rFonts w:ascii="Calibri" w:hAnsi="Calibri" w:cs="Calibri"/>
          <w:lang w:val="en"/>
        </w:rPr>
        <w:tab/>
      </w:r>
    </w:p>
    <w:p w14:paraId="0753AE97"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31</w:t>
      </w:r>
      <w:r>
        <w:rPr>
          <w:rFonts w:ascii="Calibri" w:hAnsi="Calibri" w:cs="Calibri"/>
          <w:lang w:val="en"/>
        </w:rPr>
        <w:tab/>
        <w:t>21 and 30</w:t>
      </w:r>
    </w:p>
    <w:p w14:paraId="305D8D54"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32</w:t>
      </w:r>
      <w:r>
        <w:rPr>
          <w:rFonts w:ascii="Calibri" w:hAnsi="Calibri" w:cs="Calibri"/>
          <w:lang w:val="en"/>
        </w:rPr>
        <w:tab/>
      </w:r>
      <w:r w:rsidRPr="00AE258F">
        <w:rPr>
          <w:rFonts w:ascii="Calibri" w:hAnsi="Calibri" w:cs="Calibri"/>
          <w:lang w:val="en"/>
        </w:rPr>
        <w:t>limit 31 to yr="1990 -Current"</w:t>
      </w:r>
    </w:p>
    <w:p w14:paraId="1003AB62" w14:textId="77777777" w:rsidR="004833F0" w:rsidRDefault="004833F0" w:rsidP="00525BE0">
      <w:pPr>
        <w:autoSpaceDE w:val="0"/>
        <w:autoSpaceDN w:val="0"/>
        <w:adjustRightInd w:val="0"/>
        <w:spacing w:after="0"/>
        <w:jc w:val="both"/>
        <w:rPr>
          <w:rFonts w:ascii="Calibri" w:hAnsi="Calibri" w:cs="Calibri"/>
          <w:lang w:val="en"/>
        </w:rPr>
      </w:pPr>
    </w:p>
    <w:p w14:paraId="77D2763C" w14:textId="77777777" w:rsidR="004833F0" w:rsidRDefault="004833F0" w:rsidP="00525BE0">
      <w:pPr>
        <w:jc w:val="both"/>
      </w:pPr>
      <w:r>
        <w:t>OVID – Medline and PsycINFO search strategy</w:t>
      </w:r>
    </w:p>
    <w:p w14:paraId="600EDF5F"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 </w:t>
      </w:r>
      <w:r>
        <w:rPr>
          <w:rFonts w:ascii="Calibri" w:hAnsi="Calibri" w:cs="Calibri"/>
          <w:lang w:val="en"/>
        </w:rPr>
        <w:tab/>
        <w:t xml:space="preserve">buddying.mp. </w:t>
      </w:r>
      <w:r>
        <w:rPr>
          <w:rFonts w:ascii="Calibri" w:hAnsi="Calibri" w:cs="Calibri"/>
          <w:lang w:val="en"/>
        </w:rPr>
        <w:tab/>
      </w:r>
    </w:p>
    <w:p w14:paraId="359C17DA"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2 </w:t>
      </w:r>
      <w:r>
        <w:rPr>
          <w:rFonts w:ascii="Calibri" w:hAnsi="Calibri" w:cs="Calibri"/>
          <w:lang w:val="en"/>
        </w:rPr>
        <w:tab/>
        <w:t xml:space="preserve">(clinical adj1 network).mp. </w:t>
      </w:r>
      <w:r>
        <w:rPr>
          <w:rFonts w:ascii="Calibri" w:hAnsi="Calibri" w:cs="Calibri"/>
          <w:lang w:val="en"/>
        </w:rPr>
        <w:tab/>
      </w:r>
    </w:p>
    <w:p w14:paraId="404BE5F4"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3 </w:t>
      </w:r>
      <w:r>
        <w:rPr>
          <w:rFonts w:ascii="Calibri" w:hAnsi="Calibri" w:cs="Calibri"/>
          <w:lang w:val="en"/>
        </w:rPr>
        <w:tab/>
        <w:t xml:space="preserve">merger.ti. </w:t>
      </w:r>
      <w:r>
        <w:rPr>
          <w:rFonts w:ascii="Calibri" w:hAnsi="Calibri" w:cs="Calibri"/>
          <w:lang w:val="en"/>
        </w:rPr>
        <w:tab/>
      </w:r>
    </w:p>
    <w:p w14:paraId="3AC1A0BA"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4 </w:t>
      </w:r>
      <w:r>
        <w:rPr>
          <w:rFonts w:ascii="Calibri" w:hAnsi="Calibri" w:cs="Calibri"/>
          <w:lang w:val="en"/>
        </w:rPr>
        <w:tab/>
        <w:t xml:space="preserve">acquisition.ti. </w:t>
      </w:r>
      <w:r>
        <w:rPr>
          <w:rFonts w:ascii="Calibri" w:hAnsi="Calibri" w:cs="Calibri"/>
          <w:lang w:val="en"/>
        </w:rPr>
        <w:tab/>
      </w:r>
    </w:p>
    <w:p w14:paraId="313FC64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5 </w:t>
      </w:r>
      <w:r>
        <w:rPr>
          <w:rFonts w:ascii="Calibri" w:hAnsi="Calibri" w:cs="Calibri"/>
          <w:lang w:val="en"/>
        </w:rPr>
        <w:tab/>
        <w:t xml:space="preserve">(joint adj1 management).mp. </w:t>
      </w:r>
      <w:r>
        <w:rPr>
          <w:rFonts w:ascii="Calibri" w:hAnsi="Calibri" w:cs="Calibri"/>
          <w:lang w:val="en"/>
        </w:rPr>
        <w:tab/>
      </w:r>
    </w:p>
    <w:p w14:paraId="76A763CB"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6 </w:t>
      </w:r>
      <w:r>
        <w:rPr>
          <w:rFonts w:ascii="Calibri" w:hAnsi="Calibri" w:cs="Calibri"/>
          <w:lang w:val="en"/>
        </w:rPr>
        <w:tab/>
        <w:t xml:space="preserve">consolidation.ti. </w:t>
      </w:r>
      <w:r>
        <w:rPr>
          <w:rFonts w:ascii="Calibri" w:hAnsi="Calibri" w:cs="Calibri"/>
          <w:lang w:val="en"/>
        </w:rPr>
        <w:tab/>
      </w:r>
    </w:p>
    <w:p w14:paraId="0EAC4B33"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7 </w:t>
      </w:r>
      <w:r>
        <w:rPr>
          <w:rFonts w:ascii="Calibri" w:hAnsi="Calibri" w:cs="Calibri"/>
          <w:lang w:val="en"/>
        </w:rPr>
        <w:tab/>
        <w:t xml:space="preserve">(coordinating or co-ordinating or coordination or co-ordination).ti. </w:t>
      </w:r>
      <w:r>
        <w:rPr>
          <w:rFonts w:ascii="Calibri" w:hAnsi="Calibri" w:cs="Calibri"/>
          <w:lang w:val="en"/>
        </w:rPr>
        <w:tab/>
      </w:r>
    </w:p>
    <w:p w14:paraId="02CD9F19"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8 </w:t>
      </w:r>
      <w:r>
        <w:rPr>
          <w:rFonts w:ascii="Calibri" w:hAnsi="Calibri" w:cs="Calibri"/>
          <w:lang w:val="en"/>
        </w:rPr>
        <w:tab/>
        <w:t xml:space="preserve">(hospital adj1 chain$).ti. </w:t>
      </w:r>
      <w:r>
        <w:rPr>
          <w:rFonts w:ascii="Calibri" w:hAnsi="Calibri" w:cs="Calibri"/>
          <w:lang w:val="en"/>
        </w:rPr>
        <w:tab/>
      </w:r>
    </w:p>
    <w:p w14:paraId="255D451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9 </w:t>
      </w:r>
      <w:r>
        <w:rPr>
          <w:rFonts w:ascii="Calibri" w:hAnsi="Calibri" w:cs="Calibri"/>
          <w:lang w:val="en"/>
        </w:rPr>
        <w:tab/>
        <w:t xml:space="preserve">federation.ti. </w:t>
      </w:r>
      <w:r>
        <w:rPr>
          <w:rFonts w:ascii="Calibri" w:hAnsi="Calibri" w:cs="Calibri"/>
          <w:lang w:val="en"/>
        </w:rPr>
        <w:tab/>
      </w:r>
    </w:p>
    <w:p w14:paraId="062F85DB"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10 </w:t>
      </w:r>
      <w:r>
        <w:rPr>
          <w:rFonts w:ascii="Calibri" w:hAnsi="Calibri" w:cs="Calibri"/>
          <w:lang w:val="en"/>
        </w:rPr>
        <w:tab/>
        <w:t xml:space="preserve">(joint adj1 working).ti. </w:t>
      </w:r>
      <w:r>
        <w:rPr>
          <w:rFonts w:ascii="Calibri" w:hAnsi="Calibri" w:cs="Calibri"/>
          <w:lang w:val="en"/>
        </w:rPr>
        <w:tab/>
      </w:r>
    </w:p>
    <w:p w14:paraId="682EE385"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11 </w:t>
      </w:r>
      <w:r>
        <w:rPr>
          <w:rFonts w:ascii="Calibri" w:hAnsi="Calibri" w:cs="Calibri"/>
          <w:lang w:val="en"/>
        </w:rPr>
        <w:tab/>
        <w:t xml:space="preserve">(partnership adj1 working).mp. </w:t>
      </w:r>
      <w:r>
        <w:rPr>
          <w:rFonts w:ascii="Calibri" w:hAnsi="Calibri" w:cs="Calibri"/>
          <w:lang w:val="en"/>
        </w:rPr>
        <w:tab/>
      </w:r>
    </w:p>
    <w:p w14:paraId="69DB51A9"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12 </w:t>
      </w:r>
      <w:r>
        <w:rPr>
          <w:rFonts w:ascii="Calibri" w:hAnsi="Calibri" w:cs="Calibri"/>
          <w:lang w:val="en"/>
        </w:rPr>
        <w:tab/>
        <w:t xml:space="preserve">alliance.ti. </w:t>
      </w:r>
      <w:r>
        <w:rPr>
          <w:rFonts w:ascii="Calibri" w:hAnsi="Calibri" w:cs="Calibri"/>
          <w:lang w:val="en"/>
        </w:rPr>
        <w:tab/>
      </w:r>
    </w:p>
    <w:p w14:paraId="1DD8B343"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13 </w:t>
      </w:r>
      <w:r>
        <w:rPr>
          <w:rFonts w:ascii="Calibri" w:hAnsi="Calibri" w:cs="Calibri"/>
          <w:lang w:val="en"/>
        </w:rPr>
        <w:tab/>
        <w:t xml:space="preserve">(joint adj1 commissioning).ti. </w:t>
      </w:r>
      <w:r>
        <w:rPr>
          <w:rFonts w:ascii="Calibri" w:hAnsi="Calibri" w:cs="Calibri"/>
          <w:lang w:val="en"/>
        </w:rPr>
        <w:tab/>
      </w:r>
    </w:p>
    <w:p w14:paraId="1D61D647"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14 </w:t>
      </w:r>
      <w:r>
        <w:rPr>
          <w:rFonts w:ascii="Calibri" w:hAnsi="Calibri" w:cs="Calibri"/>
          <w:lang w:val="en"/>
        </w:rPr>
        <w:tab/>
        <w:t xml:space="preserve">vanguard.mp. </w:t>
      </w:r>
      <w:r>
        <w:rPr>
          <w:rFonts w:ascii="Calibri" w:hAnsi="Calibri" w:cs="Calibri"/>
          <w:lang w:val="en"/>
        </w:rPr>
        <w:tab/>
      </w:r>
    </w:p>
    <w:p w14:paraId="4D661977"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15 </w:t>
      </w:r>
      <w:r>
        <w:rPr>
          <w:rFonts w:ascii="Calibri" w:hAnsi="Calibri" w:cs="Calibri"/>
          <w:lang w:val="en"/>
        </w:rPr>
        <w:tab/>
        <w:t xml:space="preserve">systems integration/ or "health care facilities, manpower, and services"/ or "health care economics and organizations"/ or health services administration/ or "health care quality, access, and evaluation"/ </w:t>
      </w:r>
      <w:r>
        <w:rPr>
          <w:rFonts w:ascii="Calibri" w:hAnsi="Calibri" w:cs="Calibri"/>
          <w:lang w:val="en"/>
        </w:rPr>
        <w:tab/>
      </w:r>
    </w:p>
    <w:p w14:paraId="60EBC27F"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16 </w:t>
      </w:r>
      <w:r>
        <w:rPr>
          <w:rFonts w:ascii="Calibri" w:hAnsi="Calibri" w:cs="Calibri"/>
          <w:lang w:val="en"/>
        </w:rPr>
        <w:tab/>
        <w:t xml:space="preserve">partnership.mp. </w:t>
      </w:r>
      <w:r>
        <w:rPr>
          <w:rFonts w:ascii="Calibri" w:hAnsi="Calibri" w:cs="Calibri"/>
          <w:lang w:val="en"/>
        </w:rPr>
        <w:tab/>
      </w:r>
    </w:p>
    <w:p w14:paraId="4F915AED"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17 </w:t>
      </w:r>
      <w:r>
        <w:rPr>
          <w:rFonts w:ascii="Calibri" w:hAnsi="Calibri" w:cs="Calibri"/>
          <w:lang w:val="en"/>
        </w:rPr>
        <w:tab/>
        <w:t xml:space="preserve">partnering.mp. </w:t>
      </w:r>
      <w:r>
        <w:rPr>
          <w:rFonts w:ascii="Calibri" w:hAnsi="Calibri" w:cs="Calibri"/>
          <w:lang w:val="en"/>
        </w:rPr>
        <w:tab/>
      </w:r>
    </w:p>
    <w:p w14:paraId="165A194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18 </w:t>
      </w:r>
      <w:r>
        <w:rPr>
          <w:rFonts w:ascii="Calibri" w:hAnsi="Calibri" w:cs="Calibri"/>
          <w:lang w:val="en"/>
        </w:rPr>
        <w:tab/>
        <w:t xml:space="preserve">1 or 2 or 3 or 4 or 5 or 6 or 7 or 8 or 9 or 10 or 11 or 12 or 13 or 14 or 16 or 17 </w:t>
      </w:r>
      <w:r>
        <w:rPr>
          <w:rFonts w:ascii="Calibri" w:hAnsi="Calibri" w:cs="Calibri"/>
          <w:lang w:val="en"/>
        </w:rPr>
        <w:tab/>
      </w:r>
    </w:p>
    <w:p w14:paraId="19898BB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 xml:space="preserve">19 </w:t>
      </w:r>
      <w:r>
        <w:rPr>
          <w:rFonts w:ascii="Calibri" w:hAnsi="Calibri" w:cs="Calibri"/>
          <w:lang w:val="en"/>
        </w:rPr>
        <w:tab/>
        <w:t>15 and 18</w:t>
      </w:r>
    </w:p>
    <w:p w14:paraId="4CC0F4A5"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20</w:t>
      </w:r>
      <w:r>
        <w:rPr>
          <w:rFonts w:ascii="Calibri" w:hAnsi="Calibri" w:cs="Calibri"/>
          <w:lang w:val="en"/>
        </w:rPr>
        <w:tab/>
      </w:r>
      <w:r w:rsidRPr="00411CF4">
        <w:rPr>
          <w:rFonts w:ascii="Calibri" w:hAnsi="Calibri" w:cs="Calibri"/>
          <w:lang w:val="en"/>
        </w:rPr>
        <w:t>limit 19 to yr="1990 -Current"</w:t>
      </w:r>
    </w:p>
    <w:p w14:paraId="217634A3" w14:textId="77777777" w:rsidR="004833F0" w:rsidRDefault="004833F0" w:rsidP="00525BE0">
      <w:pPr>
        <w:autoSpaceDE w:val="0"/>
        <w:autoSpaceDN w:val="0"/>
        <w:adjustRightInd w:val="0"/>
        <w:spacing w:after="0"/>
        <w:jc w:val="both"/>
        <w:rPr>
          <w:rFonts w:ascii="Calibri" w:hAnsi="Calibri" w:cs="Calibri"/>
          <w:lang w:val="en"/>
        </w:rPr>
      </w:pPr>
    </w:p>
    <w:p w14:paraId="4ECE0AC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Social policy and practice database search strategy</w:t>
      </w:r>
    </w:p>
    <w:p w14:paraId="517FA17F" w14:textId="77777777" w:rsidR="004833F0" w:rsidRDefault="004833F0" w:rsidP="00525BE0">
      <w:pPr>
        <w:autoSpaceDE w:val="0"/>
        <w:autoSpaceDN w:val="0"/>
        <w:adjustRightInd w:val="0"/>
        <w:spacing w:after="0"/>
        <w:jc w:val="both"/>
        <w:rPr>
          <w:rFonts w:ascii="Calibri" w:hAnsi="Calibri" w:cs="Calibri"/>
          <w:lang w:val="en"/>
        </w:rPr>
      </w:pPr>
    </w:p>
    <w:p w14:paraId="286369F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w:t>
      </w:r>
      <w:r>
        <w:rPr>
          <w:rFonts w:ascii="Calibri" w:hAnsi="Calibri" w:cs="Calibri"/>
          <w:lang w:val="en"/>
        </w:rPr>
        <w:tab/>
        <w:t>partnering.mp. [mp=abstract, title, publication type, heading word, accession number]</w:t>
      </w:r>
      <w:r>
        <w:rPr>
          <w:rFonts w:ascii="Calibri" w:hAnsi="Calibri" w:cs="Calibri"/>
          <w:lang w:val="en"/>
        </w:rPr>
        <w:tab/>
      </w:r>
    </w:p>
    <w:p w14:paraId="08E5FB7C"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w:t>
      </w:r>
      <w:r>
        <w:rPr>
          <w:rFonts w:ascii="Calibri" w:hAnsi="Calibri" w:cs="Calibri"/>
          <w:lang w:val="en"/>
        </w:rPr>
        <w:tab/>
        <w:t>partnership.mp. [mp=abstract, title, publication type, heading word, accession number]</w:t>
      </w:r>
      <w:r>
        <w:rPr>
          <w:rFonts w:ascii="Calibri" w:hAnsi="Calibri" w:cs="Calibri"/>
          <w:lang w:val="en"/>
        </w:rPr>
        <w:tab/>
      </w:r>
    </w:p>
    <w:p w14:paraId="79ED7F16"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3</w:t>
      </w:r>
      <w:r>
        <w:rPr>
          <w:rFonts w:ascii="Calibri" w:hAnsi="Calibri" w:cs="Calibri"/>
          <w:lang w:val="en"/>
        </w:rPr>
        <w:tab/>
        <w:t>"joint working".mp. [mp=abstract, title, publication type, heading word, accession number]</w:t>
      </w:r>
      <w:r>
        <w:rPr>
          <w:rFonts w:ascii="Calibri" w:hAnsi="Calibri" w:cs="Calibri"/>
          <w:lang w:val="en"/>
        </w:rPr>
        <w:tab/>
      </w:r>
    </w:p>
    <w:p w14:paraId="2731744B"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4</w:t>
      </w:r>
      <w:r>
        <w:rPr>
          <w:rFonts w:ascii="Calibri" w:hAnsi="Calibri" w:cs="Calibri"/>
          <w:lang w:val="en"/>
        </w:rPr>
        <w:tab/>
        <w:t>merger.mp. [mp=abstract, title, publication type, heading word, accession number]</w:t>
      </w:r>
      <w:r>
        <w:rPr>
          <w:rFonts w:ascii="Calibri" w:hAnsi="Calibri" w:cs="Calibri"/>
          <w:lang w:val="en"/>
        </w:rPr>
        <w:tab/>
      </w:r>
    </w:p>
    <w:p w14:paraId="2F471A1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5</w:t>
      </w:r>
      <w:r>
        <w:rPr>
          <w:rFonts w:ascii="Calibri" w:hAnsi="Calibri" w:cs="Calibri"/>
          <w:lang w:val="en"/>
        </w:rPr>
        <w:tab/>
        <w:t>acquisition.mp. [mp=abstract, title, publication type, heading word, accession number]</w:t>
      </w:r>
      <w:r>
        <w:rPr>
          <w:rFonts w:ascii="Calibri" w:hAnsi="Calibri" w:cs="Calibri"/>
          <w:lang w:val="en"/>
        </w:rPr>
        <w:tab/>
      </w:r>
    </w:p>
    <w:p w14:paraId="55C1C59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6</w:t>
      </w:r>
      <w:r>
        <w:rPr>
          <w:rFonts w:ascii="Calibri" w:hAnsi="Calibri" w:cs="Calibri"/>
          <w:lang w:val="en"/>
        </w:rPr>
        <w:tab/>
        <w:t>alliance?.mp. [mp=abstract, title, publication type, heading word, accession number]</w:t>
      </w:r>
      <w:r>
        <w:rPr>
          <w:rFonts w:ascii="Calibri" w:hAnsi="Calibri" w:cs="Calibri"/>
          <w:lang w:val="en"/>
        </w:rPr>
        <w:tab/>
      </w:r>
    </w:p>
    <w:p w14:paraId="05C52F4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7</w:t>
      </w:r>
      <w:r>
        <w:rPr>
          <w:rFonts w:ascii="Calibri" w:hAnsi="Calibri" w:cs="Calibri"/>
          <w:lang w:val="en"/>
        </w:rPr>
        <w:tab/>
        <w:t>"partnership working".mp. [mp=abstract, title, publication type, heading word, accession number]</w:t>
      </w:r>
      <w:r>
        <w:rPr>
          <w:rFonts w:ascii="Calibri" w:hAnsi="Calibri" w:cs="Calibri"/>
          <w:lang w:val="en"/>
        </w:rPr>
        <w:tab/>
      </w:r>
    </w:p>
    <w:p w14:paraId="78B2B9CF"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8</w:t>
      </w:r>
      <w:r>
        <w:rPr>
          <w:rFonts w:ascii="Calibri" w:hAnsi="Calibri" w:cs="Calibri"/>
          <w:lang w:val="en"/>
        </w:rPr>
        <w:tab/>
        <w:t>buddying.mp. [mp=abstract, title, publication type, heading word, accession number]</w:t>
      </w:r>
      <w:r>
        <w:rPr>
          <w:rFonts w:ascii="Calibri" w:hAnsi="Calibri" w:cs="Calibri"/>
          <w:lang w:val="en"/>
        </w:rPr>
        <w:tab/>
      </w:r>
    </w:p>
    <w:p w14:paraId="7B8F3B4C"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9</w:t>
      </w:r>
      <w:r>
        <w:rPr>
          <w:rFonts w:ascii="Calibri" w:hAnsi="Calibri" w:cs="Calibri"/>
          <w:lang w:val="en"/>
        </w:rPr>
        <w:tab/>
        <w:t>(clinical adj1 network).mp. [mp=abstract, title, publication type, heading word, accession number]</w:t>
      </w:r>
      <w:r>
        <w:rPr>
          <w:rFonts w:ascii="Calibri" w:hAnsi="Calibri" w:cs="Calibri"/>
          <w:lang w:val="en"/>
        </w:rPr>
        <w:tab/>
      </w:r>
    </w:p>
    <w:p w14:paraId="40E2D19D"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10</w:t>
      </w:r>
      <w:r>
        <w:rPr>
          <w:rFonts w:ascii="Calibri" w:hAnsi="Calibri" w:cs="Calibri"/>
          <w:lang w:val="en"/>
        </w:rPr>
        <w:tab/>
        <w:t>(coordinating or co-ordinating or coordination or co-ordination).mp. [mp=abstract, title, publication type, heading word, accession number]</w:t>
      </w:r>
      <w:r>
        <w:rPr>
          <w:rFonts w:ascii="Calibri" w:hAnsi="Calibri" w:cs="Calibri"/>
          <w:lang w:val="en"/>
        </w:rPr>
        <w:tab/>
      </w:r>
    </w:p>
    <w:p w14:paraId="5890496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11</w:t>
      </w:r>
      <w:r>
        <w:rPr>
          <w:rFonts w:ascii="Calibri" w:hAnsi="Calibri" w:cs="Calibri"/>
          <w:lang w:val="en"/>
        </w:rPr>
        <w:tab/>
        <w:t>(joint adj1 commissioning).mp. [mp=abstract, title, publication type, heading word, accession number]</w:t>
      </w:r>
      <w:r>
        <w:rPr>
          <w:rFonts w:ascii="Calibri" w:hAnsi="Calibri" w:cs="Calibri"/>
          <w:lang w:val="en"/>
        </w:rPr>
        <w:tab/>
      </w:r>
    </w:p>
    <w:p w14:paraId="325BE3CF"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12</w:t>
      </w:r>
      <w:r>
        <w:rPr>
          <w:rFonts w:ascii="Calibri" w:hAnsi="Calibri" w:cs="Calibri"/>
          <w:lang w:val="en"/>
        </w:rPr>
        <w:tab/>
        <w:t>vanguard.mp. [mp=abstract, title, publication type, heading word, accession number]</w:t>
      </w:r>
      <w:r>
        <w:rPr>
          <w:rFonts w:ascii="Calibri" w:hAnsi="Calibri" w:cs="Calibri"/>
          <w:lang w:val="en"/>
        </w:rPr>
        <w:tab/>
      </w:r>
    </w:p>
    <w:p w14:paraId="0A3F4050"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13</w:t>
      </w:r>
      <w:r>
        <w:rPr>
          <w:rFonts w:ascii="Calibri" w:hAnsi="Calibri" w:cs="Calibri"/>
          <w:lang w:val="en"/>
        </w:rPr>
        <w:tab/>
        <w:t>integration.mp. [mp=abstract, title, publication type, heading word, accession number]</w:t>
      </w:r>
      <w:r>
        <w:rPr>
          <w:rFonts w:ascii="Calibri" w:hAnsi="Calibri" w:cs="Calibri"/>
          <w:lang w:val="en"/>
        </w:rPr>
        <w:tab/>
      </w:r>
    </w:p>
    <w:p w14:paraId="3792F4CF"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14</w:t>
      </w:r>
      <w:r>
        <w:rPr>
          <w:rFonts w:ascii="Calibri" w:hAnsi="Calibri" w:cs="Calibri"/>
          <w:lang w:val="en"/>
        </w:rPr>
        <w:tab/>
        <w:t>healthcare.mp. [mp=abstract, title, publication type, heading word, accession number]</w:t>
      </w:r>
      <w:r>
        <w:rPr>
          <w:rFonts w:ascii="Calibri" w:hAnsi="Calibri" w:cs="Calibri"/>
          <w:lang w:val="en"/>
        </w:rPr>
        <w:tab/>
      </w:r>
    </w:p>
    <w:p w14:paraId="1BC68870"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15</w:t>
      </w:r>
      <w:r>
        <w:rPr>
          <w:rFonts w:ascii="Calibri" w:hAnsi="Calibri" w:cs="Calibri"/>
          <w:lang w:val="en"/>
        </w:rPr>
        <w:tab/>
        <w:t>hospital?.mp. [mp=abstract, title, publication type, heading word, accession number]</w:t>
      </w:r>
      <w:r>
        <w:rPr>
          <w:rFonts w:ascii="Calibri" w:hAnsi="Calibri" w:cs="Calibri"/>
          <w:lang w:val="en"/>
        </w:rPr>
        <w:tab/>
      </w:r>
    </w:p>
    <w:p w14:paraId="2A6CDEFF"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16</w:t>
      </w:r>
      <w:r>
        <w:rPr>
          <w:rFonts w:ascii="Calibri" w:hAnsi="Calibri" w:cs="Calibri"/>
          <w:lang w:val="en"/>
        </w:rPr>
        <w:tab/>
        <w:t>evaluat*.mp. [mp=abstract, title, publication type, heading word, accession number]</w:t>
      </w:r>
      <w:r>
        <w:rPr>
          <w:rFonts w:ascii="Calibri" w:hAnsi="Calibri" w:cs="Calibri"/>
          <w:lang w:val="en"/>
        </w:rPr>
        <w:tab/>
      </w:r>
    </w:p>
    <w:p w14:paraId="2DB399DB"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17</w:t>
      </w:r>
      <w:r>
        <w:rPr>
          <w:rFonts w:ascii="Calibri" w:hAnsi="Calibri" w:cs="Calibri"/>
          <w:lang w:val="en"/>
        </w:rPr>
        <w:tab/>
        <w:t>intervention.mp. [mp=abstract, title, publication type, heading word, accession number]</w:t>
      </w:r>
      <w:r>
        <w:rPr>
          <w:rFonts w:ascii="Calibri" w:hAnsi="Calibri" w:cs="Calibri"/>
          <w:lang w:val="en"/>
        </w:rPr>
        <w:tab/>
      </w:r>
    </w:p>
    <w:p w14:paraId="5E222965"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18</w:t>
      </w:r>
      <w:r>
        <w:rPr>
          <w:rFonts w:ascii="Calibri" w:hAnsi="Calibri" w:cs="Calibri"/>
          <w:lang w:val="en"/>
        </w:rPr>
        <w:tab/>
        <w:t>model.mp. [mp=abstract, title, publication type, heading word, accession number]</w:t>
      </w:r>
      <w:r>
        <w:rPr>
          <w:rFonts w:ascii="Calibri" w:hAnsi="Calibri" w:cs="Calibri"/>
          <w:lang w:val="en"/>
        </w:rPr>
        <w:tab/>
      </w:r>
    </w:p>
    <w:p w14:paraId="5F9AE26E"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19</w:t>
      </w:r>
      <w:r>
        <w:rPr>
          <w:rFonts w:ascii="Calibri" w:hAnsi="Calibri" w:cs="Calibri"/>
          <w:lang w:val="en"/>
        </w:rPr>
        <w:tab/>
        <w:t>review.mp. [mp=abstract, title, publication type, heading word, accession number]</w:t>
      </w:r>
      <w:r>
        <w:rPr>
          <w:rFonts w:ascii="Calibri" w:hAnsi="Calibri" w:cs="Calibri"/>
          <w:lang w:val="en"/>
        </w:rPr>
        <w:tab/>
      </w:r>
    </w:p>
    <w:p w14:paraId="53ED6E86"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20</w:t>
      </w:r>
      <w:r>
        <w:rPr>
          <w:rFonts w:ascii="Calibri" w:hAnsi="Calibri" w:cs="Calibri"/>
          <w:lang w:val="en"/>
        </w:rPr>
        <w:tab/>
        <w:t>(case adj1 study).mp. [mp=abstract, title, publication type, heading word, accession number]</w:t>
      </w:r>
    </w:p>
    <w:p w14:paraId="56B5FF58"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21</w:t>
      </w:r>
      <w:r>
        <w:rPr>
          <w:rFonts w:ascii="Calibri" w:hAnsi="Calibri" w:cs="Calibri"/>
          <w:lang w:val="en"/>
        </w:rPr>
        <w:tab/>
        <w:t>theory.mp. [mp=abstract, title, publication type, heading word, accession number]</w:t>
      </w:r>
      <w:r>
        <w:rPr>
          <w:rFonts w:ascii="Calibri" w:hAnsi="Calibri" w:cs="Calibri"/>
          <w:lang w:val="en"/>
        </w:rPr>
        <w:tab/>
      </w:r>
    </w:p>
    <w:p w14:paraId="1F11A5B1"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22</w:t>
      </w:r>
      <w:r>
        <w:rPr>
          <w:rFonts w:ascii="Calibri" w:hAnsi="Calibri" w:cs="Calibri"/>
          <w:lang w:val="en"/>
        </w:rPr>
        <w:tab/>
        <w:t>1 or 2 or 3 or 4 or 5 or 6 or 7 or 8 or 9 or 10 or 11 or 12 or 13</w:t>
      </w:r>
      <w:r>
        <w:rPr>
          <w:rFonts w:ascii="Calibri" w:hAnsi="Calibri" w:cs="Calibri"/>
          <w:lang w:val="en"/>
        </w:rPr>
        <w:tab/>
      </w:r>
    </w:p>
    <w:p w14:paraId="030E3F29"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23</w:t>
      </w:r>
      <w:r>
        <w:rPr>
          <w:rFonts w:ascii="Calibri" w:hAnsi="Calibri" w:cs="Calibri"/>
          <w:lang w:val="en"/>
        </w:rPr>
        <w:tab/>
        <w:t>14 or 15</w:t>
      </w:r>
      <w:r>
        <w:rPr>
          <w:rFonts w:ascii="Calibri" w:hAnsi="Calibri" w:cs="Calibri"/>
          <w:lang w:val="en"/>
        </w:rPr>
        <w:tab/>
      </w:r>
    </w:p>
    <w:p w14:paraId="5499C2CA"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24</w:t>
      </w:r>
      <w:r>
        <w:rPr>
          <w:rFonts w:ascii="Calibri" w:hAnsi="Calibri" w:cs="Calibri"/>
          <w:lang w:val="en"/>
        </w:rPr>
        <w:tab/>
        <w:t>16 or 17 or 18 or 19 or 20 or 21</w:t>
      </w:r>
      <w:r>
        <w:rPr>
          <w:rFonts w:ascii="Calibri" w:hAnsi="Calibri" w:cs="Calibri"/>
          <w:lang w:val="en"/>
        </w:rPr>
        <w:tab/>
      </w:r>
    </w:p>
    <w:p w14:paraId="29D29062" w14:textId="77777777" w:rsidR="004833F0" w:rsidRDefault="004833F0" w:rsidP="00525BE0">
      <w:pPr>
        <w:autoSpaceDE w:val="0"/>
        <w:autoSpaceDN w:val="0"/>
        <w:adjustRightInd w:val="0"/>
        <w:spacing w:after="0"/>
        <w:jc w:val="both"/>
        <w:rPr>
          <w:rFonts w:ascii="Calibri" w:hAnsi="Calibri" w:cs="Calibri"/>
          <w:lang w:val="en"/>
        </w:rPr>
      </w:pPr>
      <w:r>
        <w:rPr>
          <w:rFonts w:ascii="Calibri" w:hAnsi="Calibri" w:cs="Calibri"/>
          <w:lang w:val="en"/>
        </w:rPr>
        <w:t>25</w:t>
      </w:r>
      <w:r>
        <w:rPr>
          <w:rFonts w:ascii="Calibri" w:hAnsi="Calibri" w:cs="Calibri"/>
          <w:lang w:val="en"/>
        </w:rPr>
        <w:tab/>
        <w:t>22 and 23 and 24</w:t>
      </w:r>
    </w:p>
    <w:p w14:paraId="0DF9D7A5" w14:textId="77777777" w:rsidR="004833F0" w:rsidRPr="00A70CDE" w:rsidRDefault="004833F0" w:rsidP="00525BE0">
      <w:pPr>
        <w:autoSpaceDE w:val="0"/>
        <w:autoSpaceDN w:val="0"/>
        <w:adjustRightInd w:val="0"/>
        <w:spacing w:after="0"/>
        <w:jc w:val="both"/>
        <w:rPr>
          <w:rFonts w:ascii="Calibri" w:hAnsi="Calibri" w:cs="Calibri"/>
          <w:lang w:val="en"/>
        </w:rPr>
      </w:pPr>
    </w:p>
    <w:p w14:paraId="3110C3AB" w14:textId="63300696" w:rsidR="004833F0" w:rsidRDefault="004833F0" w:rsidP="00525BE0">
      <w:pPr>
        <w:pStyle w:val="Heading3"/>
        <w:jc w:val="both"/>
      </w:pPr>
      <w:bookmarkStart w:id="170" w:name="_Toc85066501"/>
      <w:r>
        <w:t>Theory refining:</w:t>
      </w:r>
      <w:bookmarkEnd w:id="170"/>
    </w:p>
    <w:p w14:paraId="06A502E6" w14:textId="03130FEE" w:rsidR="00AD33E9" w:rsidRPr="00AD33E9" w:rsidRDefault="00AD33E9" w:rsidP="00525BE0">
      <w:pPr>
        <w:jc w:val="both"/>
      </w:pPr>
      <w:r>
        <w:t>Social Policy and Practice Search on 10.06.2020:</w:t>
      </w:r>
    </w:p>
    <w:p w14:paraId="0B1CBC37" w14:textId="77777777" w:rsidR="00AD33E9" w:rsidRDefault="00AD33E9" w:rsidP="00525BE0">
      <w:pPr>
        <w:jc w:val="both"/>
      </w:pPr>
      <w:r>
        <w:t>Results as of 10.06.2020: 2144</w:t>
      </w:r>
    </w:p>
    <w:p w14:paraId="686D51E9" w14:textId="77777777" w:rsidR="00AD33E9" w:rsidRDefault="00AD33E9" w:rsidP="00525BE0">
      <w:pPr>
        <w:jc w:val="both"/>
      </w:pPr>
      <w:r>
        <w:t>After deduplication: 1092</w:t>
      </w:r>
    </w:p>
    <w:p w14:paraId="47E339F4" w14:textId="05CAA7C6" w:rsidR="00AD33E9" w:rsidRDefault="00AD33E9" w:rsidP="00525BE0">
      <w:pPr>
        <w:jc w:val="both"/>
      </w:pPr>
      <w:r>
        <w:t>Database: Social Policy and practice</w:t>
      </w:r>
    </w:p>
    <w:p w14:paraId="2414BB2A" w14:textId="5BDE08E9" w:rsidR="00AD33E9" w:rsidRPr="001C326D" w:rsidRDefault="00AD33E9" w:rsidP="00525BE0">
      <w:pPr>
        <w:spacing w:after="0" w:line="240" w:lineRule="auto"/>
        <w:jc w:val="both"/>
        <w:rPr>
          <w:rFonts w:cstheme="minorHAnsi"/>
        </w:rPr>
      </w:pPr>
      <w:r w:rsidRPr="001C326D">
        <w:rPr>
          <w:rFonts w:cstheme="minorHAnsi"/>
        </w:rPr>
        <w:t>1</w:t>
      </w:r>
      <w:r w:rsidRPr="001C326D">
        <w:rPr>
          <w:rFonts w:cstheme="minorHAnsi"/>
        </w:rPr>
        <w:tab/>
        <w:t>partnering.mp. [mp=abstract, title, publication type, heading word, accession number]</w:t>
      </w:r>
    </w:p>
    <w:p w14:paraId="6AABB05F" w14:textId="60437C45" w:rsidR="00AD33E9" w:rsidRPr="001C326D" w:rsidRDefault="00AD33E9" w:rsidP="00525BE0">
      <w:pPr>
        <w:spacing w:after="0" w:line="240" w:lineRule="auto"/>
        <w:jc w:val="both"/>
        <w:rPr>
          <w:rFonts w:cstheme="minorHAnsi"/>
        </w:rPr>
      </w:pPr>
      <w:r w:rsidRPr="001C326D">
        <w:rPr>
          <w:rFonts w:cstheme="minorHAnsi"/>
        </w:rPr>
        <w:t>2</w:t>
      </w:r>
      <w:r w:rsidRPr="001C326D">
        <w:rPr>
          <w:rFonts w:cstheme="minorHAnsi"/>
        </w:rPr>
        <w:tab/>
        <w:t>partnership.mp. [mp=abstract, title, publication type, heading word, accession number]</w:t>
      </w:r>
      <w:r w:rsidRPr="001C326D">
        <w:rPr>
          <w:rFonts w:cstheme="minorHAnsi"/>
        </w:rPr>
        <w:tab/>
      </w:r>
    </w:p>
    <w:p w14:paraId="4163F100" w14:textId="770D7D0B" w:rsidR="00AD33E9" w:rsidRPr="001C326D" w:rsidRDefault="00AD33E9" w:rsidP="00525BE0">
      <w:pPr>
        <w:spacing w:after="0" w:line="240" w:lineRule="auto"/>
        <w:jc w:val="both"/>
        <w:rPr>
          <w:rFonts w:cstheme="minorHAnsi"/>
        </w:rPr>
      </w:pPr>
      <w:r w:rsidRPr="001C326D">
        <w:rPr>
          <w:rFonts w:cstheme="minorHAnsi"/>
        </w:rPr>
        <w:t>3</w:t>
      </w:r>
      <w:r w:rsidRPr="001C326D">
        <w:rPr>
          <w:rFonts w:cstheme="minorHAnsi"/>
        </w:rPr>
        <w:tab/>
        <w:t>"joint working".mp. [mp=abstract, title, publication type, heading word, accession number]</w:t>
      </w:r>
    </w:p>
    <w:p w14:paraId="0F0C24E9" w14:textId="602A13DC" w:rsidR="00AD33E9" w:rsidRPr="001C326D" w:rsidRDefault="00AD33E9" w:rsidP="00525BE0">
      <w:pPr>
        <w:spacing w:after="0" w:line="240" w:lineRule="auto"/>
        <w:jc w:val="both"/>
        <w:rPr>
          <w:rFonts w:cstheme="minorHAnsi"/>
        </w:rPr>
      </w:pPr>
      <w:r w:rsidRPr="001C326D">
        <w:rPr>
          <w:rFonts w:cstheme="minorHAnsi"/>
        </w:rPr>
        <w:t>4</w:t>
      </w:r>
      <w:r w:rsidRPr="001C326D">
        <w:rPr>
          <w:rFonts w:cstheme="minorHAnsi"/>
        </w:rPr>
        <w:tab/>
        <w:t xml:space="preserve">merger.mp. [mp=abstract, title, publication type, heading word, accession number]   </w:t>
      </w:r>
      <w:r w:rsidRPr="001C326D">
        <w:rPr>
          <w:rFonts w:cstheme="minorHAnsi"/>
        </w:rPr>
        <w:tab/>
      </w:r>
    </w:p>
    <w:p w14:paraId="6D44FC42" w14:textId="137884B3" w:rsidR="00AD33E9" w:rsidRPr="001C326D" w:rsidRDefault="00AD33E9" w:rsidP="00525BE0">
      <w:pPr>
        <w:spacing w:after="0" w:line="240" w:lineRule="auto"/>
        <w:jc w:val="both"/>
        <w:rPr>
          <w:rFonts w:cstheme="minorHAnsi"/>
        </w:rPr>
      </w:pPr>
      <w:r w:rsidRPr="001C326D">
        <w:rPr>
          <w:rFonts w:cstheme="minorHAnsi"/>
        </w:rPr>
        <w:t>5</w:t>
      </w:r>
      <w:r w:rsidRPr="001C326D">
        <w:rPr>
          <w:rFonts w:cstheme="minorHAnsi"/>
        </w:rPr>
        <w:tab/>
        <w:t>acquisition.mp. [mp=abstract, title, publication type, heading word, accession number]</w:t>
      </w:r>
    </w:p>
    <w:p w14:paraId="6B4CD409" w14:textId="175352B7" w:rsidR="00AD33E9" w:rsidRPr="001C326D" w:rsidRDefault="00AD33E9" w:rsidP="00525BE0">
      <w:pPr>
        <w:spacing w:after="0" w:line="240" w:lineRule="auto"/>
        <w:jc w:val="both"/>
        <w:rPr>
          <w:rFonts w:cstheme="minorHAnsi"/>
        </w:rPr>
      </w:pPr>
      <w:r w:rsidRPr="001C326D">
        <w:rPr>
          <w:rFonts w:cstheme="minorHAnsi"/>
        </w:rPr>
        <w:t>6</w:t>
      </w:r>
      <w:r w:rsidRPr="001C326D">
        <w:rPr>
          <w:rFonts w:cstheme="minorHAnsi"/>
        </w:rPr>
        <w:tab/>
        <w:t xml:space="preserve">alliance?.mp. [mp=abstract, title, publication type, heading word, accession number]    </w:t>
      </w:r>
      <w:r w:rsidRPr="001C326D">
        <w:rPr>
          <w:rFonts w:cstheme="minorHAnsi"/>
        </w:rPr>
        <w:tab/>
      </w:r>
    </w:p>
    <w:p w14:paraId="09B272B8" w14:textId="7D1FFA15" w:rsidR="00AD33E9" w:rsidRPr="001C326D" w:rsidRDefault="00AD33E9" w:rsidP="00525BE0">
      <w:pPr>
        <w:spacing w:after="0" w:line="240" w:lineRule="auto"/>
        <w:jc w:val="both"/>
        <w:rPr>
          <w:rFonts w:cstheme="minorHAnsi"/>
        </w:rPr>
      </w:pPr>
      <w:r w:rsidRPr="001C326D">
        <w:rPr>
          <w:rFonts w:cstheme="minorHAnsi"/>
        </w:rPr>
        <w:t>7</w:t>
      </w:r>
      <w:r w:rsidRPr="001C326D">
        <w:rPr>
          <w:rFonts w:cstheme="minorHAnsi"/>
        </w:rPr>
        <w:tab/>
        <w:t>"partnership working".mp. [mp=abstract, title, publication type, head</w:t>
      </w:r>
      <w:r>
        <w:rPr>
          <w:rFonts w:cstheme="minorHAnsi"/>
        </w:rPr>
        <w:t xml:space="preserve">ing word, accession number]   </w:t>
      </w:r>
      <w:r>
        <w:rPr>
          <w:rFonts w:cstheme="minorHAnsi"/>
        </w:rPr>
        <w:tab/>
      </w:r>
    </w:p>
    <w:p w14:paraId="5D136392" w14:textId="3A326DEA" w:rsidR="00AD33E9" w:rsidRPr="001C326D" w:rsidRDefault="00AD33E9" w:rsidP="00525BE0">
      <w:pPr>
        <w:spacing w:after="0" w:line="240" w:lineRule="auto"/>
        <w:jc w:val="both"/>
        <w:rPr>
          <w:rFonts w:cstheme="minorHAnsi"/>
        </w:rPr>
      </w:pPr>
      <w:r w:rsidRPr="001C326D">
        <w:rPr>
          <w:rFonts w:cstheme="minorHAnsi"/>
        </w:rPr>
        <w:t>8</w:t>
      </w:r>
      <w:r w:rsidRPr="001C326D">
        <w:rPr>
          <w:rFonts w:cstheme="minorHAnsi"/>
        </w:rPr>
        <w:tab/>
        <w:t xml:space="preserve">buddying.mp. [mp=abstract, title, publication type, heading word, accession number] </w:t>
      </w:r>
      <w:r w:rsidRPr="001C326D">
        <w:rPr>
          <w:rFonts w:cstheme="minorHAnsi"/>
        </w:rPr>
        <w:tab/>
      </w:r>
    </w:p>
    <w:p w14:paraId="39FF9127" w14:textId="1006C2C9" w:rsidR="00AD33E9" w:rsidRDefault="00AD33E9" w:rsidP="00525BE0">
      <w:pPr>
        <w:spacing w:after="0" w:line="240" w:lineRule="auto"/>
        <w:jc w:val="both"/>
        <w:rPr>
          <w:rFonts w:cstheme="minorHAnsi"/>
        </w:rPr>
      </w:pPr>
      <w:r w:rsidRPr="001C326D">
        <w:rPr>
          <w:rFonts w:cstheme="minorHAnsi"/>
        </w:rPr>
        <w:t>9</w:t>
      </w:r>
      <w:r w:rsidRPr="001C326D">
        <w:rPr>
          <w:rFonts w:cstheme="minorHAnsi"/>
        </w:rPr>
        <w:tab/>
        <w:t>(clinical adj1 network).mp. [mp=abstract, title, publication type, hea</w:t>
      </w:r>
      <w:r>
        <w:rPr>
          <w:rFonts w:cstheme="minorHAnsi"/>
        </w:rPr>
        <w:t xml:space="preserve">ding word, accession number]  </w:t>
      </w:r>
      <w:r>
        <w:rPr>
          <w:rFonts w:cstheme="minorHAnsi"/>
        </w:rPr>
        <w:tab/>
      </w:r>
    </w:p>
    <w:p w14:paraId="1D41A9AD" w14:textId="19EF651D" w:rsidR="00AD33E9" w:rsidRPr="001C326D" w:rsidRDefault="00AD33E9" w:rsidP="00525BE0">
      <w:pPr>
        <w:spacing w:after="0" w:line="240" w:lineRule="auto"/>
        <w:jc w:val="both"/>
        <w:rPr>
          <w:rFonts w:cstheme="minorHAnsi"/>
        </w:rPr>
      </w:pPr>
      <w:r w:rsidRPr="001C326D">
        <w:rPr>
          <w:rFonts w:cstheme="minorHAnsi"/>
        </w:rPr>
        <w:t>10</w:t>
      </w:r>
      <w:r w:rsidRPr="001C326D">
        <w:rPr>
          <w:rFonts w:cstheme="minorHAnsi"/>
        </w:rPr>
        <w:tab/>
        <w:t>(coordinating or co-ordinating or coordination or co-ordination).mp. [mp=abstract, title, publication type, heading word, accession number]</w:t>
      </w:r>
    </w:p>
    <w:p w14:paraId="7755D5B6" w14:textId="04C0185D" w:rsidR="00AD33E9" w:rsidRDefault="00AD33E9" w:rsidP="00525BE0">
      <w:pPr>
        <w:spacing w:after="0" w:line="240" w:lineRule="auto"/>
        <w:jc w:val="both"/>
        <w:rPr>
          <w:rFonts w:cstheme="minorHAnsi"/>
        </w:rPr>
      </w:pPr>
      <w:r w:rsidRPr="001C326D">
        <w:rPr>
          <w:rFonts w:cstheme="minorHAnsi"/>
        </w:rPr>
        <w:t>11</w:t>
      </w:r>
      <w:r w:rsidRPr="001C326D">
        <w:rPr>
          <w:rFonts w:cstheme="minorHAnsi"/>
        </w:rPr>
        <w:tab/>
        <w:t>"joint commissioning".mp. [mp=abstract, title, publication type, h</w:t>
      </w:r>
      <w:r>
        <w:rPr>
          <w:rFonts w:cstheme="minorHAnsi"/>
        </w:rPr>
        <w:t>eading word, accession number]</w:t>
      </w:r>
      <w:r>
        <w:rPr>
          <w:rFonts w:cstheme="minorHAnsi"/>
        </w:rPr>
        <w:tab/>
      </w:r>
    </w:p>
    <w:p w14:paraId="6ED7E5B4" w14:textId="54275A4D" w:rsidR="00AD33E9" w:rsidRPr="001C326D" w:rsidRDefault="00AD33E9" w:rsidP="00525BE0">
      <w:pPr>
        <w:spacing w:after="0" w:line="240" w:lineRule="auto"/>
        <w:jc w:val="both"/>
        <w:rPr>
          <w:rFonts w:cstheme="minorHAnsi"/>
        </w:rPr>
      </w:pPr>
      <w:r w:rsidRPr="001C326D">
        <w:rPr>
          <w:rFonts w:cstheme="minorHAnsi"/>
        </w:rPr>
        <w:t>12</w:t>
      </w:r>
      <w:r w:rsidRPr="001C326D">
        <w:rPr>
          <w:rFonts w:cstheme="minorHAnsi"/>
        </w:rPr>
        <w:tab/>
        <w:t>vanguard.mp. [mp=abstract, title, publication type, heading word, accession number]</w:t>
      </w:r>
    </w:p>
    <w:p w14:paraId="21A72A73" w14:textId="4D49680E" w:rsidR="00AD33E9" w:rsidRPr="001C326D" w:rsidRDefault="00AD33E9" w:rsidP="00525BE0">
      <w:pPr>
        <w:spacing w:after="0" w:line="240" w:lineRule="auto"/>
        <w:jc w:val="both"/>
        <w:rPr>
          <w:rFonts w:cstheme="minorHAnsi"/>
        </w:rPr>
      </w:pPr>
      <w:r>
        <w:rPr>
          <w:rFonts w:cstheme="minorHAnsi"/>
        </w:rPr>
        <w:t>1</w:t>
      </w:r>
      <w:r w:rsidRPr="001C326D">
        <w:rPr>
          <w:rFonts w:cstheme="minorHAnsi"/>
        </w:rPr>
        <w:t>3</w:t>
      </w:r>
      <w:r w:rsidRPr="001C326D">
        <w:rPr>
          <w:rFonts w:cstheme="minorHAnsi"/>
        </w:rPr>
        <w:tab/>
        <w:t xml:space="preserve">healthcare.mp. [mp=abstract, title, publication type, heading word, accession number]  </w:t>
      </w:r>
      <w:r w:rsidRPr="001C326D">
        <w:rPr>
          <w:rFonts w:cstheme="minorHAnsi"/>
        </w:rPr>
        <w:tab/>
      </w:r>
    </w:p>
    <w:p w14:paraId="66C96ED7" w14:textId="34821EDB" w:rsidR="00AD33E9" w:rsidRPr="001C326D" w:rsidRDefault="00AD33E9" w:rsidP="00525BE0">
      <w:pPr>
        <w:spacing w:after="0" w:line="240" w:lineRule="auto"/>
        <w:jc w:val="both"/>
        <w:rPr>
          <w:rFonts w:cstheme="minorHAnsi"/>
        </w:rPr>
      </w:pPr>
      <w:r w:rsidRPr="001C326D">
        <w:rPr>
          <w:rFonts w:cstheme="minorHAnsi"/>
        </w:rPr>
        <w:t>14</w:t>
      </w:r>
      <w:r w:rsidRPr="001C326D">
        <w:rPr>
          <w:rFonts w:cstheme="minorHAnsi"/>
        </w:rPr>
        <w:tab/>
        <w:t xml:space="preserve">hospital?.mp. [mp=abstract, title, publication type, heading word, accession number]   </w:t>
      </w:r>
      <w:r w:rsidRPr="001C326D">
        <w:rPr>
          <w:rFonts w:cstheme="minorHAnsi"/>
        </w:rPr>
        <w:tab/>
      </w:r>
    </w:p>
    <w:p w14:paraId="5FD1E376" w14:textId="7C727F5B" w:rsidR="00AD33E9" w:rsidRPr="001C326D" w:rsidRDefault="00AD33E9" w:rsidP="00525BE0">
      <w:pPr>
        <w:spacing w:after="0" w:line="240" w:lineRule="auto"/>
        <w:jc w:val="both"/>
        <w:rPr>
          <w:rFonts w:cstheme="minorHAnsi"/>
        </w:rPr>
      </w:pPr>
      <w:r w:rsidRPr="001C326D">
        <w:rPr>
          <w:rFonts w:cstheme="minorHAnsi"/>
        </w:rPr>
        <w:t>15</w:t>
      </w:r>
      <w:r w:rsidRPr="001C326D">
        <w:rPr>
          <w:rFonts w:cstheme="minorHAnsi"/>
        </w:rPr>
        <w:tab/>
        <w:t>public health.mp. [mp=abstract, title, publication type, heading word, accession number]</w:t>
      </w:r>
    </w:p>
    <w:p w14:paraId="0AE9E3C5" w14:textId="4DB8D438" w:rsidR="00AD33E9" w:rsidRPr="001C326D" w:rsidRDefault="00AD33E9" w:rsidP="00525BE0">
      <w:pPr>
        <w:spacing w:after="0" w:line="240" w:lineRule="auto"/>
        <w:jc w:val="both"/>
        <w:rPr>
          <w:rFonts w:cstheme="minorHAnsi"/>
        </w:rPr>
      </w:pPr>
      <w:r w:rsidRPr="001C326D">
        <w:rPr>
          <w:rFonts w:cstheme="minorHAnsi"/>
        </w:rPr>
        <w:t>16</w:t>
      </w:r>
      <w:r w:rsidRPr="001C326D">
        <w:rPr>
          <w:rFonts w:cstheme="minorHAnsi"/>
        </w:rPr>
        <w:tab/>
        <w:t>mental health.mp. [mp=abstract, title, publication type, heading word, accession number]</w:t>
      </w:r>
    </w:p>
    <w:p w14:paraId="3693234D" w14:textId="1F8F471D" w:rsidR="00AD33E9" w:rsidRPr="001C326D" w:rsidRDefault="00AD33E9" w:rsidP="00525BE0">
      <w:pPr>
        <w:spacing w:after="0" w:line="240" w:lineRule="auto"/>
        <w:jc w:val="both"/>
        <w:rPr>
          <w:rFonts w:cstheme="minorHAnsi"/>
        </w:rPr>
      </w:pPr>
      <w:r w:rsidRPr="001C326D">
        <w:rPr>
          <w:rFonts w:cstheme="minorHAnsi"/>
        </w:rPr>
        <w:t>17</w:t>
      </w:r>
      <w:r w:rsidRPr="001C326D">
        <w:rPr>
          <w:rFonts w:cstheme="minorHAnsi"/>
        </w:rPr>
        <w:tab/>
        <w:t>primary care.mp. [mp=abstract, title, publication type, heading word, accession number]</w:t>
      </w:r>
    </w:p>
    <w:p w14:paraId="7B96B709" w14:textId="09A321EC" w:rsidR="00AD33E9" w:rsidRPr="001C326D" w:rsidRDefault="00AD33E9" w:rsidP="00525BE0">
      <w:pPr>
        <w:spacing w:after="0" w:line="240" w:lineRule="auto"/>
        <w:jc w:val="both"/>
        <w:rPr>
          <w:rFonts w:cstheme="minorHAnsi"/>
        </w:rPr>
      </w:pPr>
      <w:r w:rsidRPr="001C326D">
        <w:rPr>
          <w:rFonts w:cstheme="minorHAnsi"/>
        </w:rPr>
        <w:t>18</w:t>
      </w:r>
      <w:r w:rsidRPr="001C326D">
        <w:rPr>
          <w:rFonts w:cstheme="minorHAnsi"/>
        </w:rPr>
        <w:tab/>
        <w:t>(case adj1 (study or studies)).mp. [mp=abstract, title, publication type, heading word, accession number]</w:t>
      </w:r>
    </w:p>
    <w:p w14:paraId="77F1C7FD" w14:textId="4BD61596" w:rsidR="00AD33E9" w:rsidRPr="001C326D" w:rsidRDefault="00AD33E9" w:rsidP="00525BE0">
      <w:pPr>
        <w:spacing w:after="0" w:line="240" w:lineRule="auto"/>
        <w:jc w:val="both"/>
        <w:rPr>
          <w:rFonts w:cstheme="minorHAnsi"/>
        </w:rPr>
      </w:pPr>
      <w:r w:rsidRPr="001C326D">
        <w:rPr>
          <w:rFonts w:cstheme="minorHAnsi"/>
        </w:rPr>
        <w:t>19</w:t>
      </w:r>
      <w:r w:rsidRPr="001C326D">
        <w:rPr>
          <w:rFonts w:cstheme="minorHAnsi"/>
        </w:rPr>
        <w:tab/>
        <w:t>1 or 2 or 3 or 4 or 5 or 6 or 7 or 8 or 9 or 10 or 11 or 12</w:t>
      </w:r>
    </w:p>
    <w:p w14:paraId="56553CBB" w14:textId="13B75C36" w:rsidR="00AD33E9" w:rsidRPr="001C326D" w:rsidRDefault="00AD33E9" w:rsidP="00525BE0">
      <w:pPr>
        <w:spacing w:after="0" w:line="240" w:lineRule="auto"/>
        <w:jc w:val="both"/>
        <w:rPr>
          <w:rFonts w:cstheme="minorHAnsi"/>
        </w:rPr>
      </w:pPr>
      <w:r w:rsidRPr="001C326D">
        <w:rPr>
          <w:rFonts w:cstheme="minorHAnsi"/>
        </w:rPr>
        <w:t>20</w:t>
      </w:r>
      <w:r w:rsidRPr="001C326D">
        <w:rPr>
          <w:rFonts w:cstheme="minorHAnsi"/>
        </w:rPr>
        <w:tab/>
        <w:t>13 or 14 or 15 or 16 or 17</w:t>
      </w:r>
    </w:p>
    <w:p w14:paraId="53B20465" w14:textId="57B9635C" w:rsidR="00AD33E9" w:rsidRPr="001C326D" w:rsidRDefault="00AD33E9" w:rsidP="00525BE0">
      <w:pPr>
        <w:spacing w:after="0" w:line="240" w:lineRule="auto"/>
        <w:jc w:val="both"/>
        <w:rPr>
          <w:rFonts w:cstheme="minorHAnsi"/>
        </w:rPr>
      </w:pPr>
      <w:r w:rsidRPr="001C326D">
        <w:rPr>
          <w:rFonts w:cstheme="minorHAnsi"/>
        </w:rPr>
        <w:t>21</w:t>
      </w:r>
      <w:r w:rsidRPr="001C326D">
        <w:rPr>
          <w:rFonts w:cstheme="minorHAnsi"/>
        </w:rPr>
        <w:tab/>
        <w:t xml:space="preserve">evaluation.mp. [mp=abstract, title, publication type, heading word, accession number]   </w:t>
      </w:r>
      <w:r w:rsidRPr="001C326D">
        <w:rPr>
          <w:rFonts w:cstheme="minorHAnsi"/>
        </w:rPr>
        <w:tab/>
      </w:r>
    </w:p>
    <w:p w14:paraId="55001201" w14:textId="771E33F3" w:rsidR="00AD33E9" w:rsidRPr="001C326D" w:rsidRDefault="00AD33E9" w:rsidP="00525BE0">
      <w:pPr>
        <w:spacing w:after="0" w:line="240" w:lineRule="auto"/>
        <w:jc w:val="both"/>
        <w:rPr>
          <w:rFonts w:cstheme="minorHAnsi"/>
        </w:rPr>
      </w:pPr>
      <w:r w:rsidRPr="001C326D">
        <w:rPr>
          <w:rFonts w:cstheme="minorHAnsi"/>
        </w:rPr>
        <w:t>22</w:t>
      </w:r>
      <w:r w:rsidRPr="001C326D">
        <w:rPr>
          <w:rFonts w:cstheme="minorHAnsi"/>
        </w:rPr>
        <w:tab/>
        <w:t xml:space="preserve">18 or 21  </w:t>
      </w:r>
      <w:r w:rsidRPr="001C326D">
        <w:rPr>
          <w:rFonts w:cstheme="minorHAnsi"/>
        </w:rPr>
        <w:tab/>
      </w:r>
    </w:p>
    <w:p w14:paraId="75C609E2" w14:textId="4531D6ED" w:rsidR="00AD33E9" w:rsidRPr="00A70CDE" w:rsidRDefault="00AD33E9" w:rsidP="00525BE0">
      <w:pPr>
        <w:spacing w:after="0" w:line="240" w:lineRule="auto"/>
        <w:jc w:val="both"/>
        <w:rPr>
          <w:rFonts w:ascii="Calibri" w:hAnsi="Calibri" w:cs="Calibri"/>
          <w:lang w:val="en"/>
        </w:rPr>
      </w:pPr>
      <w:r w:rsidRPr="001C326D">
        <w:rPr>
          <w:rFonts w:cstheme="minorHAnsi"/>
        </w:rPr>
        <w:t>23</w:t>
      </w:r>
      <w:r w:rsidRPr="001C326D">
        <w:rPr>
          <w:rFonts w:cstheme="minorHAnsi"/>
        </w:rPr>
        <w:tab/>
        <w:t>19 and 20 and 22</w:t>
      </w:r>
    </w:p>
    <w:p w14:paraId="5D13830C" w14:textId="2BA0BB9F" w:rsidR="00B42DF5" w:rsidRDefault="00B42DF5" w:rsidP="00525BE0">
      <w:pPr>
        <w:jc w:val="both"/>
      </w:pPr>
    </w:p>
    <w:p w14:paraId="19BD2B45" w14:textId="62620FAF" w:rsidR="000F2086" w:rsidRPr="004B20D5" w:rsidRDefault="000F2086" w:rsidP="00525BE0">
      <w:pPr>
        <w:spacing w:after="0" w:line="240" w:lineRule="auto"/>
        <w:jc w:val="both"/>
        <w:rPr>
          <w:rFonts w:asciiTheme="majorHAnsi" w:eastAsiaTheme="majorEastAsia" w:hAnsiTheme="majorHAnsi" w:cstheme="majorBidi"/>
          <w:color w:val="2F5496" w:themeColor="accent1" w:themeShade="BF"/>
          <w:sz w:val="26"/>
          <w:szCs w:val="26"/>
        </w:rPr>
      </w:pPr>
      <w:r>
        <w:br w:type="page"/>
      </w:r>
    </w:p>
    <w:p w14:paraId="11F42473" w14:textId="70CD2145" w:rsidR="000F2086" w:rsidRDefault="00A47B2C" w:rsidP="00525BE0">
      <w:pPr>
        <w:pStyle w:val="Heading2"/>
        <w:jc w:val="both"/>
      </w:pPr>
      <w:bookmarkStart w:id="171" w:name="_Toc85066502"/>
      <w:r>
        <w:t>Appendix 4 – Readiness for collaboration survey</w:t>
      </w:r>
      <w:bookmarkEnd w:id="171"/>
    </w:p>
    <w:p w14:paraId="6A7107F9" w14:textId="77777777" w:rsidR="00A47B2C" w:rsidRDefault="00A47B2C" w:rsidP="00525BE0">
      <w:pPr>
        <w:keepNext/>
        <w:jc w:val="both"/>
      </w:pPr>
      <w:r>
        <w:br/>
      </w:r>
      <w:r>
        <w:rPr>
          <w:b/>
        </w:rPr>
        <w:t>Assessing your climate for collaboration</w:t>
      </w:r>
    </w:p>
    <w:p w14:paraId="0D4BC75B" w14:textId="77777777" w:rsidR="00A47B2C" w:rsidRDefault="00A47B2C" w:rsidP="00525BE0">
      <w:pPr>
        <w:keepNext/>
        <w:jc w:val="both"/>
      </w:pPr>
      <w:r>
        <w:rPr>
          <w:b/>
        </w:rPr>
        <w:t>Background to our survey</w:t>
      </w:r>
      <w:r>
        <w:t xml:space="preserve"> </w:t>
      </w:r>
    </w:p>
    <w:p w14:paraId="311BFC06" w14:textId="77777777" w:rsidR="00A47B2C" w:rsidRDefault="00A47B2C" w:rsidP="00525BE0">
      <w:pPr>
        <w:keepNext/>
        <w:jc w:val="both"/>
      </w:pPr>
      <w:r>
        <w:t>Much is made about the pressing need to collaborate and work better together across organisational boundaries. This survey is based on research funded by the National Institute for Health Research (NIHR) to better understand how and why inter-organisational collaborations in healthcare can work to improve services. This is drawing on findings from both literature review and interview-based studies.</w:t>
      </w:r>
      <w:r>
        <w:br/>
        <w:t>The findings from our research identified some 'key ingredients' for collaboration that included the importance of building trust, having faith, and instilling confidence in any collaborative endeavour. The findings also identified notable contextual factors which are likely to affect these ingredients.</w:t>
      </w:r>
      <w:r>
        <w:br/>
        <w:t xml:space="preserve">This survey seeks to translate these findings into the formulation of questions which you can use to establish how and why collaboration may or may not be conducive to your organisation. The survey will ask you a series of questions that will gauge your opinion about where you feel you organisation is against the key ingredients we have identified.   </w:t>
      </w:r>
    </w:p>
    <w:p w14:paraId="3B1CB132" w14:textId="305467B9" w:rsidR="00A47B2C" w:rsidRDefault="00A47B2C" w:rsidP="00525BE0">
      <w:pPr>
        <w:keepNext/>
        <w:jc w:val="both"/>
      </w:pPr>
      <w:r>
        <w:br/>
      </w:r>
      <w:r>
        <w:rPr>
          <w:b/>
        </w:rPr>
        <w:t>Who is the survey designed for?</w:t>
      </w:r>
      <w:r>
        <w:t xml:space="preserve"> </w:t>
      </w:r>
    </w:p>
    <w:p w14:paraId="56C6A6F3" w14:textId="77777777" w:rsidR="00A47B2C" w:rsidRDefault="00A47B2C" w:rsidP="00525BE0">
      <w:pPr>
        <w:keepNext/>
        <w:jc w:val="both"/>
      </w:pPr>
      <w:r>
        <w:t xml:space="preserve">This survey is intended for all those involved in implementing a collaboration between organisations in a health and social care context. It is designed to be taken after you have identified which partner(s) you will be working with and are about begin the process of collaborating.  </w:t>
      </w:r>
    </w:p>
    <w:p w14:paraId="1DFFA5AD" w14:textId="77777777" w:rsidR="00A47B2C" w:rsidRDefault="00A47B2C" w:rsidP="00525BE0">
      <w:pPr>
        <w:keepNext/>
        <w:jc w:val="both"/>
      </w:pPr>
      <w:r>
        <w:br/>
      </w:r>
      <w:r>
        <w:rPr>
          <w:b/>
        </w:rPr>
        <w:t>What is it trying to achieve?</w:t>
      </w:r>
      <w:r>
        <w:t xml:space="preserve"> </w:t>
      </w:r>
    </w:p>
    <w:p w14:paraId="738398D0" w14:textId="77777777" w:rsidR="00A47B2C" w:rsidRDefault="00A47B2C" w:rsidP="00525BE0">
      <w:pPr>
        <w:keepNext/>
        <w:jc w:val="both"/>
      </w:pPr>
      <w:r>
        <w:t>This survey is intended to inform you on where it might be important to focus your efforts to improve your chances of success prior to beginning your collaboration. It is not intended to act as a performance or benchmarking tool for comparing healthcare organsitions.</w:t>
      </w:r>
      <w:r>
        <w:br/>
        <w:t xml:space="preserve">  </w:t>
      </w:r>
      <w:r>
        <w:br/>
      </w:r>
      <w:r>
        <w:rPr>
          <w:b/>
        </w:rPr>
        <w:t>Why should I take this survey?</w:t>
      </w:r>
      <w:r>
        <w:t xml:space="preserve"> </w:t>
      </w:r>
    </w:p>
    <w:p w14:paraId="1A8A61E5" w14:textId="77777777" w:rsidR="00A47B2C" w:rsidRDefault="00A47B2C" w:rsidP="00525BE0">
      <w:pPr>
        <w:keepNext/>
        <w:jc w:val="both"/>
      </w:pPr>
      <w:r>
        <w:t>Based on your results, you will receive feedback to support any learning and improvements needed for further successful collaboration. This is intended to provoke discussion and reflection within your team and organisation rather than for allowing comparisons between organisations. Although it may give scores for individual mechanisms such as trust and faith, this is to allow you to understand where to direct efforts rather than as a definitive answer to where your organisation is genuinely at.</w:t>
      </w:r>
    </w:p>
    <w:p w14:paraId="49DA4B42" w14:textId="77777777" w:rsidR="00A47B2C" w:rsidRDefault="00A47B2C" w:rsidP="00525BE0">
      <w:pPr>
        <w:jc w:val="both"/>
      </w:pPr>
    </w:p>
    <w:p w14:paraId="5685FE3D" w14:textId="77777777" w:rsidR="00A47B2C" w:rsidRDefault="00A47B2C" w:rsidP="00525BE0">
      <w:pPr>
        <w:pStyle w:val="BlockEndLabel"/>
        <w:jc w:val="both"/>
      </w:pPr>
      <w:r>
        <w:t>End of Block: Block 5</w:t>
      </w:r>
    </w:p>
    <w:p w14:paraId="6D774D23" w14:textId="77777777" w:rsidR="00A47B2C" w:rsidRDefault="00A47B2C" w:rsidP="00525BE0">
      <w:pPr>
        <w:pStyle w:val="BlockSeparator"/>
        <w:jc w:val="both"/>
      </w:pPr>
    </w:p>
    <w:p w14:paraId="14D735E6" w14:textId="77777777" w:rsidR="00A47B2C" w:rsidRDefault="00A47B2C" w:rsidP="00525BE0">
      <w:pPr>
        <w:pStyle w:val="BlockStartLabel"/>
        <w:jc w:val="both"/>
      </w:pPr>
      <w:r>
        <w:t>Start of Block: Participants_PreCheck</w:t>
      </w:r>
    </w:p>
    <w:p w14:paraId="1F3B6789" w14:textId="77777777" w:rsidR="00A47B2C" w:rsidRDefault="00A47B2C" w:rsidP="00525BE0">
      <w:pPr>
        <w:jc w:val="both"/>
      </w:pPr>
    </w:p>
    <w:p w14:paraId="44FFC856" w14:textId="5C6E978D" w:rsidR="00A47B2C" w:rsidRDefault="00A47B2C" w:rsidP="00525BE0">
      <w:pPr>
        <w:keepNext/>
        <w:jc w:val="both"/>
      </w:pPr>
      <w:r>
        <w:t>This section will ask you questions about your role in your organisation and collaboration, before moving on to the assessment questions in the next section.</w:t>
      </w:r>
    </w:p>
    <w:p w14:paraId="23B575B8" w14:textId="77777777" w:rsidR="00A47B2C" w:rsidRDefault="00A47B2C" w:rsidP="00525BE0">
      <w:pPr>
        <w:jc w:val="both"/>
      </w:pPr>
    </w:p>
    <w:p w14:paraId="0371CB98" w14:textId="77777777" w:rsidR="00A47B2C" w:rsidRDefault="00A47B2C" w:rsidP="00525BE0">
      <w:pPr>
        <w:pStyle w:val="QuestionSeparator"/>
        <w:jc w:val="both"/>
      </w:pPr>
    </w:p>
    <w:p w14:paraId="3F9C3F17" w14:textId="77777777" w:rsidR="00A47B2C" w:rsidRDefault="00A47B2C" w:rsidP="00525BE0">
      <w:pPr>
        <w:jc w:val="both"/>
      </w:pPr>
    </w:p>
    <w:p w14:paraId="682D2A06" w14:textId="19B8DF48" w:rsidR="00A47B2C" w:rsidRDefault="00A47B2C" w:rsidP="00525BE0">
      <w:pPr>
        <w:keepNext/>
        <w:jc w:val="both"/>
      </w:pPr>
      <w:r>
        <w:t>Q</w:t>
      </w:r>
      <w:r w:rsidR="00A101A3">
        <w:t>1</w:t>
      </w:r>
      <w:r>
        <w:t xml:space="preserve"> Are you a member of the leadership team or a key architect of the collaboration, or otherwise a member of the wider workforce?</w:t>
      </w:r>
    </w:p>
    <w:p w14:paraId="27B20BC3" w14:textId="77777777" w:rsidR="00A47B2C" w:rsidRDefault="00A47B2C" w:rsidP="00525BE0">
      <w:pPr>
        <w:pStyle w:val="ListParagraph"/>
        <w:keepNext/>
        <w:numPr>
          <w:ilvl w:val="0"/>
          <w:numId w:val="18"/>
        </w:numPr>
        <w:contextualSpacing w:val="0"/>
        <w:jc w:val="both"/>
      </w:pPr>
      <w:r>
        <w:t xml:space="preserve">Leader/key architect  (1) </w:t>
      </w:r>
    </w:p>
    <w:p w14:paraId="7479FAAC" w14:textId="77777777" w:rsidR="00A47B2C" w:rsidRDefault="00A47B2C" w:rsidP="00525BE0">
      <w:pPr>
        <w:pStyle w:val="ListParagraph"/>
        <w:keepNext/>
        <w:numPr>
          <w:ilvl w:val="0"/>
          <w:numId w:val="18"/>
        </w:numPr>
        <w:contextualSpacing w:val="0"/>
        <w:jc w:val="both"/>
      </w:pPr>
      <w:r>
        <w:t xml:space="preserve">Workforce  (2) </w:t>
      </w:r>
    </w:p>
    <w:p w14:paraId="06929997" w14:textId="77777777" w:rsidR="00A47B2C" w:rsidRDefault="00A47B2C" w:rsidP="00525BE0">
      <w:pPr>
        <w:jc w:val="both"/>
      </w:pPr>
    </w:p>
    <w:p w14:paraId="411AE822" w14:textId="77777777" w:rsidR="00A47B2C" w:rsidRDefault="00A47B2C" w:rsidP="00525BE0">
      <w:pPr>
        <w:pStyle w:val="QuestionSeparator"/>
        <w:jc w:val="both"/>
      </w:pPr>
    </w:p>
    <w:p w14:paraId="4048359F" w14:textId="77777777" w:rsidR="00A47B2C" w:rsidRDefault="00A47B2C" w:rsidP="00525BE0">
      <w:pPr>
        <w:jc w:val="both"/>
      </w:pPr>
    </w:p>
    <w:p w14:paraId="2D3DE35D" w14:textId="645A8593" w:rsidR="00A47B2C" w:rsidRDefault="00A47B2C" w:rsidP="00525BE0">
      <w:pPr>
        <w:keepNext/>
        <w:jc w:val="both"/>
      </w:pPr>
      <w:r>
        <w:t>Q2 Are you a member of clinical or managerial staff, or both?</w:t>
      </w:r>
    </w:p>
    <w:p w14:paraId="3A482F04" w14:textId="77777777" w:rsidR="00A47B2C" w:rsidRDefault="00A47B2C" w:rsidP="00525BE0">
      <w:pPr>
        <w:pStyle w:val="ListParagraph"/>
        <w:keepNext/>
        <w:numPr>
          <w:ilvl w:val="0"/>
          <w:numId w:val="18"/>
        </w:numPr>
        <w:contextualSpacing w:val="0"/>
        <w:jc w:val="both"/>
      </w:pPr>
      <w:r>
        <w:t xml:space="preserve">Clinical  (1) </w:t>
      </w:r>
    </w:p>
    <w:p w14:paraId="7E408A2F" w14:textId="77777777" w:rsidR="00A47B2C" w:rsidRDefault="00A47B2C" w:rsidP="00525BE0">
      <w:pPr>
        <w:pStyle w:val="ListParagraph"/>
        <w:keepNext/>
        <w:numPr>
          <w:ilvl w:val="0"/>
          <w:numId w:val="18"/>
        </w:numPr>
        <w:contextualSpacing w:val="0"/>
        <w:jc w:val="both"/>
      </w:pPr>
      <w:r>
        <w:t xml:space="preserve">Managerial  (2) </w:t>
      </w:r>
    </w:p>
    <w:p w14:paraId="0D023632" w14:textId="77777777" w:rsidR="00A47B2C" w:rsidRDefault="00A47B2C" w:rsidP="00525BE0">
      <w:pPr>
        <w:pStyle w:val="ListParagraph"/>
        <w:keepNext/>
        <w:numPr>
          <w:ilvl w:val="0"/>
          <w:numId w:val="18"/>
        </w:numPr>
        <w:contextualSpacing w:val="0"/>
        <w:jc w:val="both"/>
      </w:pPr>
      <w:r>
        <w:t xml:space="preserve">Both  (3) </w:t>
      </w:r>
    </w:p>
    <w:p w14:paraId="28E5DF3A" w14:textId="77777777" w:rsidR="00A47B2C" w:rsidRDefault="00A47B2C" w:rsidP="00525BE0">
      <w:pPr>
        <w:jc w:val="both"/>
      </w:pPr>
    </w:p>
    <w:p w14:paraId="15B17D5A" w14:textId="77777777" w:rsidR="00A47B2C" w:rsidRDefault="00A47B2C" w:rsidP="00525BE0">
      <w:pPr>
        <w:pStyle w:val="QuestionSeparator"/>
        <w:jc w:val="both"/>
      </w:pPr>
    </w:p>
    <w:p w14:paraId="5522B1E5" w14:textId="77777777" w:rsidR="00A47B2C" w:rsidRDefault="00A47B2C" w:rsidP="00525BE0">
      <w:pPr>
        <w:jc w:val="both"/>
      </w:pPr>
    </w:p>
    <w:p w14:paraId="2F0F93FB" w14:textId="7FC34FFC" w:rsidR="00A47B2C" w:rsidRDefault="00A47B2C" w:rsidP="00525BE0">
      <w:pPr>
        <w:keepNext/>
        <w:jc w:val="both"/>
      </w:pPr>
      <w:r>
        <w:t>Q</w:t>
      </w:r>
      <w:r w:rsidR="00A101A3">
        <w:t>3</w:t>
      </w:r>
      <w:r>
        <w:t xml:space="preserve"> Which organisation are you from? (Optional)</w:t>
      </w:r>
    </w:p>
    <w:p w14:paraId="03ACCC58" w14:textId="77777777" w:rsidR="00A47B2C" w:rsidRDefault="00A47B2C" w:rsidP="00525BE0">
      <w:pPr>
        <w:pStyle w:val="TextEntryLine"/>
        <w:ind w:firstLine="400"/>
        <w:jc w:val="both"/>
      </w:pPr>
      <w:r>
        <w:t>________________________________________________________________</w:t>
      </w:r>
    </w:p>
    <w:p w14:paraId="1727FC60" w14:textId="77777777" w:rsidR="00A47B2C" w:rsidRDefault="00A47B2C" w:rsidP="00525BE0">
      <w:pPr>
        <w:jc w:val="both"/>
      </w:pPr>
    </w:p>
    <w:p w14:paraId="7409AF63" w14:textId="77777777" w:rsidR="00A47B2C" w:rsidRDefault="00A47B2C" w:rsidP="00525BE0">
      <w:pPr>
        <w:pStyle w:val="QuestionSeparator"/>
        <w:jc w:val="both"/>
      </w:pPr>
    </w:p>
    <w:p w14:paraId="329A51DE" w14:textId="77777777" w:rsidR="00A47B2C" w:rsidRDefault="00A47B2C" w:rsidP="00525BE0">
      <w:pPr>
        <w:jc w:val="both"/>
      </w:pPr>
    </w:p>
    <w:p w14:paraId="65437083" w14:textId="02E072DB" w:rsidR="00A47B2C" w:rsidRDefault="00A47B2C" w:rsidP="00525BE0">
      <w:pPr>
        <w:keepNext/>
        <w:jc w:val="both"/>
      </w:pPr>
      <w:r>
        <w:t>Q</w:t>
      </w:r>
      <w:r w:rsidR="00A101A3">
        <w:t>4</w:t>
      </w:r>
      <w:r>
        <w:t xml:space="preserve"> How long have you been working at your organisation?</w:t>
      </w:r>
    </w:p>
    <w:p w14:paraId="67403AA3" w14:textId="77777777" w:rsidR="00A47B2C" w:rsidRDefault="00A47B2C" w:rsidP="00525BE0">
      <w:pPr>
        <w:pStyle w:val="ListParagraph"/>
        <w:keepNext/>
        <w:numPr>
          <w:ilvl w:val="0"/>
          <w:numId w:val="18"/>
        </w:numPr>
        <w:contextualSpacing w:val="0"/>
        <w:jc w:val="both"/>
      </w:pPr>
      <w:r>
        <w:t xml:space="preserve">Less than one month  (1) </w:t>
      </w:r>
    </w:p>
    <w:p w14:paraId="26167262" w14:textId="77777777" w:rsidR="00A47B2C" w:rsidRDefault="00A47B2C" w:rsidP="00525BE0">
      <w:pPr>
        <w:pStyle w:val="ListParagraph"/>
        <w:keepNext/>
        <w:numPr>
          <w:ilvl w:val="0"/>
          <w:numId w:val="18"/>
        </w:numPr>
        <w:contextualSpacing w:val="0"/>
        <w:jc w:val="both"/>
      </w:pPr>
      <w:r>
        <w:t xml:space="preserve">1-3 months  (2) </w:t>
      </w:r>
    </w:p>
    <w:p w14:paraId="462ED40C" w14:textId="77777777" w:rsidR="00A47B2C" w:rsidRDefault="00A47B2C" w:rsidP="00525BE0">
      <w:pPr>
        <w:pStyle w:val="ListParagraph"/>
        <w:keepNext/>
        <w:numPr>
          <w:ilvl w:val="0"/>
          <w:numId w:val="18"/>
        </w:numPr>
        <w:contextualSpacing w:val="0"/>
        <w:jc w:val="both"/>
      </w:pPr>
      <w:r>
        <w:t xml:space="preserve">3 months to a year  (3) </w:t>
      </w:r>
    </w:p>
    <w:p w14:paraId="0D899DEA" w14:textId="77777777" w:rsidR="00A47B2C" w:rsidRDefault="00A47B2C" w:rsidP="00525BE0">
      <w:pPr>
        <w:pStyle w:val="ListParagraph"/>
        <w:keepNext/>
        <w:numPr>
          <w:ilvl w:val="0"/>
          <w:numId w:val="18"/>
        </w:numPr>
        <w:contextualSpacing w:val="0"/>
        <w:jc w:val="both"/>
      </w:pPr>
      <w:r>
        <w:t xml:space="preserve">More than a year  (4) </w:t>
      </w:r>
    </w:p>
    <w:p w14:paraId="737BCD68" w14:textId="77777777" w:rsidR="00A47B2C" w:rsidRDefault="00A47B2C" w:rsidP="00525BE0">
      <w:pPr>
        <w:jc w:val="both"/>
      </w:pPr>
    </w:p>
    <w:p w14:paraId="6F83FFD8" w14:textId="77777777" w:rsidR="00A47B2C" w:rsidRDefault="00A47B2C" w:rsidP="00525BE0">
      <w:pPr>
        <w:pStyle w:val="QuestionSeparator"/>
        <w:jc w:val="both"/>
      </w:pPr>
    </w:p>
    <w:p w14:paraId="35FB056B" w14:textId="77777777" w:rsidR="00A47B2C" w:rsidRDefault="00A47B2C" w:rsidP="00525BE0">
      <w:pPr>
        <w:jc w:val="both"/>
      </w:pPr>
    </w:p>
    <w:p w14:paraId="7A0BAEC3" w14:textId="77A2FC38" w:rsidR="00A47B2C" w:rsidRDefault="00A47B2C" w:rsidP="00525BE0">
      <w:pPr>
        <w:keepNext/>
        <w:jc w:val="both"/>
      </w:pPr>
      <w:r>
        <w:t>Q</w:t>
      </w:r>
      <w:r w:rsidR="00A101A3">
        <w:t>5</w:t>
      </w:r>
      <w:r>
        <w:t xml:space="preserve"> How long have you been aware of/working on the collaboration?</w:t>
      </w:r>
    </w:p>
    <w:p w14:paraId="2D3C6753" w14:textId="77777777" w:rsidR="00A47B2C" w:rsidRDefault="00A47B2C" w:rsidP="00525BE0">
      <w:pPr>
        <w:pStyle w:val="ListParagraph"/>
        <w:keepNext/>
        <w:numPr>
          <w:ilvl w:val="0"/>
          <w:numId w:val="18"/>
        </w:numPr>
        <w:contextualSpacing w:val="0"/>
        <w:jc w:val="both"/>
      </w:pPr>
      <w:r>
        <w:t xml:space="preserve">Less than one month  (1) </w:t>
      </w:r>
    </w:p>
    <w:p w14:paraId="0154B7FE" w14:textId="77777777" w:rsidR="00A47B2C" w:rsidRDefault="00A47B2C" w:rsidP="00525BE0">
      <w:pPr>
        <w:pStyle w:val="ListParagraph"/>
        <w:keepNext/>
        <w:numPr>
          <w:ilvl w:val="0"/>
          <w:numId w:val="18"/>
        </w:numPr>
        <w:contextualSpacing w:val="0"/>
        <w:jc w:val="both"/>
      </w:pPr>
      <w:r>
        <w:t xml:space="preserve">1-3 months  (2) </w:t>
      </w:r>
    </w:p>
    <w:p w14:paraId="2A2340C6" w14:textId="77777777" w:rsidR="00A47B2C" w:rsidRDefault="00A47B2C" w:rsidP="00525BE0">
      <w:pPr>
        <w:pStyle w:val="ListParagraph"/>
        <w:keepNext/>
        <w:numPr>
          <w:ilvl w:val="0"/>
          <w:numId w:val="18"/>
        </w:numPr>
        <w:contextualSpacing w:val="0"/>
        <w:jc w:val="both"/>
      </w:pPr>
      <w:r>
        <w:t xml:space="preserve">3 months to a year  (3) </w:t>
      </w:r>
    </w:p>
    <w:p w14:paraId="2578B9EF" w14:textId="77777777" w:rsidR="00A47B2C" w:rsidRDefault="00A47B2C" w:rsidP="00525BE0">
      <w:pPr>
        <w:pStyle w:val="ListParagraph"/>
        <w:keepNext/>
        <w:numPr>
          <w:ilvl w:val="0"/>
          <w:numId w:val="18"/>
        </w:numPr>
        <w:contextualSpacing w:val="0"/>
        <w:jc w:val="both"/>
      </w:pPr>
      <w:r>
        <w:t xml:space="preserve">More than a year  (4) </w:t>
      </w:r>
    </w:p>
    <w:p w14:paraId="2381C82D" w14:textId="77777777" w:rsidR="00A47B2C" w:rsidRDefault="00A47B2C" w:rsidP="00525BE0">
      <w:pPr>
        <w:jc w:val="both"/>
      </w:pPr>
    </w:p>
    <w:p w14:paraId="44E926F9" w14:textId="77777777" w:rsidR="00A47B2C" w:rsidRDefault="00A47B2C" w:rsidP="00525BE0">
      <w:pPr>
        <w:pStyle w:val="BlockEndLabel"/>
        <w:jc w:val="both"/>
      </w:pPr>
      <w:r>
        <w:t>End of Block: Participants_PreCheck</w:t>
      </w:r>
    </w:p>
    <w:p w14:paraId="3F88FEA1" w14:textId="77777777" w:rsidR="00A47B2C" w:rsidRDefault="00A47B2C" w:rsidP="00525BE0">
      <w:pPr>
        <w:pStyle w:val="BlockSeparator"/>
        <w:jc w:val="both"/>
      </w:pPr>
    </w:p>
    <w:p w14:paraId="059D3252" w14:textId="77777777" w:rsidR="00A47B2C" w:rsidRDefault="00A47B2C" w:rsidP="00525BE0">
      <w:pPr>
        <w:pStyle w:val="BlockStartLabel"/>
        <w:jc w:val="both"/>
      </w:pPr>
      <w:r>
        <w:t>Start of Block: Initial trust_PreCheck</w:t>
      </w:r>
    </w:p>
    <w:p w14:paraId="7AA0205E" w14:textId="77777777" w:rsidR="00A47B2C" w:rsidRDefault="00A47B2C" w:rsidP="00525BE0">
      <w:pPr>
        <w:jc w:val="both"/>
      </w:pPr>
    </w:p>
    <w:p w14:paraId="6C06B945" w14:textId="42B2E72F" w:rsidR="00A47B2C" w:rsidRDefault="00A47B2C" w:rsidP="00525BE0">
      <w:pPr>
        <w:keepNext/>
        <w:jc w:val="both"/>
      </w:pPr>
      <w:r>
        <w:t>Q</w:t>
      </w:r>
      <w:r w:rsidR="00B67339">
        <w:t>6</w:t>
      </w:r>
      <w:r>
        <w:t xml:space="preserve"> There are legal agreements in place that either mandate a certain level of collaborative behaviour (mandated or highly integrative collaborations) or allow for altruistic collaborative behaviour to naturally emerge (non-mandated collaborations)</w:t>
      </w:r>
    </w:p>
    <w:p w14:paraId="58FE8779" w14:textId="77777777" w:rsidR="00A47B2C" w:rsidRDefault="00A47B2C" w:rsidP="00525BE0">
      <w:pPr>
        <w:pStyle w:val="ListParagraph"/>
        <w:keepNext/>
        <w:numPr>
          <w:ilvl w:val="0"/>
          <w:numId w:val="18"/>
        </w:numPr>
        <w:contextualSpacing w:val="0"/>
        <w:jc w:val="both"/>
      </w:pPr>
      <w:r>
        <w:t xml:space="preserve">Strongly disagree  (1) </w:t>
      </w:r>
    </w:p>
    <w:p w14:paraId="37A00D17" w14:textId="77777777" w:rsidR="00A47B2C" w:rsidRDefault="00A47B2C" w:rsidP="00525BE0">
      <w:pPr>
        <w:pStyle w:val="ListParagraph"/>
        <w:keepNext/>
        <w:numPr>
          <w:ilvl w:val="0"/>
          <w:numId w:val="18"/>
        </w:numPr>
        <w:contextualSpacing w:val="0"/>
        <w:jc w:val="both"/>
      </w:pPr>
      <w:r>
        <w:t xml:space="preserve">Disagree  (2) </w:t>
      </w:r>
    </w:p>
    <w:p w14:paraId="122306EC" w14:textId="77777777" w:rsidR="00A47B2C" w:rsidRDefault="00A47B2C" w:rsidP="00525BE0">
      <w:pPr>
        <w:pStyle w:val="ListParagraph"/>
        <w:keepNext/>
        <w:numPr>
          <w:ilvl w:val="0"/>
          <w:numId w:val="18"/>
        </w:numPr>
        <w:contextualSpacing w:val="0"/>
        <w:jc w:val="both"/>
      </w:pPr>
      <w:r>
        <w:t xml:space="preserve">Neither agree nor disagree  (3) </w:t>
      </w:r>
    </w:p>
    <w:p w14:paraId="64CD3DDC" w14:textId="77777777" w:rsidR="00A47B2C" w:rsidRDefault="00A47B2C" w:rsidP="00525BE0">
      <w:pPr>
        <w:pStyle w:val="ListParagraph"/>
        <w:keepNext/>
        <w:numPr>
          <w:ilvl w:val="0"/>
          <w:numId w:val="18"/>
        </w:numPr>
        <w:contextualSpacing w:val="0"/>
        <w:jc w:val="both"/>
      </w:pPr>
      <w:r>
        <w:t xml:space="preserve">Agree  (4) </w:t>
      </w:r>
    </w:p>
    <w:p w14:paraId="30CB0E9E" w14:textId="77777777" w:rsidR="00A47B2C" w:rsidRDefault="00A47B2C" w:rsidP="00525BE0">
      <w:pPr>
        <w:pStyle w:val="ListParagraph"/>
        <w:keepNext/>
        <w:numPr>
          <w:ilvl w:val="0"/>
          <w:numId w:val="18"/>
        </w:numPr>
        <w:contextualSpacing w:val="0"/>
        <w:jc w:val="both"/>
      </w:pPr>
      <w:r>
        <w:t xml:space="preserve">Strongly agree  (5) </w:t>
      </w:r>
    </w:p>
    <w:p w14:paraId="78FC9A3D" w14:textId="77777777" w:rsidR="00A47B2C" w:rsidRDefault="00A47B2C" w:rsidP="00525BE0">
      <w:pPr>
        <w:jc w:val="both"/>
      </w:pPr>
    </w:p>
    <w:p w14:paraId="0DB60402" w14:textId="77777777" w:rsidR="00A47B2C" w:rsidRDefault="00A47B2C" w:rsidP="00525BE0">
      <w:pPr>
        <w:pStyle w:val="QuestionSeparator"/>
        <w:jc w:val="both"/>
      </w:pPr>
    </w:p>
    <w:p w14:paraId="1AC47F4B" w14:textId="77777777" w:rsidR="00A47B2C" w:rsidRDefault="00A47B2C" w:rsidP="00525BE0">
      <w:pPr>
        <w:jc w:val="both"/>
      </w:pPr>
    </w:p>
    <w:p w14:paraId="7F542D6B" w14:textId="645BC3C6" w:rsidR="00A47B2C" w:rsidRDefault="00A47B2C" w:rsidP="00525BE0">
      <w:pPr>
        <w:keepNext/>
        <w:jc w:val="both"/>
      </w:pPr>
      <w:r>
        <w:t>Q</w:t>
      </w:r>
      <w:r w:rsidR="00B67339">
        <w:t>7</w:t>
      </w:r>
      <w:r>
        <w:t xml:space="preserve"> There are problems with the way your collaborator(s) are perceived in your organisation</w:t>
      </w:r>
    </w:p>
    <w:p w14:paraId="5B5F6585" w14:textId="77777777" w:rsidR="00A47B2C" w:rsidRDefault="00A47B2C" w:rsidP="00525BE0">
      <w:pPr>
        <w:pStyle w:val="ListParagraph"/>
        <w:keepNext/>
        <w:numPr>
          <w:ilvl w:val="0"/>
          <w:numId w:val="18"/>
        </w:numPr>
        <w:contextualSpacing w:val="0"/>
        <w:jc w:val="both"/>
      </w:pPr>
      <w:r>
        <w:t xml:space="preserve">Strongly disagree  (1) </w:t>
      </w:r>
    </w:p>
    <w:p w14:paraId="75C67EB2" w14:textId="77777777" w:rsidR="00A47B2C" w:rsidRDefault="00A47B2C" w:rsidP="00525BE0">
      <w:pPr>
        <w:pStyle w:val="ListParagraph"/>
        <w:keepNext/>
        <w:numPr>
          <w:ilvl w:val="0"/>
          <w:numId w:val="18"/>
        </w:numPr>
        <w:contextualSpacing w:val="0"/>
        <w:jc w:val="both"/>
      </w:pPr>
      <w:r>
        <w:t xml:space="preserve">Disagree  (2) </w:t>
      </w:r>
    </w:p>
    <w:p w14:paraId="5AF77BA2" w14:textId="77777777" w:rsidR="00A47B2C" w:rsidRDefault="00A47B2C" w:rsidP="00525BE0">
      <w:pPr>
        <w:pStyle w:val="ListParagraph"/>
        <w:keepNext/>
        <w:numPr>
          <w:ilvl w:val="0"/>
          <w:numId w:val="18"/>
        </w:numPr>
        <w:contextualSpacing w:val="0"/>
        <w:jc w:val="both"/>
      </w:pPr>
      <w:r>
        <w:t xml:space="preserve">Neither agree nor disagree  (3) </w:t>
      </w:r>
    </w:p>
    <w:p w14:paraId="634ED130" w14:textId="77777777" w:rsidR="00A47B2C" w:rsidRDefault="00A47B2C" w:rsidP="00525BE0">
      <w:pPr>
        <w:pStyle w:val="ListParagraph"/>
        <w:keepNext/>
        <w:numPr>
          <w:ilvl w:val="0"/>
          <w:numId w:val="18"/>
        </w:numPr>
        <w:contextualSpacing w:val="0"/>
        <w:jc w:val="both"/>
      </w:pPr>
      <w:r>
        <w:t xml:space="preserve">Agree  (4) </w:t>
      </w:r>
    </w:p>
    <w:p w14:paraId="61BC0862" w14:textId="77777777" w:rsidR="00A47B2C" w:rsidRDefault="00A47B2C" w:rsidP="00525BE0">
      <w:pPr>
        <w:pStyle w:val="ListParagraph"/>
        <w:keepNext/>
        <w:numPr>
          <w:ilvl w:val="0"/>
          <w:numId w:val="18"/>
        </w:numPr>
        <w:contextualSpacing w:val="0"/>
        <w:jc w:val="both"/>
      </w:pPr>
      <w:r>
        <w:t xml:space="preserve">Strongly agree  (5) </w:t>
      </w:r>
    </w:p>
    <w:p w14:paraId="059A91AA" w14:textId="77777777" w:rsidR="00A47B2C" w:rsidRDefault="00A47B2C" w:rsidP="00525BE0">
      <w:pPr>
        <w:jc w:val="both"/>
      </w:pPr>
    </w:p>
    <w:p w14:paraId="15D2D61E" w14:textId="77777777" w:rsidR="00A47B2C" w:rsidRDefault="00A47B2C" w:rsidP="00525BE0">
      <w:pPr>
        <w:pStyle w:val="QuestionSeparator"/>
        <w:jc w:val="both"/>
      </w:pPr>
    </w:p>
    <w:p w14:paraId="546CE895" w14:textId="77777777" w:rsidR="00A47B2C" w:rsidRDefault="00A47B2C" w:rsidP="00525BE0">
      <w:pPr>
        <w:jc w:val="both"/>
      </w:pPr>
    </w:p>
    <w:p w14:paraId="712371FE" w14:textId="2F726AA2" w:rsidR="00A47B2C" w:rsidRDefault="00A47B2C" w:rsidP="00525BE0">
      <w:pPr>
        <w:keepNext/>
        <w:jc w:val="both"/>
      </w:pPr>
      <w:r>
        <w:t>Q</w:t>
      </w:r>
      <w:r w:rsidR="00B67339">
        <w:t>8</w:t>
      </w:r>
      <w:r>
        <w:t xml:space="preserve"> Do you have a positive or negative history of collaboration with your partner(s), or no history?</w:t>
      </w:r>
    </w:p>
    <w:p w14:paraId="77D9239E" w14:textId="77777777" w:rsidR="00A47B2C" w:rsidRDefault="00A47B2C" w:rsidP="00525BE0">
      <w:pPr>
        <w:pStyle w:val="ListParagraph"/>
        <w:keepNext/>
        <w:numPr>
          <w:ilvl w:val="0"/>
          <w:numId w:val="18"/>
        </w:numPr>
        <w:contextualSpacing w:val="0"/>
        <w:jc w:val="both"/>
      </w:pPr>
      <w:r>
        <w:t xml:space="preserve">Extremely negative  (1) </w:t>
      </w:r>
    </w:p>
    <w:p w14:paraId="60385876" w14:textId="77777777" w:rsidR="00A47B2C" w:rsidRDefault="00A47B2C" w:rsidP="00525BE0">
      <w:pPr>
        <w:pStyle w:val="ListParagraph"/>
        <w:keepNext/>
        <w:numPr>
          <w:ilvl w:val="0"/>
          <w:numId w:val="18"/>
        </w:numPr>
        <w:contextualSpacing w:val="0"/>
        <w:jc w:val="both"/>
      </w:pPr>
      <w:r>
        <w:t xml:space="preserve">Negative  (2) </w:t>
      </w:r>
    </w:p>
    <w:p w14:paraId="6CA68EA4" w14:textId="77777777" w:rsidR="00A47B2C" w:rsidRDefault="00A47B2C" w:rsidP="00525BE0">
      <w:pPr>
        <w:pStyle w:val="ListParagraph"/>
        <w:keepNext/>
        <w:numPr>
          <w:ilvl w:val="0"/>
          <w:numId w:val="18"/>
        </w:numPr>
        <w:contextualSpacing w:val="0"/>
        <w:jc w:val="both"/>
      </w:pPr>
      <w:r>
        <w:t xml:space="preserve">Neither positive nor negative or no history  (3) </w:t>
      </w:r>
    </w:p>
    <w:p w14:paraId="4CBB195F" w14:textId="77777777" w:rsidR="00A47B2C" w:rsidRDefault="00A47B2C" w:rsidP="00525BE0">
      <w:pPr>
        <w:pStyle w:val="ListParagraph"/>
        <w:keepNext/>
        <w:numPr>
          <w:ilvl w:val="0"/>
          <w:numId w:val="18"/>
        </w:numPr>
        <w:contextualSpacing w:val="0"/>
        <w:jc w:val="both"/>
      </w:pPr>
      <w:r>
        <w:t xml:space="preserve">Positive  (4) </w:t>
      </w:r>
    </w:p>
    <w:p w14:paraId="40C92BA7" w14:textId="77777777" w:rsidR="00A47B2C" w:rsidRDefault="00A47B2C" w:rsidP="00525BE0">
      <w:pPr>
        <w:pStyle w:val="ListParagraph"/>
        <w:keepNext/>
        <w:numPr>
          <w:ilvl w:val="0"/>
          <w:numId w:val="18"/>
        </w:numPr>
        <w:contextualSpacing w:val="0"/>
        <w:jc w:val="both"/>
      </w:pPr>
      <w:r>
        <w:t xml:space="preserve">Extremely positive  (5) </w:t>
      </w:r>
    </w:p>
    <w:p w14:paraId="009C6CDB" w14:textId="77777777" w:rsidR="00A47B2C" w:rsidRDefault="00A47B2C" w:rsidP="00525BE0">
      <w:pPr>
        <w:jc w:val="both"/>
      </w:pPr>
    </w:p>
    <w:p w14:paraId="0C08B01B" w14:textId="77777777" w:rsidR="00A47B2C" w:rsidRDefault="00A47B2C" w:rsidP="00525BE0">
      <w:pPr>
        <w:pStyle w:val="QuestionSeparator"/>
        <w:jc w:val="both"/>
      </w:pPr>
    </w:p>
    <w:p w14:paraId="4458A52C" w14:textId="77777777" w:rsidR="00A47B2C" w:rsidRDefault="00A47B2C" w:rsidP="00525BE0">
      <w:pPr>
        <w:jc w:val="both"/>
      </w:pPr>
    </w:p>
    <w:p w14:paraId="17C55228" w14:textId="53718B50" w:rsidR="00A47B2C" w:rsidRDefault="00A47B2C" w:rsidP="00525BE0">
      <w:pPr>
        <w:keepNext/>
        <w:jc w:val="both"/>
      </w:pPr>
      <w:r>
        <w:t>Q</w:t>
      </w:r>
      <w:r w:rsidR="00B67339">
        <w:t>9</w:t>
      </w:r>
      <w:r>
        <w:t xml:space="preserve"> There is a history of competition with your partner(s)</w:t>
      </w:r>
    </w:p>
    <w:p w14:paraId="07ED7724" w14:textId="77777777" w:rsidR="00A47B2C" w:rsidRDefault="00A47B2C" w:rsidP="00525BE0">
      <w:pPr>
        <w:pStyle w:val="ListParagraph"/>
        <w:keepNext/>
        <w:numPr>
          <w:ilvl w:val="0"/>
          <w:numId w:val="18"/>
        </w:numPr>
        <w:contextualSpacing w:val="0"/>
        <w:jc w:val="both"/>
      </w:pPr>
      <w:r>
        <w:t xml:space="preserve">Strongly disagree  (1) </w:t>
      </w:r>
    </w:p>
    <w:p w14:paraId="3C0052CE" w14:textId="77777777" w:rsidR="00A47B2C" w:rsidRDefault="00A47B2C" w:rsidP="00525BE0">
      <w:pPr>
        <w:pStyle w:val="ListParagraph"/>
        <w:keepNext/>
        <w:numPr>
          <w:ilvl w:val="0"/>
          <w:numId w:val="18"/>
        </w:numPr>
        <w:contextualSpacing w:val="0"/>
        <w:jc w:val="both"/>
      </w:pPr>
      <w:r>
        <w:t xml:space="preserve">Disagree  (2) </w:t>
      </w:r>
    </w:p>
    <w:p w14:paraId="7375818C" w14:textId="77777777" w:rsidR="00A47B2C" w:rsidRDefault="00A47B2C" w:rsidP="00525BE0">
      <w:pPr>
        <w:pStyle w:val="ListParagraph"/>
        <w:keepNext/>
        <w:numPr>
          <w:ilvl w:val="0"/>
          <w:numId w:val="18"/>
        </w:numPr>
        <w:contextualSpacing w:val="0"/>
        <w:jc w:val="both"/>
      </w:pPr>
      <w:r>
        <w:t xml:space="preserve">Neither agree nor disagree  (3) </w:t>
      </w:r>
    </w:p>
    <w:p w14:paraId="7DF7DA75" w14:textId="77777777" w:rsidR="00A47B2C" w:rsidRDefault="00A47B2C" w:rsidP="00525BE0">
      <w:pPr>
        <w:pStyle w:val="ListParagraph"/>
        <w:keepNext/>
        <w:numPr>
          <w:ilvl w:val="0"/>
          <w:numId w:val="18"/>
        </w:numPr>
        <w:contextualSpacing w:val="0"/>
        <w:jc w:val="both"/>
      </w:pPr>
      <w:r>
        <w:t xml:space="preserve">Agree  (4) </w:t>
      </w:r>
    </w:p>
    <w:p w14:paraId="2884AB6C" w14:textId="77777777" w:rsidR="00A47B2C" w:rsidRDefault="00A47B2C" w:rsidP="00525BE0">
      <w:pPr>
        <w:pStyle w:val="ListParagraph"/>
        <w:keepNext/>
        <w:numPr>
          <w:ilvl w:val="0"/>
          <w:numId w:val="18"/>
        </w:numPr>
        <w:contextualSpacing w:val="0"/>
        <w:jc w:val="both"/>
      </w:pPr>
      <w:r>
        <w:t xml:space="preserve">Strongly agree  (5) </w:t>
      </w:r>
    </w:p>
    <w:p w14:paraId="04B11DE3" w14:textId="77777777" w:rsidR="00A47B2C" w:rsidRDefault="00A47B2C" w:rsidP="00525BE0">
      <w:pPr>
        <w:jc w:val="both"/>
      </w:pPr>
    </w:p>
    <w:p w14:paraId="19D4442A" w14:textId="77777777" w:rsidR="00A47B2C" w:rsidRDefault="00A47B2C" w:rsidP="00525BE0">
      <w:pPr>
        <w:pStyle w:val="QuestionSeparator"/>
        <w:jc w:val="both"/>
      </w:pPr>
    </w:p>
    <w:p w14:paraId="7F47C9A8" w14:textId="77777777" w:rsidR="00A47B2C" w:rsidRDefault="00A47B2C" w:rsidP="00525BE0">
      <w:pPr>
        <w:jc w:val="both"/>
      </w:pPr>
    </w:p>
    <w:p w14:paraId="00104066" w14:textId="45FA5A52" w:rsidR="00A47B2C" w:rsidRDefault="00A47B2C" w:rsidP="00525BE0">
      <w:pPr>
        <w:keepNext/>
        <w:jc w:val="both"/>
      </w:pPr>
      <w:r>
        <w:t>Q</w:t>
      </w:r>
      <w:r w:rsidR="00B67339">
        <w:t>10</w:t>
      </w:r>
      <w:r>
        <w:t xml:space="preserve"> There a history of high-profile failures to meet standards in the local health system</w:t>
      </w:r>
    </w:p>
    <w:p w14:paraId="0A834108" w14:textId="77777777" w:rsidR="00A47B2C" w:rsidRDefault="00A47B2C" w:rsidP="00525BE0">
      <w:pPr>
        <w:pStyle w:val="ListParagraph"/>
        <w:keepNext/>
        <w:numPr>
          <w:ilvl w:val="0"/>
          <w:numId w:val="18"/>
        </w:numPr>
        <w:contextualSpacing w:val="0"/>
        <w:jc w:val="both"/>
      </w:pPr>
      <w:r>
        <w:t xml:space="preserve">Strongly disagree  (1) </w:t>
      </w:r>
    </w:p>
    <w:p w14:paraId="68627751" w14:textId="77777777" w:rsidR="00A47B2C" w:rsidRDefault="00A47B2C" w:rsidP="00525BE0">
      <w:pPr>
        <w:pStyle w:val="ListParagraph"/>
        <w:keepNext/>
        <w:numPr>
          <w:ilvl w:val="0"/>
          <w:numId w:val="18"/>
        </w:numPr>
        <w:contextualSpacing w:val="0"/>
        <w:jc w:val="both"/>
      </w:pPr>
      <w:r>
        <w:t xml:space="preserve">Disagree  (2) </w:t>
      </w:r>
    </w:p>
    <w:p w14:paraId="24885AC1" w14:textId="77777777" w:rsidR="00A47B2C" w:rsidRDefault="00A47B2C" w:rsidP="00525BE0">
      <w:pPr>
        <w:pStyle w:val="ListParagraph"/>
        <w:keepNext/>
        <w:numPr>
          <w:ilvl w:val="0"/>
          <w:numId w:val="18"/>
        </w:numPr>
        <w:contextualSpacing w:val="0"/>
        <w:jc w:val="both"/>
      </w:pPr>
      <w:r>
        <w:t xml:space="preserve">Neither agree nor disagree  (3) </w:t>
      </w:r>
    </w:p>
    <w:p w14:paraId="1E0E56D6" w14:textId="77777777" w:rsidR="00A47B2C" w:rsidRDefault="00A47B2C" w:rsidP="00525BE0">
      <w:pPr>
        <w:pStyle w:val="ListParagraph"/>
        <w:keepNext/>
        <w:numPr>
          <w:ilvl w:val="0"/>
          <w:numId w:val="18"/>
        </w:numPr>
        <w:contextualSpacing w:val="0"/>
        <w:jc w:val="both"/>
      </w:pPr>
      <w:r>
        <w:t xml:space="preserve">Agree  (4) </w:t>
      </w:r>
    </w:p>
    <w:p w14:paraId="2726167A" w14:textId="77777777" w:rsidR="00A47B2C" w:rsidRDefault="00A47B2C" w:rsidP="00525BE0">
      <w:pPr>
        <w:pStyle w:val="ListParagraph"/>
        <w:keepNext/>
        <w:numPr>
          <w:ilvl w:val="0"/>
          <w:numId w:val="18"/>
        </w:numPr>
        <w:contextualSpacing w:val="0"/>
        <w:jc w:val="both"/>
      </w:pPr>
      <w:r>
        <w:t xml:space="preserve">Strongly agree  (5) </w:t>
      </w:r>
    </w:p>
    <w:p w14:paraId="7B390BC7" w14:textId="77777777" w:rsidR="00A47B2C" w:rsidRDefault="00A47B2C" w:rsidP="00525BE0">
      <w:pPr>
        <w:jc w:val="both"/>
      </w:pPr>
    </w:p>
    <w:p w14:paraId="5685B9BE" w14:textId="77777777" w:rsidR="00A47B2C" w:rsidRDefault="00A47B2C" w:rsidP="00525BE0">
      <w:pPr>
        <w:pStyle w:val="QuestionSeparator"/>
        <w:jc w:val="both"/>
      </w:pPr>
    </w:p>
    <w:p w14:paraId="63338FF4" w14:textId="77777777" w:rsidR="00A47B2C" w:rsidRDefault="00A47B2C" w:rsidP="00525BE0">
      <w:pPr>
        <w:jc w:val="both"/>
      </w:pPr>
    </w:p>
    <w:p w14:paraId="4C266CFD" w14:textId="3067E8F6" w:rsidR="00A47B2C" w:rsidRDefault="00A47B2C" w:rsidP="00525BE0">
      <w:pPr>
        <w:keepNext/>
        <w:jc w:val="both"/>
      </w:pPr>
      <w:r>
        <w:t>Q</w:t>
      </w:r>
      <w:r w:rsidR="00B67339">
        <w:t>11</w:t>
      </w:r>
      <w:r>
        <w:t xml:space="preserve"> I perceive the balance of power in the collaboration to be balanced</w:t>
      </w:r>
    </w:p>
    <w:p w14:paraId="79300E95" w14:textId="77777777" w:rsidR="00A47B2C" w:rsidRDefault="00A47B2C" w:rsidP="00525BE0">
      <w:pPr>
        <w:pStyle w:val="ListParagraph"/>
        <w:keepNext/>
        <w:numPr>
          <w:ilvl w:val="0"/>
          <w:numId w:val="18"/>
        </w:numPr>
        <w:contextualSpacing w:val="0"/>
        <w:jc w:val="both"/>
      </w:pPr>
      <w:r>
        <w:t xml:space="preserve">Strongly disagree  (1) </w:t>
      </w:r>
    </w:p>
    <w:p w14:paraId="43AC60D1" w14:textId="77777777" w:rsidR="00A47B2C" w:rsidRDefault="00A47B2C" w:rsidP="00525BE0">
      <w:pPr>
        <w:pStyle w:val="ListParagraph"/>
        <w:keepNext/>
        <w:numPr>
          <w:ilvl w:val="0"/>
          <w:numId w:val="18"/>
        </w:numPr>
        <w:contextualSpacing w:val="0"/>
        <w:jc w:val="both"/>
      </w:pPr>
      <w:r>
        <w:t xml:space="preserve">Somewhat disagree  (2) </w:t>
      </w:r>
    </w:p>
    <w:p w14:paraId="470B00FA" w14:textId="77777777" w:rsidR="00A47B2C" w:rsidRDefault="00A47B2C" w:rsidP="00525BE0">
      <w:pPr>
        <w:pStyle w:val="ListParagraph"/>
        <w:keepNext/>
        <w:numPr>
          <w:ilvl w:val="0"/>
          <w:numId w:val="18"/>
        </w:numPr>
        <w:contextualSpacing w:val="0"/>
        <w:jc w:val="both"/>
      </w:pPr>
      <w:r>
        <w:t xml:space="preserve">Neither agree nor disagree  (3) </w:t>
      </w:r>
    </w:p>
    <w:p w14:paraId="0C314280" w14:textId="77777777" w:rsidR="00A47B2C" w:rsidRDefault="00A47B2C" w:rsidP="00525BE0">
      <w:pPr>
        <w:pStyle w:val="ListParagraph"/>
        <w:keepNext/>
        <w:numPr>
          <w:ilvl w:val="0"/>
          <w:numId w:val="18"/>
        </w:numPr>
        <w:contextualSpacing w:val="0"/>
        <w:jc w:val="both"/>
      </w:pPr>
      <w:r>
        <w:t xml:space="preserve">Somewhat agree  (4) </w:t>
      </w:r>
    </w:p>
    <w:p w14:paraId="58D0ED82" w14:textId="77777777" w:rsidR="00A47B2C" w:rsidRDefault="00A47B2C" w:rsidP="00525BE0">
      <w:pPr>
        <w:pStyle w:val="ListParagraph"/>
        <w:keepNext/>
        <w:numPr>
          <w:ilvl w:val="0"/>
          <w:numId w:val="18"/>
        </w:numPr>
        <w:contextualSpacing w:val="0"/>
        <w:jc w:val="both"/>
      </w:pPr>
      <w:r>
        <w:t xml:space="preserve">Strongly agree  (5) </w:t>
      </w:r>
    </w:p>
    <w:p w14:paraId="6234793A" w14:textId="77777777" w:rsidR="00A47B2C" w:rsidRDefault="00A47B2C" w:rsidP="00525BE0">
      <w:pPr>
        <w:jc w:val="both"/>
      </w:pPr>
    </w:p>
    <w:p w14:paraId="121BA095" w14:textId="77777777" w:rsidR="00A47B2C" w:rsidRDefault="00A47B2C" w:rsidP="00525BE0">
      <w:pPr>
        <w:pStyle w:val="QuestionSeparator"/>
        <w:jc w:val="both"/>
      </w:pPr>
    </w:p>
    <w:p w14:paraId="48EC26EE" w14:textId="77777777" w:rsidR="00A47B2C" w:rsidRDefault="00A47B2C" w:rsidP="00525BE0">
      <w:pPr>
        <w:jc w:val="both"/>
      </w:pPr>
    </w:p>
    <w:p w14:paraId="269E5825" w14:textId="1D60F1CC" w:rsidR="00A47B2C" w:rsidRDefault="00A47B2C" w:rsidP="00525BE0">
      <w:pPr>
        <w:keepNext/>
        <w:jc w:val="both"/>
      </w:pPr>
      <w:r>
        <w:t>Q</w:t>
      </w:r>
      <w:r w:rsidR="00B67339">
        <w:t>12</w:t>
      </w:r>
      <w:r>
        <w:t xml:space="preserve"> Our organisations are geographically close together (i.e., &lt;30 mins. drive)</w:t>
      </w:r>
    </w:p>
    <w:p w14:paraId="23A85B8F" w14:textId="77777777" w:rsidR="00A47B2C" w:rsidRDefault="00A47B2C" w:rsidP="00525BE0">
      <w:pPr>
        <w:pStyle w:val="ListParagraph"/>
        <w:keepNext/>
        <w:numPr>
          <w:ilvl w:val="0"/>
          <w:numId w:val="18"/>
        </w:numPr>
        <w:contextualSpacing w:val="0"/>
        <w:jc w:val="both"/>
      </w:pPr>
      <w:r>
        <w:t xml:space="preserve">Yes  (1) </w:t>
      </w:r>
    </w:p>
    <w:p w14:paraId="0CCD47CE" w14:textId="77777777" w:rsidR="00A47B2C" w:rsidRDefault="00A47B2C" w:rsidP="00525BE0">
      <w:pPr>
        <w:pStyle w:val="ListParagraph"/>
        <w:keepNext/>
        <w:numPr>
          <w:ilvl w:val="0"/>
          <w:numId w:val="18"/>
        </w:numPr>
        <w:contextualSpacing w:val="0"/>
        <w:jc w:val="both"/>
      </w:pPr>
      <w:r>
        <w:t xml:space="preserve">No  (2) </w:t>
      </w:r>
    </w:p>
    <w:p w14:paraId="3A486EEC" w14:textId="77777777" w:rsidR="00A47B2C" w:rsidRDefault="00A47B2C" w:rsidP="00525BE0">
      <w:pPr>
        <w:jc w:val="both"/>
      </w:pPr>
    </w:p>
    <w:p w14:paraId="07D41959" w14:textId="77777777" w:rsidR="00A47B2C" w:rsidRDefault="00A47B2C" w:rsidP="00525BE0">
      <w:pPr>
        <w:pStyle w:val="BlockEndLabel"/>
        <w:jc w:val="both"/>
      </w:pPr>
      <w:r>
        <w:t>End of Block: Initial trust_PreCheck</w:t>
      </w:r>
    </w:p>
    <w:p w14:paraId="6EDD14FD" w14:textId="77777777" w:rsidR="00A47B2C" w:rsidRDefault="00A47B2C" w:rsidP="00525BE0">
      <w:pPr>
        <w:pStyle w:val="BlockSeparator"/>
        <w:jc w:val="both"/>
      </w:pPr>
    </w:p>
    <w:p w14:paraId="327B2DD0" w14:textId="77777777" w:rsidR="00A47B2C" w:rsidRDefault="00A47B2C" w:rsidP="00525BE0">
      <w:pPr>
        <w:pStyle w:val="BlockStartLabel"/>
        <w:jc w:val="both"/>
      </w:pPr>
      <w:r>
        <w:t>Start of Block: Perceived legitimacy_PreCheck</w:t>
      </w:r>
    </w:p>
    <w:p w14:paraId="3A9960CD" w14:textId="77777777" w:rsidR="00A47B2C" w:rsidRDefault="00A47B2C" w:rsidP="00525BE0">
      <w:pPr>
        <w:jc w:val="both"/>
      </w:pPr>
    </w:p>
    <w:p w14:paraId="292362F4" w14:textId="2B28DD14" w:rsidR="00A47B2C" w:rsidRDefault="00A47B2C" w:rsidP="00525BE0">
      <w:pPr>
        <w:keepNext/>
        <w:jc w:val="both"/>
      </w:pPr>
      <w:r>
        <w:t>Q</w:t>
      </w:r>
      <w:r w:rsidR="00B67339">
        <w:t>13</w:t>
      </w:r>
      <w:r>
        <w:t xml:space="preserve"> Is the collaboration mandated or voluntary?</w:t>
      </w:r>
    </w:p>
    <w:p w14:paraId="4D97F33F" w14:textId="77777777" w:rsidR="00A47B2C" w:rsidRDefault="00A47B2C" w:rsidP="00525BE0">
      <w:pPr>
        <w:pStyle w:val="ListParagraph"/>
        <w:keepNext/>
        <w:numPr>
          <w:ilvl w:val="0"/>
          <w:numId w:val="18"/>
        </w:numPr>
        <w:contextualSpacing w:val="0"/>
        <w:jc w:val="both"/>
      </w:pPr>
      <w:r>
        <w:t xml:space="preserve">Mandated  (1) </w:t>
      </w:r>
    </w:p>
    <w:p w14:paraId="595B9219" w14:textId="77777777" w:rsidR="00A47B2C" w:rsidRDefault="00A47B2C" w:rsidP="00525BE0">
      <w:pPr>
        <w:pStyle w:val="ListParagraph"/>
        <w:keepNext/>
        <w:numPr>
          <w:ilvl w:val="0"/>
          <w:numId w:val="18"/>
        </w:numPr>
        <w:contextualSpacing w:val="0"/>
        <w:jc w:val="both"/>
      </w:pPr>
      <w:r>
        <w:t xml:space="preserve">Voluntary  (2) </w:t>
      </w:r>
    </w:p>
    <w:p w14:paraId="2900BD99" w14:textId="77777777" w:rsidR="00A47B2C" w:rsidRDefault="00A47B2C" w:rsidP="00525BE0">
      <w:pPr>
        <w:jc w:val="both"/>
      </w:pPr>
    </w:p>
    <w:p w14:paraId="1C765B5E" w14:textId="77777777" w:rsidR="00A47B2C" w:rsidRDefault="00A47B2C" w:rsidP="00525BE0">
      <w:pPr>
        <w:pStyle w:val="QuestionSeparator"/>
        <w:jc w:val="both"/>
      </w:pPr>
    </w:p>
    <w:p w14:paraId="039BF540" w14:textId="77777777" w:rsidR="00A47B2C" w:rsidRDefault="00A47B2C" w:rsidP="00525BE0">
      <w:pPr>
        <w:jc w:val="both"/>
      </w:pPr>
    </w:p>
    <w:p w14:paraId="111C5266" w14:textId="59B6040F" w:rsidR="00A47B2C" w:rsidRDefault="00A47B2C" w:rsidP="00525BE0">
      <w:pPr>
        <w:keepNext/>
        <w:jc w:val="both"/>
      </w:pPr>
      <w:r>
        <w:t>Q</w:t>
      </w:r>
      <w:r w:rsidR="00B67339">
        <w:t>14</w:t>
      </w:r>
      <w:r>
        <w:t xml:space="preserve"> Patient or public representatives are involved in the planning of the collaboration</w:t>
      </w:r>
    </w:p>
    <w:p w14:paraId="0691C4BC" w14:textId="77777777" w:rsidR="00A47B2C" w:rsidRDefault="00A47B2C" w:rsidP="00525BE0">
      <w:pPr>
        <w:pStyle w:val="ListParagraph"/>
        <w:keepNext/>
        <w:numPr>
          <w:ilvl w:val="0"/>
          <w:numId w:val="18"/>
        </w:numPr>
        <w:contextualSpacing w:val="0"/>
        <w:jc w:val="both"/>
      </w:pPr>
      <w:r>
        <w:t xml:space="preserve">Strongly disagree  (1) </w:t>
      </w:r>
    </w:p>
    <w:p w14:paraId="2135242F" w14:textId="77777777" w:rsidR="00A47B2C" w:rsidRDefault="00A47B2C" w:rsidP="00525BE0">
      <w:pPr>
        <w:pStyle w:val="ListParagraph"/>
        <w:keepNext/>
        <w:numPr>
          <w:ilvl w:val="0"/>
          <w:numId w:val="18"/>
        </w:numPr>
        <w:contextualSpacing w:val="0"/>
        <w:jc w:val="both"/>
      </w:pPr>
      <w:r>
        <w:t xml:space="preserve">Disagree  (2) </w:t>
      </w:r>
    </w:p>
    <w:p w14:paraId="0EB9E848" w14:textId="77777777" w:rsidR="00A47B2C" w:rsidRDefault="00A47B2C" w:rsidP="00525BE0">
      <w:pPr>
        <w:pStyle w:val="ListParagraph"/>
        <w:keepNext/>
        <w:numPr>
          <w:ilvl w:val="0"/>
          <w:numId w:val="18"/>
        </w:numPr>
        <w:contextualSpacing w:val="0"/>
        <w:jc w:val="both"/>
      </w:pPr>
      <w:r>
        <w:t xml:space="preserve">Neither agree nor disagree  (3) </w:t>
      </w:r>
    </w:p>
    <w:p w14:paraId="0D10D765" w14:textId="77777777" w:rsidR="00A47B2C" w:rsidRDefault="00A47B2C" w:rsidP="00525BE0">
      <w:pPr>
        <w:pStyle w:val="ListParagraph"/>
        <w:keepNext/>
        <w:numPr>
          <w:ilvl w:val="0"/>
          <w:numId w:val="18"/>
        </w:numPr>
        <w:contextualSpacing w:val="0"/>
        <w:jc w:val="both"/>
      </w:pPr>
      <w:r>
        <w:t xml:space="preserve">Agree  (4) </w:t>
      </w:r>
    </w:p>
    <w:p w14:paraId="5A23EADF" w14:textId="77777777" w:rsidR="00A47B2C" w:rsidRDefault="00A47B2C" w:rsidP="00525BE0">
      <w:pPr>
        <w:pStyle w:val="ListParagraph"/>
        <w:keepNext/>
        <w:numPr>
          <w:ilvl w:val="0"/>
          <w:numId w:val="18"/>
        </w:numPr>
        <w:contextualSpacing w:val="0"/>
        <w:jc w:val="both"/>
      </w:pPr>
      <w:r>
        <w:t xml:space="preserve">Strongly agree  (5) </w:t>
      </w:r>
    </w:p>
    <w:p w14:paraId="2EF65B28" w14:textId="77777777" w:rsidR="00A47B2C" w:rsidRDefault="00A47B2C" w:rsidP="00525BE0">
      <w:pPr>
        <w:jc w:val="both"/>
      </w:pPr>
    </w:p>
    <w:p w14:paraId="3C13E7D2" w14:textId="77777777" w:rsidR="00A47B2C" w:rsidRDefault="00A47B2C" w:rsidP="00525BE0">
      <w:pPr>
        <w:pStyle w:val="BlockEndLabel"/>
        <w:jc w:val="both"/>
      </w:pPr>
      <w:r>
        <w:t>End of Block: Perceived legitimacy_PreCheck</w:t>
      </w:r>
    </w:p>
    <w:p w14:paraId="62B13868" w14:textId="77777777" w:rsidR="00A47B2C" w:rsidRDefault="00A47B2C" w:rsidP="00525BE0">
      <w:pPr>
        <w:pStyle w:val="BlockSeparator"/>
        <w:jc w:val="both"/>
      </w:pPr>
    </w:p>
    <w:p w14:paraId="43CDD4CF" w14:textId="77777777" w:rsidR="00A47B2C" w:rsidRDefault="00A47B2C" w:rsidP="00525BE0">
      <w:pPr>
        <w:pStyle w:val="BlockStartLabel"/>
        <w:jc w:val="both"/>
      </w:pPr>
      <w:r>
        <w:t>Start of Block: Initial faith/task complexity_PreCheck</w:t>
      </w:r>
    </w:p>
    <w:p w14:paraId="4A69D9AC" w14:textId="77777777" w:rsidR="00A47B2C" w:rsidRDefault="00A47B2C" w:rsidP="00525BE0">
      <w:pPr>
        <w:jc w:val="both"/>
      </w:pPr>
    </w:p>
    <w:p w14:paraId="59D07878" w14:textId="36C68B57" w:rsidR="00A47B2C" w:rsidRDefault="00A47B2C" w:rsidP="00525BE0">
      <w:pPr>
        <w:keepNext/>
        <w:jc w:val="both"/>
      </w:pPr>
      <w:r>
        <w:t>Q1</w:t>
      </w:r>
      <w:r w:rsidR="00B67339">
        <w:t>5</w:t>
      </w:r>
      <w:r>
        <w:t xml:space="preserve"> My organisation is large compared to other organisations in my health system</w:t>
      </w:r>
    </w:p>
    <w:p w14:paraId="2DAA7D65" w14:textId="77777777" w:rsidR="00A47B2C" w:rsidRDefault="00A47B2C" w:rsidP="00525BE0">
      <w:pPr>
        <w:pStyle w:val="ListParagraph"/>
        <w:keepNext/>
        <w:numPr>
          <w:ilvl w:val="0"/>
          <w:numId w:val="18"/>
        </w:numPr>
        <w:contextualSpacing w:val="0"/>
        <w:jc w:val="both"/>
      </w:pPr>
      <w:r>
        <w:t xml:space="preserve">Strongly disagree  (1) </w:t>
      </w:r>
    </w:p>
    <w:p w14:paraId="00995174" w14:textId="77777777" w:rsidR="00A47B2C" w:rsidRDefault="00A47B2C" w:rsidP="00525BE0">
      <w:pPr>
        <w:pStyle w:val="ListParagraph"/>
        <w:keepNext/>
        <w:numPr>
          <w:ilvl w:val="0"/>
          <w:numId w:val="18"/>
        </w:numPr>
        <w:contextualSpacing w:val="0"/>
        <w:jc w:val="both"/>
      </w:pPr>
      <w:r>
        <w:t xml:space="preserve">Disagree  (2) </w:t>
      </w:r>
    </w:p>
    <w:p w14:paraId="14D686BE" w14:textId="77777777" w:rsidR="00A47B2C" w:rsidRDefault="00A47B2C" w:rsidP="00525BE0">
      <w:pPr>
        <w:pStyle w:val="ListParagraph"/>
        <w:keepNext/>
        <w:numPr>
          <w:ilvl w:val="0"/>
          <w:numId w:val="18"/>
        </w:numPr>
        <w:contextualSpacing w:val="0"/>
        <w:jc w:val="both"/>
      </w:pPr>
      <w:r>
        <w:t xml:space="preserve">Neither agree nor disagree  (3) </w:t>
      </w:r>
    </w:p>
    <w:p w14:paraId="04FBD1F6" w14:textId="77777777" w:rsidR="00A47B2C" w:rsidRDefault="00A47B2C" w:rsidP="00525BE0">
      <w:pPr>
        <w:pStyle w:val="ListParagraph"/>
        <w:keepNext/>
        <w:numPr>
          <w:ilvl w:val="0"/>
          <w:numId w:val="18"/>
        </w:numPr>
        <w:contextualSpacing w:val="0"/>
        <w:jc w:val="both"/>
      </w:pPr>
      <w:r>
        <w:t xml:space="preserve">Agree  (4) </w:t>
      </w:r>
    </w:p>
    <w:p w14:paraId="4BB28C6B" w14:textId="77777777" w:rsidR="00A47B2C" w:rsidRDefault="00A47B2C" w:rsidP="00525BE0">
      <w:pPr>
        <w:pStyle w:val="ListParagraph"/>
        <w:keepNext/>
        <w:numPr>
          <w:ilvl w:val="0"/>
          <w:numId w:val="18"/>
        </w:numPr>
        <w:contextualSpacing w:val="0"/>
        <w:jc w:val="both"/>
      </w:pPr>
      <w:r>
        <w:t xml:space="preserve">Strongly agree  (5) </w:t>
      </w:r>
    </w:p>
    <w:p w14:paraId="1BC1AFFD" w14:textId="77777777" w:rsidR="00A47B2C" w:rsidRDefault="00A47B2C" w:rsidP="00525BE0">
      <w:pPr>
        <w:jc w:val="both"/>
      </w:pPr>
    </w:p>
    <w:p w14:paraId="7089473D" w14:textId="77777777" w:rsidR="00A47B2C" w:rsidRDefault="00A47B2C" w:rsidP="00525BE0">
      <w:pPr>
        <w:pStyle w:val="QuestionSeparator"/>
        <w:jc w:val="both"/>
      </w:pPr>
    </w:p>
    <w:p w14:paraId="5D7ED031" w14:textId="77777777" w:rsidR="00A47B2C" w:rsidRDefault="00A47B2C" w:rsidP="00525BE0">
      <w:pPr>
        <w:jc w:val="both"/>
      </w:pPr>
    </w:p>
    <w:p w14:paraId="6505CA54" w14:textId="79DC64EA" w:rsidR="00A47B2C" w:rsidRDefault="00A47B2C" w:rsidP="00525BE0">
      <w:pPr>
        <w:keepNext/>
        <w:jc w:val="both"/>
      </w:pPr>
      <w:r>
        <w:t>Q1</w:t>
      </w:r>
      <w:r w:rsidR="00B67339">
        <w:t>6</w:t>
      </w:r>
      <w:r>
        <w:t xml:space="preserve"> There is a large number of organisations involved in our partnership</w:t>
      </w:r>
    </w:p>
    <w:p w14:paraId="2A2FF340" w14:textId="77777777" w:rsidR="00A47B2C" w:rsidRDefault="00A47B2C" w:rsidP="00525BE0">
      <w:pPr>
        <w:pStyle w:val="ListParagraph"/>
        <w:keepNext/>
        <w:numPr>
          <w:ilvl w:val="0"/>
          <w:numId w:val="18"/>
        </w:numPr>
        <w:contextualSpacing w:val="0"/>
        <w:jc w:val="both"/>
      </w:pPr>
      <w:r>
        <w:t xml:space="preserve">Strongly disagree  (1) </w:t>
      </w:r>
    </w:p>
    <w:p w14:paraId="0C93A5F6" w14:textId="77777777" w:rsidR="00A47B2C" w:rsidRDefault="00A47B2C" w:rsidP="00525BE0">
      <w:pPr>
        <w:pStyle w:val="ListParagraph"/>
        <w:keepNext/>
        <w:numPr>
          <w:ilvl w:val="0"/>
          <w:numId w:val="18"/>
        </w:numPr>
        <w:contextualSpacing w:val="0"/>
        <w:jc w:val="both"/>
      </w:pPr>
      <w:r>
        <w:t xml:space="preserve">Disagree  (2) </w:t>
      </w:r>
    </w:p>
    <w:p w14:paraId="17527B54" w14:textId="77777777" w:rsidR="00A47B2C" w:rsidRDefault="00A47B2C" w:rsidP="00525BE0">
      <w:pPr>
        <w:pStyle w:val="ListParagraph"/>
        <w:keepNext/>
        <w:numPr>
          <w:ilvl w:val="0"/>
          <w:numId w:val="18"/>
        </w:numPr>
        <w:contextualSpacing w:val="0"/>
        <w:jc w:val="both"/>
      </w:pPr>
      <w:r>
        <w:t xml:space="preserve">Neither agree nor disagree  (3) </w:t>
      </w:r>
    </w:p>
    <w:p w14:paraId="5251F864" w14:textId="77777777" w:rsidR="00A47B2C" w:rsidRDefault="00A47B2C" w:rsidP="00525BE0">
      <w:pPr>
        <w:pStyle w:val="ListParagraph"/>
        <w:keepNext/>
        <w:numPr>
          <w:ilvl w:val="0"/>
          <w:numId w:val="18"/>
        </w:numPr>
        <w:contextualSpacing w:val="0"/>
        <w:jc w:val="both"/>
      </w:pPr>
      <w:r>
        <w:t xml:space="preserve">Agree  (4) </w:t>
      </w:r>
    </w:p>
    <w:p w14:paraId="2DB2FAFB" w14:textId="77777777" w:rsidR="00A47B2C" w:rsidRDefault="00A47B2C" w:rsidP="00525BE0">
      <w:pPr>
        <w:pStyle w:val="ListParagraph"/>
        <w:keepNext/>
        <w:numPr>
          <w:ilvl w:val="0"/>
          <w:numId w:val="18"/>
        </w:numPr>
        <w:contextualSpacing w:val="0"/>
        <w:jc w:val="both"/>
      </w:pPr>
      <w:r>
        <w:t xml:space="preserve">Strongly agree  (5) </w:t>
      </w:r>
    </w:p>
    <w:p w14:paraId="4653432E" w14:textId="77777777" w:rsidR="00A47B2C" w:rsidRDefault="00A47B2C" w:rsidP="00525BE0">
      <w:pPr>
        <w:jc w:val="both"/>
      </w:pPr>
    </w:p>
    <w:p w14:paraId="034506F1" w14:textId="77777777" w:rsidR="00A47B2C" w:rsidRDefault="00A47B2C" w:rsidP="00525BE0">
      <w:pPr>
        <w:pStyle w:val="QuestionSeparator"/>
        <w:jc w:val="both"/>
      </w:pPr>
    </w:p>
    <w:p w14:paraId="0A280D1E" w14:textId="77777777" w:rsidR="00A47B2C" w:rsidRDefault="00A47B2C" w:rsidP="00525BE0">
      <w:pPr>
        <w:jc w:val="both"/>
      </w:pPr>
    </w:p>
    <w:p w14:paraId="3D8BE8E8" w14:textId="17185CD2" w:rsidR="00A47B2C" w:rsidRDefault="00A47B2C" w:rsidP="00525BE0">
      <w:pPr>
        <w:keepNext/>
        <w:jc w:val="both"/>
      </w:pPr>
      <w:r>
        <w:t>Q1</w:t>
      </w:r>
      <w:r w:rsidR="00B67339">
        <w:t>7</w:t>
      </w:r>
      <w:r>
        <w:t xml:space="preserve"> I feel there is sufficient financial resource for the effective implementation of the collaboration</w:t>
      </w:r>
    </w:p>
    <w:p w14:paraId="3B72CECF" w14:textId="77777777" w:rsidR="00A47B2C" w:rsidRDefault="00A47B2C" w:rsidP="00525BE0">
      <w:pPr>
        <w:pStyle w:val="ListParagraph"/>
        <w:keepNext/>
        <w:numPr>
          <w:ilvl w:val="0"/>
          <w:numId w:val="18"/>
        </w:numPr>
        <w:contextualSpacing w:val="0"/>
        <w:jc w:val="both"/>
      </w:pPr>
      <w:r>
        <w:t xml:space="preserve">Strongly disagree  (1) </w:t>
      </w:r>
    </w:p>
    <w:p w14:paraId="3E74B124" w14:textId="77777777" w:rsidR="00A47B2C" w:rsidRDefault="00A47B2C" w:rsidP="00525BE0">
      <w:pPr>
        <w:pStyle w:val="ListParagraph"/>
        <w:keepNext/>
        <w:numPr>
          <w:ilvl w:val="0"/>
          <w:numId w:val="18"/>
        </w:numPr>
        <w:contextualSpacing w:val="0"/>
        <w:jc w:val="both"/>
      </w:pPr>
      <w:r>
        <w:t xml:space="preserve">Disagree  (2) </w:t>
      </w:r>
    </w:p>
    <w:p w14:paraId="1DBC9908" w14:textId="77777777" w:rsidR="00A47B2C" w:rsidRDefault="00A47B2C" w:rsidP="00525BE0">
      <w:pPr>
        <w:pStyle w:val="ListParagraph"/>
        <w:keepNext/>
        <w:numPr>
          <w:ilvl w:val="0"/>
          <w:numId w:val="18"/>
        </w:numPr>
        <w:contextualSpacing w:val="0"/>
        <w:jc w:val="both"/>
      </w:pPr>
      <w:r>
        <w:t xml:space="preserve">Neither agree nor disagree  (3) </w:t>
      </w:r>
    </w:p>
    <w:p w14:paraId="67479169" w14:textId="77777777" w:rsidR="00A47B2C" w:rsidRDefault="00A47B2C" w:rsidP="00525BE0">
      <w:pPr>
        <w:pStyle w:val="ListParagraph"/>
        <w:keepNext/>
        <w:numPr>
          <w:ilvl w:val="0"/>
          <w:numId w:val="18"/>
        </w:numPr>
        <w:contextualSpacing w:val="0"/>
        <w:jc w:val="both"/>
      </w:pPr>
      <w:r>
        <w:t xml:space="preserve">Agree  (4) </w:t>
      </w:r>
    </w:p>
    <w:p w14:paraId="3FA24A40" w14:textId="77777777" w:rsidR="00A47B2C" w:rsidRDefault="00A47B2C" w:rsidP="00525BE0">
      <w:pPr>
        <w:pStyle w:val="ListParagraph"/>
        <w:keepNext/>
        <w:numPr>
          <w:ilvl w:val="0"/>
          <w:numId w:val="18"/>
        </w:numPr>
        <w:contextualSpacing w:val="0"/>
        <w:jc w:val="both"/>
      </w:pPr>
      <w:r>
        <w:t xml:space="preserve">Strongly agree  (5) </w:t>
      </w:r>
    </w:p>
    <w:p w14:paraId="500762AC" w14:textId="77777777" w:rsidR="00A47B2C" w:rsidRDefault="00A47B2C" w:rsidP="00525BE0">
      <w:pPr>
        <w:jc w:val="both"/>
      </w:pPr>
    </w:p>
    <w:p w14:paraId="46615021" w14:textId="77777777" w:rsidR="00A47B2C" w:rsidRDefault="00A47B2C" w:rsidP="00525BE0">
      <w:pPr>
        <w:pStyle w:val="QuestionSeparator"/>
        <w:jc w:val="both"/>
      </w:pPr>
    </w:p>
    <w:p w14:paraId="1E4BCE31" w14:textId="77777777" w:rsidR="00A47B2C" w:rsidRDefault="00A47B2C" w:rsidP="00525BE0">
      <w:pPr>
        <w:jc w:val="both"/>
      </w:pPr>
    </w:p>
    <w:p w14:paraId="5D31FD39" w14:textId="1CADA8DA" w:rsidR="00A47B2C" w:rsidRDefault="00A47B2C" w:rsidP="00525BE0">
      <w:pPr>
        <w:keepNext/>
        <w:jc w:val="both"/>
      </w:pPr>
      <w:r>
        <w:t>Q1</w:t>
      </w:r>
      <w:r w:rsidR="00B67339">
        <w:t>8</w:t>
      </w:r>
      <w:r>
        <w:t xml:space="preserve"> I feel there is sufficient workforce and time available for the effective implementation of the collaboration</w:t>
      </w:r>
    </w:p>
    <w:p w14:paraId="61CC6239" w14:textId="77777777" w:rsidR="00A47B2C" w:rsidRDefault="00A47B2C" w:rsidP="00525BE0">
      <w:pPr>
        <w:pStyle w:val="ListParagraph"/>
        <w:keepNext/>
        <w:numPr>
          <w:ilvl w:val="0"/>
          <w:numId w:val="18"/>
        </w:numPr>
        <w:contextualSpacing w:val="0"/>
        <w:jc w:val="both"/>
      </w:pPr>
      <w:r>
        <w:t xml:space="preserve">Strongly disagree  (1) </w:t>
      </w:r>
    </w:p>
    <w:p w14:paraId="78E121D6" w14:textId="77777777" w:rsidR="00A47B2C" w:rsidRDefault="00A47B2C" w:rsidP="00525BE0">
      <w:pPr>
        <w:pStyle w:val="ListParagraph"/>
        <w:keepNext/>
        <w:numPr>
          <w:ilvl w:val="0"/>
          <w:numId w:val="18"/>
        </w:numPr>
        <w:contextualSpacing w:val="0"/>
        <w:jc w:val="both"/>
      </w:pPr>
      <w:r>
        <w:t xml:space="preserve">Disagree  (2) </w:t>
      </w:r>
    </w:p>
    <w:p w14:paraId="6FDBF59E" w14:textId="77777777" w:rsidR="00A47B2C" w:rsidRDefault="00A47B2C" w:rsidP="00525BE0">
      <w:pPr>
        <w:pStyle w:val="ListParagraph"/>
        <w:keepNext/>
        <w:numPr>
          <w:ilvl w:val="0"/>
          <w:numId w:val="18"/>
        </w:numPr>
        <w:contextualSpacing w:val="0"/>
        <w:jc w:val="both"/>
      </w:pPr>
      <w:r>
        <w:t xml:space="preserve">Neither agree nor disagree  (3) </w:t>
      </w:r>
    </w:p>
    <w:p w14:paraId="646A975F" w14:textId="77777777" w:rsidR="00A47B2C" w:rsidRDefault="00A47B2C" w:rsidP="00525BE0">
      <w:pPr>
        <w:pStyle w:val="ListParagraph"/>
        <w:keepNext/>
        <w:numPr>
          <w:ilvl w:val="0"/>
          <w:numId w:val="18"/>
        </w:numPr>
        <w:contextualSpacing w:val="0"/>
        <w:jc w:val="both"/>
      </w:pPr>
      <w:r>
        <w:t xml:space="preserve">Agree  (4) </w:t>
      </w:r>
    </w:p>
    <w:p w14:paraId="683E03C8" w14:textId="77777777" w:rsidR="00A47B2C" w:rsidRDefault="00A47B2C" w:rsidP="00525BE0">
      <w:pPr>
        <w:pStyle w:val="ListParagraph"/>
        <w:keepNext/>
        <w:numPr>
          <w:ilvl w:val="0"/>
          <w:numId w:val="18"/>
        </w:numPr>
        <w:contextualSpacing w:val="0"/>
        <w:jc w:val="both"/>
      </w:pPr>
      <w:r>
        <w:t xml:space="preserve">Strongly agree  (5) </w:t>
      </w:r>
    </w:p>
    <w:p w14:paraId="2E23FB8E" w14:textId="77777777" w:rsidR="00A47B2C" w:rsidRDefault="00A47B2C" w:rsidP="00525BE0">
      <w:pPr>
        <w:jc w:val="both"/>
      </w:pPr>
    </w:p>
    <w:p w14:paraId="35763FA4" w14:textId="77777777" w:rsidR="00A47B2C" w:rsidRDefault="00A47B2C" w:rsidP="00525BE0">
      <w:pPr>
        <w:pStyle w:val="QuestionSeparator"/>
        <w:jc w:val="both"/>
      </w:pPr>
    </w:p>
    <w:p w14:paraId="1474543E" w14:textId="77777777" w:rsidR="00A47B2C" w:rsidRDefault="00A47B2C" w:rsidP="00525BE0">
      <w:pPr>
        <w:jc w:val="both"/>
      </w:pPr>
    </w:p>
    <w:p w14:paraId="4DD083F2" w14:textId="4D336E63" w:rsidR="00A47B2C" w:rsidRDefault="00A47B2C" w:rsidP="00525BE0">
      <w:pPr>
        <w:keepNext/>
        <w:jc w:val="both"/>
      </w:pPr>
      <w:r>
        <w:t>Q1</w:t>
      </w:r>
      <w:r w:rsidR="00B67339">
        <w:t>9</w:t>
      </w:r>
      <w:r>
        <w:t xml:space="preserve"> Is the financial resource to implement the collaboration being sourced from a third-party organisation (e.g. regulator)?</w:t>
      </w:r>
    </w:p>
    <w:p w14:paraId="5362C84F" w14:textId="77777777" w:rsidR="00A47B2C" w:rsidRDefault="00A47B2C" w:rsidP="00525BE0">
      <w:pPr>
        <w:pStyle w:val="ListParagraph"/>
        <w:keepNext/>
        <w:numPr>
          <w:ilvl w:val="0"/>
          <w:numId w:val="18"/>
        </w:numPr>
        <w:contextualSpacing w:val="0"/>
        <w:jc w:val="both"/>
      </w:pPr>
      <w:r>
        <w:t xml:space="preserve">Yes, fully  (1) </w:t>
      </w:r>
    </w:p>
    <w:p w14:paraId="0FAB6009" w14:textId="77777777" w:rsidR="00A47B2C" w:rsidRDefault="00A47B2C" w:rsidP="00525BE0">
      <w:pPr>
        <w:pStyle w:val="ListParagraph"/>
        <w:keepNext/>
        <w:numPr>
          <w:ilvl w:val="0"/>
          <w:numId w:val="18"/>
        </w:numPr>
        <w:contextualSpacing w:val="0"/>
        <w:jc w:val="both"/>
      </w:pPr>
      <w:r>
        <w:t xml:space="preserve">Partially  (2) </w:t>
      </w:r>
    </w:p>
    <w:p w14:paraId="3C8FEADF" w14:textId="77777777" w:rsidR="00A47B2C" w:rsidRDefault="00A47B2C" w:rsidP="00525BE0">
      <w:pPr>
        <w:pStyle w:val="ListParagraph"/>
        <w:keepNext/>
        <w:numPr>
          <w:ilvl w:val="0"/>
          <w:numId w:val="18"/>
        </w:numPr>
        <w:contextualSpacing w:val="0"/>
        <w:jc w:val="both"/>
      </w:pPr>
      <w:r>
        <w:t xml:space="preserve">No  (3) </w:t>
      </w:r>
    </w:p>
    <w:p w14:paraId="7832504A" w14:textId="77777777" w:rsidR="00A47B2C" w:rsidRDefault="00A47B2C" w:rsidP="00525BE0">
      <w:pPr>
        <w:jc w:val="both"/>
      </w:pPr>
    </w:p>
    <w:p w14:paraId="3D3F1A93" w14:textId="77777777" w:rsidR="00A47B2C" w:rsidRDefault="00A47B2C" w:rsidP="00525BE0">
      <w:pPr>
        <w:pStyle w:val="QuestionSeparator"/>
        <w:jc w:val="both"/>
      </w:pPr>
    </w:p>
    <w:p w14:paraId="38EB3E43" w14:textId="77777777" w:rsidR="00A47B2C" w:rsidRDefault="00A47B2C" w:rsidP="00525BE0">
      <w:pPr>
        <w:jc w:val="both"/>
      </w:pPr>
    </w:p>
    <w:p w14:paraId="33C06768" w14:textId="491EB8D6" w:rsidR="00A47B2C" w:rsidRDefault="00A47B2C" w:rsidP="00525BE0">
      <w:pPr>
        <w:keepNext/>
        <w:jc w:val="both"/>
      </w:pPr>
      <w:r>
        <w:t>Q</w:t>
      </w:r>
      <w:r w:rsidR="00B67339">
        <w:t>20</w:t>
      </w:r>
      <w:r>
        <w:t xml:space="preserve"> Would you describe the overall regulatory environment as favourable (enabling, presenting few barriers) or unfavourable (presenting many barriers) to collaboration?</w:t>
      </w:r>
    </w:p>
    <w:p w14:paraId="774BDD2A" w14:textId="77777777" w:rsidR="00A47B2C" w:rsidRDefault="00A47B2C" w:rsidP="00525BE0">
      <w:pPr>
        <w:pStyle w:val="ListParagraph"/>
        <w:keepNext/>
        <w:numPr>
          <w:ilvl w:val="0"/>
          <w:numId w:val="18"/>
        </w:numPr>
        <w:contextualSpacing w:val="0"/>
        <w:jc w:val="both"/>
      </w:pPr>
      <w:r>
        <w:t xml:space="preserve">Very favourable  (1) </w:t>
      </w:r>
    </w:p>
    <w:p w14:paraId="3470930A" w14:textId="77777777" w:rsidR="00A47B2C" w:rsidRDefault="00A47B2C" w:rsidP="00525BE0">
      <w:pPr>
        <w:pStyle w:val="ListParagraph"/>
        <w:keepNext/>
        <w:numPr>
          <w:ilvl w:val="0"/>
          <w:numId w:val="18"/>
        </w:numPr>
        <w:contextualSpacing w:val="0"/>
        <w:jc w:val="both"/>
      </w:pPr>
      <w:r>
        <w:t xml:space="preserve">Favourable  (2) </w:t>
      </w:r>
    </w:p>
    <w:p w14:paraId="5DC5A6FF" w14:textId="77777777" w:rsidR="00A47B2C" w:rsidRDefault="00A47B2C" w:rsidP="00525BE0">
      <w:pPr>
        <w:pStyle w:val="ListParagraph"/>
        <w:keepNext/>
        <w:numPr>
          <w:ilvl w:val="0"/>
          <w:numId w:val="18"/>
        </w:numPr>
        <w:contextualSpacing w:val="0"/>
        <w:jc w:val="both"/>
      </w:pPr>
      <w:r>
        <w:t xml:space="preserve">Neither favourable nor unfavourable  (3) </w:t>
      </w:r>
    </w:p>
    <w:p w14:paraId="02A45F9B" w14:textId="77777777" w:rsidR="00A47B2C" w:rsidRDefault="00A47B2C" w:rsidP="00525BE0">
      <w:pPr>
        <w:pStyle w:val="ListParagraph"/>
        <w:keepNext/>
        <w:numPr>
          <w:ilvl w:val="0"/>
          <w:numId w:val="18"/>
        </w:numPr>
        <w:contextualSpacing w:val="0"/>
        <w:jc w:val="both"/>
      </w:pPr>
      <w:r>
        <w:t xml:space="preserve">Unfavourable  (4) </w:t>
      </w:r>
    </w:p>
    <w:p w14:paraId="76F45E0D" w14:textId="77777777" w:rsidR="00A47B2C" w:rsidRDefault="00A47B2C" w:rsidP="00525BE0">
      <w:pPr>
        <w:pStyle w:val="ListParagraph"/>
        <w:keepNext/>
        <w:numPr>
          <w:ilvl w:val="0"/>
          <w:numId w:val="18"/>
        </w:numPr>
        <w:contextualSpacing w:val="0"/>
        <w:jc w:val="both"/>
      </w:pPr>
      <w:r>
        <w:t xml:space="preserve">Very unfavourable  (5) </w:t>
      </w:r>
    </w:p>
    <w:p w14:paraId="17C90107" w14:textId="77777777" w:rsidR="00A47B2C" w:rsidRDefault="00A47B2C" w:rsidP="00525BE0">
      <w:pPr>
        <w:jc w:val="both"/>
      </w:pPr>
    </w:p>
    <w:p w14:paraId="15392E1B" w14:textId="77777777" w:rsidR="00A47B2C" w:rsidRDefault="00A47B2C" w:rsidP="00525BE0">
      <w:pPr>
        <w:pStyle w:val="QuestionSeparator"/>
        <w:jc w:val="both"/>
      </w:pPr>
    </w:p>
    <w:p w14:paraId="4DAA7D00" w14:textId="77777777" w:rsidR="00A47B2C" w:rsidRDefault="00A47B2C" w:rsidP="00525BE0">
      <w:pPr>
        <w:jc w:val="both"/>
      </w:pPr>
    </w:p>
    <w:p w14:paraId="208A55E0" w14:textId="3AA5C0A9" w:rsidR="00A47B2C" w:rsidRDefault="00A47B2C" w:rsidP="00525BE0">
      <w:pPr>
        <w:keepNext/>
        <w:jc w:val="both"/>
      </w:pPr>
      <w:r>
        <w:t>Q</w:t>
      </w:r>
      <w:r w:rsidR="00B67339">
        <w:t>21</w:t>
      </w:r>
      <w:r>
        <w:t xml:space="preserve"> Legislative requirements for the type of collaboration we are implmenting make it difficult to do properly</w:t>
      </w:r>
    </w:p>
    <w:p w14:paraId="760D22ED" w14:textId="77777777" w:rsidR="00A47B2C" w:rsidRDefault="00A47B2C" w:rsidP="00525BE0">
      <w:pPr>
        <w:pStyle w:val="ListParagraph"/>
        <w:keepNext/>
        <w:numPr>
          <w:ilvl w:val="0"/>
          <w:numId w:val="18"/>
        </w:numPr>
        <w:contextualSpacing w:val="0"/>
        <w:jc w:val="both"/>
      </w:pPr>
      <w:r>
        <w:t xml:space="preserve">Strongly disagree  (1) </w:t>
      </w:r>
    </w:p>
    <w:p w14:paraId="7101D2E8" w14:textId="77777777" w:rsidR="00A47B2C" w:rsidRDefault="00A47B2C" w:rsidP="00525BE0">
      <w:pPr>
        <w:pStyle w:val="ListParagraph"/>
        <w:keepNext/>
        <w:numPr>
          <w:ilvl w:val="0"/>
          <w:numId w:val="18"/>
        </w:numPr>
        <w:contextualSpacing w:val="0"/>
        <w:jc w:val="both"/>
      </w:pPr>
      <w:r>
        <w:t xml:space="preserve">Disagree  (2) </w:t>
      </w:r>
    </w:p>
    <w:p w14:paraId="6E051560" w14:textId="77777777" w:rsidR="00A47B2C" w:rsidRDefault="00A47B2C" w:rsidP="00525BE0">
      <w:pPr>
        <w:pStyle w:val="ListParagraph"/>
        <w:keepNext/>
        <w:numPr>
          <w:ilvl w:val="0"/>
          <w:numId w:val="18"/>
        </w:numPr>
        <w:contextualSpacing w:val="0"/>
        <w:jc w:val="both"/>
      </w:pPr>
      <w:r>
        <w:t xml:space="preserve">Neither agree nor disagree  (3) </w:t>
      </w:r>
    </w:p>
    <w:p w14:paraId="5411F0E5" w14:textId="77777777" w:rsidR="00A47B2C" w:rsidRDefault="00A47B2C" w:rsidP="00525BE0">
      <w:pPr>
        <w:pStyle w:val="ListParagraph"/>
        <w:keepNext/>
        <w:numPr>
          <w:ilvl w:val="0"/>
          <w:numId w:val="18"/>
        </w:numPr>
        <w:contextualSpacing w:val="0"/>
        <w:jc w:val="both"/>
      </w:pPr>
      <w:r>
        <w:t xml:space="preserve">Agree  (4) </w:t>
      </w:r>
    </w:p>
    <w:p w14:paraId="4F53661F" w14:textId="77777777" w:rsidR="00A47B2C" w:rsidRDefault="00A47B2C" w:rsidP="00525BE0">
      <w:pPr>
        <w:pStyle w:val="ListParagraph"/>
        <w:keepNext/>
        <w:numPr>
          <w:ilvl w:val="0"/>
          <w:numId w:val="18"/>
        </w:numPr>
        <w:contextualSpacing w:val="0"/>
        <w:jc w:val="both"/>
      </w:pPr>
      <w:r>
        <w:t xml:space="preserve">Strongly agree  (5) </w:t>
      </w:r>
    </w:p>
    <w:p w14:paraId="4D818070" w14:textId="77777777" w:rsidR="00A47B2C" w:rsidRDefault="00A47B2C" w:rsidP="00525BE0">
      <w:pPr>
        <w:jc w:val="both"/>
      </w:pPr>
    </w:p>
    <w:p w14:paraId="7C2925F8" w14:textId="77777777" w:rsidR="00A47B2C" w:rsidRDefault="00A47B2C" w:rsidP="00525BE0">
      <w:pPr>
        <w:pStyle w:val="QuestionSeparator"/>
        <w:jc w:val="both"/>
      </w:pPr>
    </w:p>
    <w:p w14:paraId="51A2A0C4" w14:textId="77777777" w:rsidR="00A47B2C" w:rsidRDefault="00A47B2C" w:rsidP="00525BE0">
      <w:pPr>
        <w:jc w:val="both"/>
      </w:pPr>
    </w:p>
    <w:p w14:paraId="66FE5AD7" w14:textId="03DCE1D9" w:rsidR="00A47B2C" w:rsidRDefault="00A47B2C" w:rsidP="00525BE0">
      <w:pPr>
        <w:keepNext/>
        <w:jc w:val="both"/>
      </w:pPr>
      <w:r>
        <w:t>Q2</w:t>
      </w:r>
      <w:r w:rsidR="00B67339">
        <w:t>2</w:t>
      </w:r>
      <w:r>
        <w:t xml:space="preserve"> My organisation has a strong sense of identity and is likely to be resistant to change</w:t>
      </w:r>
    </w:p>
    <w:p w14:paraId="46EFC990" w14:textId="77777777" w:rsidR="00A47B2C" w:rsidRDefault="00A47B2C" w:rsidP="00525BE0">
      <w:pPr>
        <w:pStyle w:val="ListParagraph"/>
        <w:keepNext/>
        <w:numPr>
          <w:ilvl w:val="0"/>
          <w:numId w:val="18"/>
        </w:numPr>
        <w:contextualSpacing w:val="0"/>
        <w:jc w:val="both"/>
      </w:pPr>
      <w:r>
        <w:t xml:space="preserve">Strongly disagree  (1) </w:t>
      </w:r>
    </w:p>
    <w:p w14:paraId="781482E2" w14:textId="77777777" w:rsidR="00A47B2C" w:rsidRDefault="00A47B2C" w:rsidP="00525BE0">
      <w:pPr>
        <w:pStyle w:val="ListParagraph"/>
        <w:keepNext/>
        <w:numPr>
          <w:ilvl w:val="0"/>
          <w:numId w:val="18"/>
        </w:numPr>
        <w:contextualSpacing w:val="0"/>
        <w:jc w:val="both"/>
      </w:pPr>
      <w:r>
        <w:t xml:space="preserve">Disagree  (2) </w:t>
      </w:r>
    </w:p>
    <w:p w14:paraId="45EE15AE" w14:textId="77777777" w:rsidR="00A47B2C" w:rsidRDefault="00A47B2C" w:rsidP="00525BE0">
      <w:pPr>
        <w:pStyle w:val="ListParagraph"/>
        <w:keepNext/>
        <w:numPr>
          <w:ilvl w:val="0"/>
          <w:numId w:val="18"/>
        </w:numPr>
        <w:contextualSpacing w:val="0"/>
        <w:jc w:val="both"/>
      </w:pPr>
      <w:r>
        <w:t xml:space="preserve">Neither agree nor disagree  (3) </w:t>
      </w:r>
    </w:p>
    <w:p w14:paraId="59C29E88" w14:textId="77777777" w:rsidR="00A47B2C" w:rsidRDefault="00A47B2C" w:rsidP="00525BE0">
      <w:pPr>
        <w:pStyle w:val="ListParagraph"/>
        <w:keepNext/>
        <w:numPr>
          <w:ilvl w:val="0"/>
          <w:numId w:val="18"/>
        </w:numPr>
        <w:contextualSpacing w:val="0"/>
        <w:jc w:val="both"/>
      </w:pPr>
      <w:r>
        <w:t xml:space="preserve">Agree  (4) </w:t>
      </w:r>
    </w:p>
    <w:p w14:paraId="1A48BDF2" w14:textId="77777777" w:rsidR="00A47B2C" w:rsidRDefault="00A47B2C" w:rsidP="00525BE0">
      <w:pPr>
        <w:pStyle w:val="ListParagraph"/>
        <w:keepNext/>
        <w:numPr>
          <w:ilvl w:val="0"/>
          <w:numId w:val="18"/>
        </w:numPr>
        <w:contextualSpacing w:val="0"/>
        <w:jc w:val="both"/>
      </w:pPr>
      <w:r>
        <w:t xml:space="preserve">Strongly agree  (5) </w:t>
      </w:r>
    </w:p>
    <w:p w14:paraId="73ABAE06" w14:textId="77777777" w:rsidR="00A47B2C" w:rsidRDefault="00A47B2C" w:rsidP="00525BE0">
      <w:pPr>
        <w:jc w:val="both"/>
      </w:pPr>
    </w:p>
    <w:p w14:paraId="1C401677" w14:textId="77777777" w:rsidR="00A47B2C" w:rsidRDefault="00A47B2C" w:rsidP="00525BE0">
      <w:pPr>
        <w:pStyle w:val="BlockEndLabel"/>
        <w:jc w:val="both"/>
      </w:pPr>
      <w:r>
        <w:t>End of Block: Initial faith/task complexity_PreCheck</w:t>
      </w:r>
    </w:p>
    <w:p w14:paraId="61AA977D" w14:textId="77777777" w:rsidR="00A47B2C" w:rsidRDefault="00A47B2C" w:rsidP="00525BE0">
      <w:pPr>
        <w:pStyle w:val="BlockSeparator"/>
        <w:jc w:val="both"/>
      </w:pPr>
    </w:p>
    <w:p w14:paraId="68828274" w14:textId="77777777" w:rsidR="00A47B2C" w:rsidRDefault="00A47B2C" w:rsidP="00525BE0">
      <w:pPr>
        <w:pStyle w:val="BlockStartLabel"/>
        <w:jc w:val="both"/>
      </w:pPr>
      <w:r>
        <w:t>Start of Block: Ease of cultural integration_PreCheck</w:t>
      </w:r>
    </w:p>
    <w:p w14:paraId="71D3997E" w14:textId="77777777" w:rsidR="00A47B2C" w:rsidRDefault="00A47B2C" w:rsidP="00525BE0">
      <w:pPr>
        <w:jc w:val="both"/>
      </w:pPr>
    </w:p>
    <w:p w14:paraId="5DB4728E" w14:textId="4BD0FC20" w:rsidR="00A47B2C" w:rsidRDefault="00A47B2C" w:rsidP="00525BE0">
      <w:pPr>
        <w:keepNext/>
        <w:jc w:val="both"/>
      </w:pPr>
      <w:r>
        <w:t>Q</w:t>
      </w:r>
      <w:r w:rsidR="00B67339">
        <w:t>23</w:t>
      </w:r>
      <w:r>
        <w:t xml:space="preserve"> The collaboration involves organisations from multiple sectors (e.g., both acute and social care) or within the same sector (e.g., only acute care).</w:t>
      </w:r>
    </w:p>
    <w:p w14:paraId="6E9B8E1F" w14:textId="77777777" w:rsidR="00A47B2C" w:rsidRDefault="00A47B2C" w:rsidP="00525BE0">
      <w:pPr>
        <w:pStyle w:val="ListParagraph"/>
        <w:keepNext/>
        <w:numPr>
          <w:ilvl w:val="0"/>
          <w:numId w:val="18"/>
        </w:numPr>
        <w:contextualSpacing w:val="0"/>
        <w:jc w:val="both"/>
      </w:pPr>
      <w:r>
        <w:t xml:space="preserve">Many sectors  (1) </w:t>
      </w:r>
    </w:p>
    <w:p w14:paraId="60A8219D" w14:textId="77777777" w:rsidR="00A47B2C" w:rsidRDefault="00A47B2C" w:rsidP="00525BE0">
      <w:pPr>
        <w:pStyle w:val="ListParagraph"/>
        <w:keepNext/>
        <w:numPr>
          <w:ilvl w:val="0"/>
          <w:numId w:val="18"/>
        </w:numPr>
        <w:contextualSpacing w:val="0"/>
        <w:jc w:val="both"/>
      </w:pPr>
      <w:r>
        <w:t xml:space="preserve">Within sector  (2) </w:t>
      </w:r>
    </w:p>
    <w:p w14:paraId="2D1E62AC" w14:textId="77777777" w:rsidR="00A47B2C" w:rsidRDefault="00A47B2C" w:rsidP="00525BE0">
      <w:pPr>
        <w:jc w:val="both"/>
      </w:pPr>
    </w:p>
    <w:p w14:paraId="01BC23C6" w14:textId="77777777" w:rsidR="00A47B2C" w:rsidRDefault="00A47B2C" w:rsidP="00525BE0">
      <w:pPr>
        <w:pStyle w:val="QuestionSeparator"/>
        <w:jc w:val="both"/>
      </w:pPr>
    </w:p>
    <w:p w14:paraId="29B51AC1" w14:textId="77777777" w:rsidR="00A47B2C" w:rsidRDefault="00A47B2C" w:rsidP="00525BE0">
      <w:pPr>
        <w:jc w:val="both"/>
      </w:pPr>
    </w:p>
    <w:p w14:paraId="23D01DF5" w14:textId="2B653D9B" w:rsidR="00A47B2C" w:rsidRDefault="00A47B2C" w:rsidP="00525BE0">
      <w:pPr>
        <w:keepNext/>
        <w:jc w:val="both"/>
      </w:pPr>
      <w:r>
        <w:t>Q</w:t>
      </w:r>
      <w:r w:rsidR="00B67339">
        <w:t>24</w:t>
      </w:r>
      <w:r>
        <w:t xml:space="preserve"> Cultural due diligence has been performed to gain an understanding of where and how the collaborating organisations differ</w:t>
      </w:r>
    </w:p>
    <w:p w14:paraId="021A0132" w14:textId="77777777" w:rsidR="00A47B2C" w:rsidRDefault="00A47B2C" w:rsidP="00525BE0">
      <w:pPr>
        <w:pStyle w:val="ListParagraph"/>
        <w:keepNext/>
        <w:numPr>
          <w:ilvl w:val="0"/>
          <w:numId w:val="18"/>
        </w:numPr>
        <w:contextualSpacing w:val="0"/>
        <w:jc w:val="both"/>
      </w:pPr>
      <w:r>
        <w:t xml:space="preserve">Strongly disagree  (1) </w:t>
      </w:r>
    </w:p>
    <w:p w14:paraId="3AAC8FB0" w14:textId="77777777" w:rsidR="00A47B2C" w:rsidRDefault="00A47B2C" w:rsidP="00525BE0">
      <w:pPr>
        <w:pStyle w:val="ListParagraph"/>
        <w:keepNext/>
        <w:numPr>
          <w:ilvl w:val="0"/>
          <w:numId w:val="18"/>
        </w:numPr>
        <w:contextualSpacing w:val="0"/>
        <w:jc w:val="both"/>
      </w:pPr>
      <w:r>
        <w:t xml:space="preserve">Disagree  (2) </w:t>
      </w:r>
    </w:p>
    <w:p w14:paraId="09113972" w14:textId="77777777" w:rsidR="00A47B2C" w:rsidRDefault="00A47B2C" w:rsidP="00525BE0">
      <w:pPr>
        <w:pStyle w:val="ListParagraph"/>
        <w:keepNext/>
        <w:numPr>
          <w:ilvl w:val="0"/>
          <w:numId w:val="18"/>
        </w:numPr>
        <w:contextualSpacing w:val="0"/>
        <w:jc w:val="both"/>
      </w:pPr>
      <w:r>
        <w:t xml:space="preserve">Neither agree nor disagree  (3) </w:t>
      </w:r>
    </w:p>
    <w:p w14:paraId="74D5811C" w14:textId="77777777" w:rsidR="00A47B2C" w:rsidRDefault="00A47B2C" w:rsidP="00525BE0">
      <w:pPr>
        <w:pStyle w:val="ListParagraph"/>
        <w:keepNext/>
        <w:numPr>
          <w:ilvl w:val="0"/>
          <w:numId w:val="18"/>
        </w:numPr>
        <w:contextualSpacing w:val="0"/>
        <w:jc w:val="both"/>
      </w:pPr>
      <w:r>
        <w:t xml:space="preserve">Agree  (4) </w:t>
      </w:r>
    </w:p>
    <w:p w14:paraId="3DC6FFF0" w14:textId="77777777" w:rsidR="00A47B2C" w:rsidRDefault="00A47B2C" w:rsidP="00525BE0">
      <w:pPr>
        <w:pStyle w:val="ListParagraph"/>
        <w:keepNext/>
        <w:numPr>
          <w:ilvl w:val="0"/>
          <w:numId w:val="18"/>
        </w:numPr>
        <w:contextualSpacing w:val="0"/>
        <w:jc w:val="both"/>
      </w:pPr>
      <w:r>
        <w:t xml:space="preserve">Strongly agree  (5) </w:t>
      </w:r>
    </w:p>
    <w:p w14:paraId="16558244" w14:textId="77777777" w:rsidR="00A47B2C" w:rsidRDefault="00A47B2C" w:rsidP="00525BE0">
      <w:pPr>
        <w:jc w:val="both"/>
      </w:pPr>
    </w:p>
    <w:p w14:paraId="697329A4" w14:textId="77777777" w:rsidR="00A47B2C" w:rsidRDefault="00A47B2C" w:rsidP="00525BE0">
      <w:pPr>
        <w:pStyle w:val="QuestionSeparator"/>
        <w:jc w:val="both"/>
      </w:pPr>
    </w:p>
    <w:p w14:paraId="0211689A" w14:textId="77777777" w:rsidR="00A47B2C" w:rsidRDefault="00A47B2C" w:rsidP="00525BE0">
      <w:pPr>
        <w:jc w:val="both"/>
      </w:pPr>
    </w:p>
    <w:p w14:paraId="70E67E43" w14:textId="65F91EF3" w:rsidR="00A47B2C" w:rsidRDefault="00A47B2C" w:rsidP="00525BE0">
      <w:pPr>
        <w:keepNext/>
        <w:jc w:val="both"/>
      </w:pPr>
      <w:r>
        <w:t>Q2</w:t>
      </w:r>
      <w:r w:rsidR="00B67339">
        <w:t>5</w:t>
      </w:r>
      <w:r>
        <w:t xml:space="preserve"> Staff turnover in our organisation is typically high</w:t>
      </w:r>
    </w:p>
    <w:p w14:paraId="5586B186" w14:textId="77777777" w:rsidR="00A47B2C" w:rsidRDefault="00A47B2C" w:rsidP="00525BE0">
      <w:pPr>
        <w:pStyle w:val="ListParagraph"/>
        <w:keepNext/>
        <w:numPr>
          <w:ilvl w:val="0"/>
          <w:numId w:val="18"/>
        </w:numPr>
        <w:contextualSpacing w:val="0"/>
        <w:jc w:val="both"/>
      </w:pPr>
      <w:r>
        <w:t xml:space="preserve">Strongly disagree  (1) </w:t>
      </w:r>
    </w:p>
    <w:p w14:paraId="2B5542B7" w14:textId="77777777" w:rsidR="00A47B2C" w:rsidRDefault="00A47B2C" w:rsidP="00525BE0">
      <w:pPr>
        <w:pStyle w:val="ListParagraph"/>
        <w:keepNext/>
        <w:numPr>
          <w:ilvl w:val="0"/>
          <w:numId w:val="18"/>
        </w:numPr>
        <w:contextualSpacing w:val="0"/>
        <w:jc w:val="both"/>
      </w:pPr>
      <w:r>
        <w:t xml:space="preserve">Disagree  (2) </w:t>
      </w:r>
    </w:p>
    <w:p w14:paraId="00ED2294" w14:textId="77777777" w:rsidR="00A47B2C" w:rsidRDefault="00A47B2C" w:rsidP="00525BE0">
      <w:pPr>
        <w:pStyle w:val="ListParagraph"/>
        <w:keepNext/>
        <w:numPr>
          <w:ilvl w:val="0"/>
          <w:numId w:val="18"/>
        </w:numPr>
        <w:contextualSpacing w:val="0"/>
        <w:jc w:val="both"/>
      </w:pPr>
      <w:r>
        <w:t xml:space="preserve">Neither agree nor disagree  (3) </w:t>
      </w:r>
    </w:p>
    <w:p w14:paraId="24542ECE" w14:textId="77777777" w:rsidR="00A47B2C" w:rsidRDefault="00A47B2C" w:rsidP="00525BE0">
      <w:pPr>
        <w:pStyle w:val="ListParagraph"/>
        <w:keepNext/>
        <w:numPr>
          <w:ilvl w:val="0"/>
          <w:numId w:val="18"/>
        </w:numPr>
        <w:contextualSpacing w:val="0"/>
        <w:jc w:val="both"/>
      </w:pPr>
      <w:r>
        <w:t xml:space="preserve">Agree  (4) </w:t>
      </w:r>
    </w:p>
    <w:p w14:paraId="4C9460AA" w14:textId="77777777" w:rsidR="00A47B2C" w:rsidRDefault="00A47B2C" w:rsidP="00525BE0">
      <w:pPr>
        <w:pStyle w:val="ListParagraph"/>
        <w:keepNext/>
        <w:numPr>
          <w:ilvl w:val="0"/>
          <w:numId w:val="18"/>
        </w:numPr>
        <w:contextualSpacing w:val="0"/>
        <w:jc w:val="both"/>
      </w:pPr>
      <w:r>
        <w:t xml:space="preserve">Strongly agree  (5) </w:t>
      </w:r>
    </w:p>
    <w:p w14:paraId="734D3834" w14:textId="77777777" w:rsidR="00A47B2C" w:rsidRDefault="00A47B2C" w:rsidP="00525BE0">
      <w:pPr>
        <w:jc w:val="both"/>
      </w:pPr>
    </w:p>
    <w:p w14:paraId="74720E56" w14:textId="77777777" w:rsidR="00A47B2C" w:rsidRDefault="00A47B2C" w:rsidP="00525BE0">
      <w:pPr>
        <w:pStyle w:val="BlockEndLabel"/>
        <w:jc w:val="both"/>
      </w:pPr>
      <w:r>
        <w:t>End of Block: Ease of cultural integration_PreCheck</w:t>
      </w:r>
    </w:p>
    <w:p w14:paraId="569CE55D" w14:textId="77777777" w:rsidR="00A47B2C" w:rsidRDefault="00A47B2C" w:rsidP="00525BE0">
      <w:pPr>
        <w:pStyle w:val="BlockSeparator"/>
        <w:jc w:val="both"/>
      </w:pPr>
    </w:p>
    <w:p w14:paraId="5C17FED2" w14:textId="77777777" w:rsidR="00A47B2C" w:rsidRDefault="00A47B2C" w:rsidP="00525BE0">
      <w:pPr>
        <w:pStyle w:val="BlockStartLabel"/>
        <w:jc w:val="both"/>
      </w:pPr>
      <w:r>
        <w:t>Start of Block: Conflict resolution_PreCheck</w:t>
      </w:r>
    </w:p>
    <w:p w14:paraId="1F97968F" w14:textId="77777777" w:rsidR="00A47B2C" w:rsidRDefault="00A47B2C" w:rsidP="00525BE0">
      <w:pPr>
        <w:jc w:val="both"/>
      </w:pPr>
    </w:p>
    <w:p w14:paraId="15779E61" w14:textId="21254099" w:rsidR="00A47B2C" w:rsidRDefault="00A47B2C" w:rsidP="00525BE0">
      <w:pPr>
        <w:keepNext/>
        <w:jc w:val="both"/>
      </w:pPr>
      <w:r>
        <w:t>Q</w:t>
      </w:r>
      <w:r w:rsidR="00B67339">
        <w:t>26</w:t>
      </w:r>
      <w:r>
        <w:t xml:space="preserve"> Robust independent conflict resolution mechanisms are in place</w:t>
      </w:r>
    </w:p>
    <w:p w14:paraId="2903AC15" w14:textId="77777777" w:rsidR="00A47B2C" w:rsidRDefault="00A47B2C" w:rsidP="00525BE0">
      <w:pPr>
        <w:pStyle w:val="ListParagraph"/>
        <w:keepNext/>
        <w:numPr>
          <w:ilvl w:val="0"/>
          <w:numId w:val="18"/>
        </w:numPr>
        <w:contextualSpacing w:val="0"/>
        <w:jc w:val="both"/>
      </w:pPr>
      <w:r>
        <w:t xml:space="preserve">Strongly disagree  (1) </w:t>
      </w:r>
    </w:p>
    <w:p w14:paraId="0CED67FD" w14:textId="77777777" w:rsidR="00A47B2C" w:rsidRDefault="00A47B2C" w:rsidP="00525BE0">
      <w:pPr>
        <w:pStyle w:val="ListParagraph"/>
        <w:keepNext/>
        <w:numPr>
          <w:ilvl w:val="0"/>
          <w:numId w:val="18"/>
        </w:numPr>
        <w:contextualSpacing w:val="0"/>
        <w:jc w:val="both"/>
      </w:pPr>
      <w:r>
        <w:t xml:space="preserve">Disagree  (2) </w:t>
      </w:r>
    </w:p>
    <w:p w14:paraId="0ABB1DE5" w14:textId="77777777" w:rsidR="00A47B2C" w:rsidRDefault="00A47B2C" w:rsidP="00525BE0">
      <w:pPr>
        <w:pStyle w:val="ListParagraph"/>
        <w:keepNext/>
        <w:numPr>
          <w:ilvl w:val="0"/>
          <w:numId w:val="18"/>
        </w:numPr>
        <w:contextualSpacing w:val="0"/>
        <w:jc w:val="both"/>
      </w:pPr>
      <w:r>
        <w:t xml:space="preserve">Neither agree nor disagree  (3) </w:t>
      </w:r>
    </w:p>
    <w:p w14:paraId="47768A85" w14:textId="77777777" w:rsidR="00A47B2C" w:rsidRDefault="00A47B2C" w:rsidP="00525BE0">
      <w:pPr>
        <w:pStyle w:val="ListParagraph"/>
        <w:keepNext/>
        <w:numPr>
          <w:ilvl w:val="0"/>
          <w:numId w:val="18"/>
        </w:numPr>
        <w:contextualSpacing w:val="0"/>
        <w:jc w:val="both"/>
      </w:pPr>
      <w:r>
        <w:t xml:space="preserve">Agree  (4) </w:t>
      </w:r>
    </w:p>
    <w:p w14:paraId="29ACF03A" w14:textId="77777777" w:rsidR="00A47B2C" w:rsidRDefault="00A47B2C" w:rsidP="00525BE0">
      <w:pPr>
        <w:pStyle w:val="ListParagraph"/>
        <w:keepNext/>
        <w:numPr>
          <w:ilvl w:val="0"/>
          <w:numId w:val="18"/>
        </w:numPr>
        <w:contextualSpacing w:val="0"/>
        <w:jc w:val="both"/>
      </w:pPr>
      <w:r>
        <w:t xml:space="preserve">Strongly agree  (5) </w:t>
      </w:r>
    </w:p>
    <w:p w14:paraId="6A88A7BA" w14:textId="77777777" w:rsidR="00A47B2C" w:rsidRDefault="00A47B2C" w:rsidP="00525BE0">
      <w:pPr>
        <w:jc w:val="both"/>
      </w:pPr>
    </w:p>
    <w:p w14:paraId="17976F6D" w14:textId="77777777" w:rsidR="00A47B2C" w:rsidRDefault="00A47B2C" w:rsidP="00525BE0">
      <w:pPr>
        <w:pStyle w:val="BlockEndLabel"/>
        <w:jc w:val="both"/>
      </w:pPr>
      <w:r>
        <w:t>End of Block: Conflict resolution_PreCheck</w:t>
      </w:r>
    </w:p>
    <w:p w14:paraId="279A6ECF" w14:textId="77777777" w:rsidR="00A47B2C" w:rsidRDefault="00A47B2C" w:rsidP="00525BE0">
      <w:pPr>
        <w:pStyle w:val="BlockSeparator"/>
        <w:jc w:val="both"/>
      </w:pPr>
    </w:p>
    <w:p w14:paraId="6A99B63E" w14:textId="77777777" w:rsidR="00A47B2C" w:rsidRDefault="00A47B2C" w:rsidP="00525BE0">
      <w:pPr>
        <w:pStyle w:val="BlockStartLabel"/>
        <w:jc w:val="both"/>
      </w:pPr>
      <w:r>
        <w:t>Start of Block: Clear_Vision_PreCheck</w:t>
      </w:r>
    </w:p>
    <w:p w14:paraId="25F14776" w14:textId="77777777" w:rsidR="00A47B2C" w:rsidRDefault="00A47B2C" w:rsidP="00525BE0">
      <w:pPr>
        <w:jc w:val="both"/>
      </w:pPr>
    </w:p>
    <w:p w14:paraId="344F32AA" w14:textId="2D2BEBC6" w:rsidR="00A47B2C" w:rsidRDefault="00A47B2C" w:rsidP="00525BE0">
      <w:pPr>
        <w:keepNext/>
        <w:jc w:val="both"/>
      </w:pPr>
      <w:r>
        <w:t>Q2</w:t>
      </w:r>
      <w:r w:rsidR="00B67339">
        <w:t>7</w:t>
      </w:r>
      <w:r>
        <w:t xml:space="preserve"> I feel that the planned aims and objectives of the collaboration are clear</w:t>
      </w:r>
    </w:p>
    <w:p w14:paraId="5D577175" w14:textId="77777777" w:rsidR="00A47B2C" w:rsidRDefault="00A47B2C" w:rsidP="00525BE0">
      <w:pPr>
        <w:pStyle w:val="ListParagraph"/>
        <w:keepNext/>
        <w:numPr>
          <w:ilvl w:val="0"/>
          <w:numId w:val="18"/>
        </w:numPr>
        <w:contextualSpacing w:val="0"/>
        <w:jc w:val="both"/>
      </w:pPr>
      <w:r>
        <w:t xml:space="preserve">Strongly disagree  (1) </w:t>
      </w:r>
    </w:p>
    <w:p w14:paraId="7EA87D33" w14:textId="77777777" w:rsidR="00A47B2C" w:rsidRDefault="00A47B2C" w:rsidP="00525BE0">
      <w:pPr>
        <w:pStyle w:val="ListParagraph"/>
        <w:keepNext/>
        <w:numPr>
          <w:ilvl w:val="0"/>
          <w:numId w:val="18"/>
        </w:numPr>
        <w:contextualSpacing w:val="0"/>
        <w:jc w:val="both"/>
      </w:pPr>
      <w:r>
        <w:t xml:space="preserve">Somewhat disagree  (2) </w:t>
      </w:r>
    </w:p>
    <w:p w14:paraId="20D81CB8" w14:textId="77777777" w:rsidR="00A47B2C" w:rsidRDefault="00A47B2C" w:rsidP="00525BE0">
      <w:pPr>
        <w:pStyle w:val="ListParagraph"/>
        <w:keepNext/>
        <w:numPr>
          <w:ilvl w:val="0"/>
          <w:numId w:val="18"/>
        </w:numPr>
        <w:contextualSpacing w:val="0"/>
        <w:jc w:val="both"/>
      </w:pPr>
      <w:r>
        <w:t xml:space="preserve">Neither agree nor disagree  (3) </w:t>
      </w:r>
    </w:p>
    <w:p w14:paraId="1DD276D1" w14:textId="77777777" w:rsidR="00A47B2C" w:rsidRDefault="00A47B2C" w:rsidP="00525BE0">
      <w:pPr>
        <w:pStyle w:val="ListParagraph"/>
        <w:keepNext/>
        <w:numPr>
          <w:ilvl w:val="0"/>
          <w:numId w:val="18"/>
        </w:numPr>
        <w:contextualSpacing w:val="0"/>
        <w:jc w:val="both"/>
      </w:pPr>
      <w:r>
        <w:t xml:space="preserve">Somewhat agree  (4) </w:t>
      </w:r>
    </w:p>
    <w:p w14:paraId="2E24FDB4" w14:textId="77777777" w:rsidR="00A47B2C" w:rsidRDefault="00A47B2C" w:rsidP="00525BE0">
      <w:pPr>
        <w:pStyle w:val="ListParagraph"/>
        <w:keepNext/>
        <w:numPr>
          <w:ilvl w:val="0"/>
          <w:numId w:val="18"/>
        </w:numPr>
        <w:contextualSpacing w:val="0"/>
        <w:jc w:val="both"/>
      </w:pPr>
      <w:r>
        <w:t xml:space="preserve">Strongly agree  (5) </w:t>
      </w:r>
    </w:p>
    <w:p w14:paraId="5C25AAB2" w14:textId="77777777" w:rsidR="00A47B2C" w:rsidRDefault="00A47B2C" w:rsidP="00525BE0">
      <w:pPr>
        <w:jc w:val="both"/>
      </w:pPr>
    </w:p>
    <w:p w14:paraId="2C12535F" w14:textId="77777777" w:rsidR="00A47B2C" w:rsidRDefault="00A47B2C" w:rsidP="00525BE0">
      <w:pPr>
        <w:pStyle w:val="QuestionSeparator"/>
        <w:jc w:val="both"/>
      </w:pPr>
    </w:p>
    <w:p w14:paraId="56151BC8" w14:textId="77777777" w:rsidR="00A47B2C" w:rsidRDefault="00A47B2C" w:rsidP="00525BE0">
      <w:pPr>
        <w:jc w:val="both"/>
      </w:pPr>
    </w:p>
    <w:p w14:paraId="02D7B14F" w14:textId="0900DBA2" w:rsidR="00A47B2C" w:rsidRDefault="00A47B2C" w:rsidP="00525BE0">
      <w:pPr>
        <w:keepNext/>
        <w:jc w:val="both"/>
      </w:pPr>
      <w:r>
        <w:t>Q</w:t>
      </w:r>
      <w:r w:rsidR="00B67339">
        <w:t>28</w:t>
      </w:r>
      <w:r>
        <w:t xml:space="preserve"> I feel that there is a clear path towards achieving the improvements sought by the planned collaboration</w:t>
      </w:r>
    </w:p>
    <w:p w14:paraId="27B9DB86" w14:textId="77777777" w:rsidR="00A47B2C" w:rsidRDefault="00A47B2C" w:rsidP="00525BE0">
      <w:pPr>
        <w:pStyle w:val="ListParagraph"/>
        <w:keepNext/>
        <w:numPr>
          <w:ilvl w:val="0"/>
          <w:numId w:val="18"/>
        </w:numPr>
        <w:contextualSpacing w:val="0"/>
        <w:jc w:val="both"/>
      </w:pPr>
      <w:r>
        <w:t xml:space="preserve">Strongly disagree  (1) </w:t>
      </w:r>
    </w:p>
    <w:p w14:paraId="20276386" w14:textId="77777777" w:rsidR="00A47B2C" w:rsidRDefault="00A47B2C" w:rsidP="00525BE0">
      <w:pPr>
        <w:pStyle w:val="ListParagraph"/>
        <w:keepNext/>
        <w:numPr>
          <w:ilvl w:val="0"/>
          <w:numId w:val="18"/>
        </w:numPr>
        <w:contextualSpacing w:val="0"/>
        <w:jc w:val="both"/>
      </w:pPr>
      <w:r>
        <w:t xml:space="preserve">Somewhat disagree  (2) </w:t>
      </w:r>
    </w:p>
    <w:p w14:paraId="2221CCDF" w14:textId="77777777" w:rsidR="00A47B2C" w:rsidRDefault="00A47B2C" w:rsidP="00525BE0">
      <w:pPr>
        <w:pStyle w:val="ListParagraph"/>
        <w:keepNext/>
        <w:numPr>
          <w:ilvl w:val="0"/>
          <w:numId w:val="18"/>
        </w:numPr>
        <w:contextualSpacing w:val="0"/>
        <w:jc w:val="both"/>
      </w:pPr>
      <w:r>
        <w:t xml:space="preserve">Neither agree nor disagree  (3) </w:t>
      </w:r>
    </w:p>
    <w:p w14:paraId="05BD3B8A" w14:textId="77777777" w:rsidR="00A47B2C" w:rsidRDefault="00A47B2C" w:rsidP="00525BE0">
      <w:pPr>
        <w:pStyle w:val="ListParagraph"/>
        <w:keepNext/>
        <w:numPr>
          <w:ilvl w:val="0"/>
          <w:numId w:val="18"/>
        </w:numPr>
        <w:contextualSpacing w:val="0"/>
        <w:jc w:val="both"/>
      </w:pPr>
      <w:r>
        <w:t xml:space="preserve">Somewhat agree  (4) </w:t>
      </w:r>
    </w:p>
    <w:p w14:paraId="47A1DD45" w14:textId="77777777" w:rsidR="00A47B2C" w:rsidRDefault="00A47B2C" w:rsidP="00525BE0">
      <w:pPr>
        <w:pStyle w:val="ListParagraph"/>
        <w:keepNext/>
        <w:numPr>
          <w:ilvl w:val="0"/>
          <w:numId w:val="18"/>
        </w:numPr>
        <w:contextualSpacing w:val="0"/>
        <w:jc w:val="both"/>
      </w:pPr>
      <w:r>
        <w:t xml:space="preserve">Strongly agree  (5) </w:t>
      </w:r>
    </w:p>
    <w:p w14:paraId="27B28C7D" w14:textId="77777777" w:rsidR="00A47B2C" w:rsidRDefault="00A47B2C" w:rsidP="00525BE0">
      <w:pPr>
        <w:jc w:val="both"/>
      </w:pPr>
    </w:p>
    <w:p w14:paraId="07C46AE2" w14:textId="77777777" w:rsidR="00A47B2C" w:rsidRDefault="00A47B2C" w:rsidP="00525BE0">
      <w:pPr>
        <w:pStyle w:val="BlockEndLabel"/>
        <w:jc w:val="both"/>
      </w:pPr>
      <w:r>
        <w:t>End of Block: Clear_Vision_PreCheck</w:t>
      </w:r>
    </w:p>
    <w:p w14:paraId="154520EB" w14:textId="77777777" w:rsidR="00A47B2C" w:rsidRDefault="00A47B2C" w:rsidP="00525BE0">
      <w:pPr>
        <w:pStyle w:val="BlockSeparator"/>
        <w:jc w:val="both"/>
      </w:pPr>
    </w:p>
    <w:p w14:paraId="180C8F6C" w14:textId="77777777" w:rsidR="00A47B2C" w:rsidRDefault="00A47B2C" w:rsidP="00525BE0">
      <w:pPr>
        <w:pStyle w:val="BlockStartLabel"/>
        <w:jc w:val="both"/>
      </w:pPr>
      <w:r>
        <w:t>Start of Block: SharedVision_PreCheck</w:t>
      </w:r>
    </w:p>
    <w:p w14:paraId="34E6D09E" w14:textId="77777777" w:rsidR="00A47B2C" w:rsidRDefault="00A47B2C" w:rsidP="00525BE0">
      <w:pPr>
        <w:jc w:val="both"/>
      </w:pPr>
    </w:p>
    <w:p w14:paraId="15DE0196" w14:textId="00F67B05" w:rsidR="00A47B2C" w:rsidRDefault="00A47B2C" w:rsidP="00525BE0">
      <w:pPr>
        <w:keepNext/>
        <w:jc w:val="both"/>
      </w:pPr>
      <w:r>
        <w:t>Q</w:t>
      </w:r>
      <w:r w:rsidR="00B67339">
        <w:t>29</w:t>
      </w:r>
      <w:r>
        <w:t xml:space="preserve"> My organisation and the potential partner(s) agree on the aims and objectives of the collaboration</w:t>
      </w:r>
    </w:p>
    <w:p w14:paraId="00EF9636" w14:textId="77777777" w:rsidR="00A47B2C" w:rsidRDefault="00A47B2C" w:rsidP="00525BE0">
      <w:pPr>
        <w:pStyle w:val="ListParagraph"/>
        <w:keepNext/>
        <w:numPr>
          <w:ilvl w:val="0"/>
          <w:numId w:val="18"/>
        </w:numPr>
        <w:contextualSpacing w:val="0"/>
        <w:jc w:val="both"/>
      </w:pPr>
      <w:r>
        <w:t xml:space="preserve">Strongly disagree  (1) </w:t>
      </w:r>
    </w:p>
    <w:p w14:paraId="02624A5F" w14:textId="77777777" w:rsidR="00A47B2C" w:rsidRDefault="00A47B2C" w:rsidP="00525BE0">
      <w:pPr>
        <w:pStyle w:val="ListParagraph"/>
        <w:keepNext/>
        <w:numPr>
          <w:ilvl w:val="0"/>
          <w:numId w:val="18"/>
        </w:numPr>
        <w:contextualSpacing w:val="0"/>
        <w:jc w:val="both"/>
      </w:pPr>
      <w:r>
        <w:t xml:space="preserve">Somewhat disagree  (2) </w:t>
      </w:r>
    </w:p>
    <w:p w14:paraId="0FCBCD32" w14:textId="77777777" w:rsidR="00A47B2C" w:rsidRDefault="00A47B2C" w:rsidP="00525BE0">
      <w:pPr>
        <w:pStyle w:val="ListParagraph"/>
        <w:keepNext/>
        <w:numPr>
          <w:ilvl w:val="0"/>
          <w:numId w:val="18"/>
        </w:numPr>
        <w:contextualSpacing w:val="0"/>
        <w:jc w:val="both"/>
      </w:pPr>
      <w:r>
        <w:t xml:space="preserve">Neither agree nor disagree  (3) </w:t>
      </w:r>
    </w:p>
    <w:p w14:paraId="188BBC5C" w14:textId="77777777" w:rsidR="00A47B2C" w:rsidRDefault="00A47B2C" w:rsidP="00525BE0">
      <w:pPr>
        <w:pStyle w:val="ListParagraph"/>
        <w:keepNext/>
        <w:numPr>
          <w:ilvl w:val="0"/>
          <w:numId w:val="18"/>
        </w:numPr>
        <w:contextualSpacing w:val="0"/>
        <w:jc w:val="both"/>
      </w:pPr>
      <w:r>
        <w:t xml:space="preserve">Somewhat agree  (4) </w:t>
      </w:r>
    </w:p>
    <w:p w14:paraId="43C5E1A9" w14:textId="77777777" w:rsidR="00A47B2C" w:rsidRDefault="00A47B2C" w:rsidP="00525BE0">
      <w:pPr>
        <w:pStyle w:val="ListParagraph"/>
        <w:keepNext/>
        <w:numPr>
          <w:ilvl w:val="0"/>
          <w:numId w:val="18"/>
        </w:numPr>
        <w:contextualSpacing w:val="0"/>
        <w:jc w:val="both"/>
      </w:pPr>
      <w:r>
        <w:t xml:space="preserve">Strongly agree  (5) </w:t>
      </w:r>
    </w:p>
    <w:p w14:paraId="196EF67D" w14:textId="77777777" w:rsidR="00A47B2C" w:rsidRDefault="00A47B2C" w:rsidP="00525BE0">
      <w:pPr>
        <w:jc w:val="both"/>
      </w:pPr>
    </w:p>
    <w:p w14:paraId="50F2CC5C" w14:textId="77777777" w:rsidR="00A47B2C" w:rsidRDefault="00A47B2C" w:rsidP="00525BE0">
      <w:pPr>
        <w:pStyle w:val="QuestionSeparator"/>
        <w:jc w:val="both"/>
      </w:pPr>
    </w:p>
    <w:p w14:paraId="0D96D30C" w14:textId="77777777" w:rsidR="00A47B2C" w:rsidRDefault="00A47B2C" w:rsidP="00525BE0">
      <w:pPr>
        <w:jc w:val="both"/>
      </w:pPr>
    </w:p>
    <w:p w14:paraId="6E2B1CDE" w14:textId="0ADA25E4" w:rsidR="00A47B2C" w:rsidRDefault="00A47B2C" w:rsidP="00525BE0">
      <w:pPr>
        <w:keepNext/>
        <w:jc w:val="both"/>
      </w:pPr>
      <w:r>
        <w:t>Q3</w:t>
      </w:r>
      <w:r w:rsidR="00B67339">
        <w:t>0</w:t>
      </w:r>
      <w:r>
        <w:t xml:space="preserve"> My organisation and the potential partner(s) agree on how to achieve the aims and objectives of the collaboration</w:t>
      </w:r>
    </w:p>
    <w:p w14:paraId="06FF629E" w14:textId="77777777" w:rsidR="00A47B2C" w:rsidRDefault="00A47B2C" w:rsidP="00525BE0">
      <w:pPr>
        <w:pStyle w:val="ListParagraph"/>
        <w:keepNext/>
        <w:numPr>
          <w:ilvl w:val="0"/>
          <w:numId w:val="18"/>
        </w:numPr>
        <w:contextualSpacing w:val="0"/>
        <w:jc w:val="both"/>
      </w:pPr>
      <w:r>
        <w:t xml:space="preserve">Strongly disagree  (1) </w:t>
      </w:r>
    </w:p>
    <w:p w14:paraId="0E770584" w14:textId="77777777" w:rsidR="00A47B2C" w:rsidRDefault="00A47B2C" w:rsidP="00525BE0">
      <w:pPr>
        <w:pStyle w:val="ListParagraph"/>
        <w:keepNext/>
        <w:numPr>
          <w:ilvl w:val="0"/>
          <w:numId w:val="18"/>
        </w:numPr>
        <w:contextualSpacing w:val="0"/>
        <w:jc w:val="both"/>
      </w:pPr>
      <w:r>
        <w:t xml:space="preserve">Somewhat disagree  (2) </w:t>
      </w:r>
    </w:p>
    <w:p w14:paraId="071B62B0" w14:textId="77777777" w:rsidR="00A47B2C" w:rsidRDefault="00A47B2C" w:rsidP="00525BE0">
      <w:pPr>
        <w:pStyle w:val="ListParagraph"/>
        <w:keepNext/>
        <w:numPr>
          <w:ilvl w:val="0"/>
          <w:numId w:val="18"/>
        </w:numPr>
        <w:contextualSpacing w:val="0"/>
        <w:jc w:val="both"/>
      </w:pPr>
      <w:r>
        <w:t xml:space="preserve">Neither agree nor disagree  (3) </w:t>
      </w:r>
    </w:p>
    <w:p w14:paraId="40A5A339" w14:textId="77777777" w:rsidR="00A47B2C" w:rsidRDefault="00A47B2C" w:rsidP="00525BE0">
      <w:pPr>
        <w:pStyle w:val="ListParagraph"/>
        <w:keepNext/>
        <w:numPr>
          <w:ilvl w:val="0"/>
          <w:numId w:val="18"/>
        </w:numPr>
        <w:contextualSpacing w:val="0"/>
        <w:jc w:val="both"/>
      </w:pPr>
      <w:r>
        <w:t xml:space="preserve">Somewhat agree  (4) </w:t>
      </w:r>
    </w:p>
    <w:p w14:paraId="2D739EC5" w14:textId="77777777" w:rsidR="00A47B2C" w:rsidRDefault="00A47B2C" w:rsidP="00525BE0">
      <w:pPr>
        <w:pStyle w:val="ListParagraph"/>
        <w:keepNext/>
        <w:numPr>
          <w:ilvl w:val="0"/>
          <w:numId w:val="18"/>
        </w:numPr>
        <w:contextualSpacing w:val="0"/>
        <w:jc w:val="both"/>
      </w:pPr>
      <w:r>
        <w:t xml:space="preserve">Strongly agree  (5) </w:t>
      </w:r>
    </w:p>
    <w:p w14:paraId="479EB5F8" w14:textId="77777777" w:rsidR="00A47B2C" w:rsidRDefault="00A47B2C" w:rsidP="00525BE0">
      <w:pPr>
        <w:jc w:val="both"/>
      </w:pPr>
    </w:p>
    <w:p w14:paraId="2EB7D318" w14:textId="77777777" w:rsidR="00A47B2C" w:rsidRDefault="00A47B2C" w:rsidP="00525BE0">
      <w:pPr>
        <w:pStyle w:val="BlockEndLabel"/>
        <w:jc w:val="both"/>
      </w:pPr>
      <w:r>
        <w:t>End of Block: SharedVision_PreCheck</w:t>
      </w:r>
    </w:p>
    <w:p w14:paraId="5D2A1E0D" w14:textId="77777777" w:rsidR="00A47B2C" w:rsidRDefault="00A47B2C" w:rsidP="00525BE0">
      <w:pPr>
        <w:pStyle w:val="BlockSeparator"/>
        <w:jc w:val="both"/>
      </w:pPr>
    </w:p>
    <w:p w14:paraId="33CFCCDD" w14:textId="77777777" w:rsidR="00A47B2C" w:rsidRDefault="00A47B2C" w:rsidP="00525BE0">
      <w:pPr>
        <w:jc w:val="both"/>
      </w:pPr>
    </w:p>
    <w:p w14:paraId="0882564C" w14:textId="77777777" w:rsidR="00A47B2C" w:rsidRPr="00A47B2C" w:rsidRDefault="00A47B2C" w:rsidP="00525BE0">
      <w:pPr>
        <w:jc w:val="both"/>
      </w:pPr>
    </w:p>
    <w:p w14:paraId="5E2701AE" w14:textId="77777777" w:rsidR="000F2086" w:rsidRPr="00387D1D" w:rsidRDefault="000F2086" w:rsidP="00525BE0">
      <w:pPr>
        <w:jc w:val="both"/>
      </w:pPr>
    </w:p>
    <w:p w14:paraId="19784901" w14:textId="77777777" w:rsidR="000F2086" w:rsidRPr="00387D1D" w:rsidRDefault="000F2086" w:rsidP="00525BE0">
      <w:pPr>
        <w:jc w:val="both"/>
      </w:pPr>
    </w:p>
    <w:p w14:paraId="45E3A021" w14:textId="64A6764E" w:rsidR="000F2086" w:rsidRPr="000F2086" w:rsidRDefault="000F2086" w:rsidP="00525BE0">
      <w:pPr>
        <w:jc w:val="both"/>
      </w:pPr>
    </w:p>
    <w:sectPr w:rsidR="000F2086" w:rsidRPr="000F208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A0701" w14:textId="77777777" w:rsidR="006F2266" w:rsidRDefault="006F2266" w:rsidP="00FA5C81">
      <w:pPr>
        <w:spacing w:after="0" w:line="240" w:lineRule="auto"/>
      </w:pPr>
      <w:r>
        <w:separator/>
      </w:r>
    </w:p>
  </w:endnote>
  <w:endnote w:type="continuationSeparator" w:id="0">
    <w:p w14:paraId="462C2A1A" w14:textId="77777777" w:rsidR="006F2266" w:rsidRDefault="006F2266" w:rsidP="00FA5C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2985652"/>
      <w:docPartObj>
        <w:docPartGallery w:val="Page Numbers (Bottom of Page)"/>
        <w:docPartUnique/>
      </w:docPartObj>
    </w:sdtPr>
    <w:sdtEndPr>
      <w:rPr>
        <w:rStyle w:val="PageNumber"/>
      </w:rPr>
    </w:sdtEndPr>
    <w:sdtContent>
      <w:p w14:paraId="0A5D0AA7" w14:textId="5A02D26C" w:rsidR="00CA6096" w:rsidRDefault="00CA6096" w:rsidP="00A77C5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9E03BA5" w14:textId="77777777" w:rsidR="00CA6096" w:rsidRDefault="00CA60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46829513"/>
      <w:docPartObj>
        <w:docPartGallery w:val="Page Numbers (Bottom of Page)"/>
        <w:docPartUnique/>
      </w:docPartObj>
    </w:sdtPr>
    <w:sdtEndPr>
      <w:rPr>
        <w:rStyle w:val="PageNumber"/>
      </w:rPr>
    </w:sdtEndPr>
    <w:sdtContent>
      <w:p w14:paraId="1CDB0CBE" w14:textId="76C68253" w:rsidR="00CA6096" w:rsidRDefault="00CA6096" w:rsidP="00A77C5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6147E">
          <w:rPr>
            <w:rStyle w:val="PageNumber"/>
            <w:noProof/>
          </w:rPr>
          <w:t>22</w:t>
        </w:r>
        <w:r>
          <w:rPr>
            <w:rStyle w:val="PageNumber"/>
          </w:rPr>
          <w:fldChar w:fldCharType="end"/>
        </w:r>
      </w:p>
    </w:sdtContent>
  </w:sdt>
  <w:p w14:paraId="0E959E00" w14:textId="77777777" w:rsidR="00CA6096" w:rsidRDefault="00CA609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9480474"/>
      <w:docPartObj>
        <w:docPartGallery w:val="Page Numbers (Bottom of Page)"/>
        <w:docPartUnique/>
      </w:docPartObj>
    </w:sdtPr>
    <w:sdtEndPr>
      <w:rPr>
        <w:noProof/>
      </w:rPr>
    </w:sdtEndPr>
    <w:sdtContent>
      <w:p w14:paraId="5F6D74A8" w14:textId="6C216602" w:rsidR="00CA6096" w:rsidRDefault="00CA6096">
        <w:pPr>
          <w:pStyle w:val="Footer"/>
          <w:jc w:val="center"/>
        </w:pPr>
        <w:r>
          <w:fldChar w:fldCharType="begin"/>
        </w:r>
        <w:r>
          <w:instrText xml:space="preserve"> PAGE   \* MERGEFORMAT </w:instrText>
        </w:r>
        <w:r>
          <w:fldChar w:fldCharType="separate"/>
        </w:r>
        <w:r w:rsidR="0096147E">
          <w:rPr>
            <w:noProof/>
          </w:rPr>
          <w:t>110</w:t>
        </w:r>
        <w:r>
          <w:rPr>
            <w:noProof/>
          </w:rPr>
          <w:fldChar w:fldCharType="end"/>
        </w:r>
      </w:p>
    </w:sdtContent>
  </w:sdt>
  <w:p w14:paraId="052133B7" w14:textId="77777777" w:rsidR="00CA6096" w:rsidRDefault="00CA609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4710036"/>
      <w:docPartObj>
        <w:docPartGallery w:val="Page Numbers (Bottom of Page)"/>
        <w:docPartUnique/>
      </w:docPartObj>
    </w:sdtPr>
    <w:sdtEndPr>
      <w:rPr>
        <w:noProof/>
      </w:rPr>
    </w:sdtEndPr>
    <w:sdtContent>
      <w:p w14:paraId="46D9927F" w14:textId="5165D64D" w:rsidR="00CA6096" w:rsidRDefault="00CA6096" w:rsidP="00A77C56">
        <w:pPr>
          <w:pStyle w:val="Footer"/>
        </w:pPr>
        <w:r>
          <w:fldChar w:fldCharType="begin"/>
        </w:r>
        <w:r>
          <w:instrText xml:space="preserve"> PAGE   \* MERGEFORMAT </w:instrText>
        </w:r>
        <w:r>
          <w:fldChar w:fldCharType="separate"/>
        </w:r>
        <w:r w:rsidR="0096147E">
          <w:rPr>
            <w:noProof/>
          </w:rPr>
          <w:t>129</w:t>
        </w:r>
        <w:r>
          <w:rPr>
            <w:noProof/>
          </w:rPr>
          <w:fldChar w:fldCharType="end"/>
        </w:r>
      </w:p>
    </w:sdtContent>
  </w:sdt>
  <w:p w14:paraId="23D5DC18" w14:textId="77777777" w:rsidR="00CA6096" w:rsidRDefault="00CA6096" w:rsidP="00A77C56">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14636978"/>
      <w:docPartObj>
        <w:docPartGallery w:val="Page Numbers (Bottom of Page)"/>
        <w:docPartUnique/>
      </w:docPartObj>
    </w:sdtPr>
    <w:sdtEndPr>
      <w:rPr>
        <w:rStyle w:val="PageNumber"/>
      </w:rPr>
    </w:sdtEndPr>
    <w:sdtContent>
      <w:p w14:paraId="17B4DC85" w14:textId="77777777" w:rsidR="00CA6096" w:rsidRDefault="00CA6096" w:rsidP="007873A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07C93CA" w14:textId="77777777" w:rsidR="00CA6096" w:rsidRDefault="00CA609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67821458"/>
      <w:docPartObj>
        <w:docPartGallery w:val="Page Numbers (Bottom of Page)"/>
        <w:docPartUnique/>
      </w:docPartObj>
    </w:sdtPr>
    <w:sdtEndPr>
      <w:rPr>
        <w:rStyle w:val="PageNumber"/>
      </w:rPr>
    </w:sdtEndPr>
    <w:sdtContent>
      <w:p w14:paraId="73C4D783" w14:textId="2FE9187D" w:rsidR="00CA6096" w:rsidRDefault="00CA6096" w:rsidP="007873A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6147E">
          <w:rPr>
            <w:rStyle w:val="PageNumber"/>
            <w:noProof/>
          </w:rPr>
          <w:t>144</w:t>
        </w:r>
        <w:r>
          <w:rPr>
            <w:rStyle w:val="PageNumber"/>
          </w:rPr>
          <w:fldChar w:fldCharType="end"/>
        </w:r>
      </w:p>
    </w:sdtContent>
  </w:sdt>
  <w:p w14:paraId="618CA8C9" w14:textId="77777777" w:rsidR="00CA6096" w:rsidRDefault="00CA6096">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82575344"/>
      <w:docPartObj>
        <w:docPartGallery w:val="Page Numbers (Bottom of Page)"/>
        <w:docPartUnique/>
      </w:docPartObj>
    </w:sdtPr>
    <w:sdtEndPr>
      <w:rPr>
        <w:rStyle w:val="PageNumber"/>
      </w:rPr>
    </w:sdtEndPr>
    <w:sdtContent>
      <w:p w14:paraId="2FE0634B" w14:textId="77777777" w:rsidR="00CA6096" w:rsidRDefault="00CA6096" w:rsidP="00A77C5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E4E011F" w14:textId="77777777" w:rsidR="00CA6096" w:rsidRDefault="00CA6096">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39739839"/>
      <w:docPartObj>
        <w:docPartGallery w:val="Page Numbers (Bottom of Page)"/>
        <w:docPartUnique/>
      </w:docPartObj>
    </w:sdtPr>
    <w:sdtEndPr>
      <w:rPr>
        <w:rStyle w:val="PageNumber"/>
      </w:rPr>
    </w:sdtEndPr>
    <w:sdtContent>
      <w:p w14:paraId="5C584B10" w14:textId="39A5ECA7" w:rsidR="00CA6096" w:rsidRDefault="00CA6096" w:rsidP="00A77C5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6147E">
          <w:rPr>
            <w:rStyle w:val="PageNumber"/>
            <w:noProof/>
          </w:rPr>
          <w:t>196</w:t>
        </w:r>
        <w:r>
          <w:rPr>
            <w:rStyle w:val="PageNumber"/>
          </w:rPr>
          <w:fldChar w:fldCharType="end"/>
        </w:r>
      </w:p>
    </w:sdtContent>
  </w:sdt>
  <w:p w14:paraId="42447EF4" w14:textId="77777777" w:rsidR="00CA6096" w:rsidRDefault="00CA60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F507AC" w14:textId="77777777" w:rsidR="006F2266" w:rsidRDefault="006F2266" w:rsidP="00FA5C81">
      <w:pPr>
        <w:spacing w:after="0" w:line="240" w:lineRule="auto"/>
      </w:pPr>
      <w:r>
        <w:separator/>
      </w:r>
    </w:p>
  </w:footnote>
  <w:footnote w:type="continuationSeparator" w:id="0">
    <w:p w14:paraId="75CD6589" w14:textId="77777777" w:rsidR="006F2266" w:rsidRDefault="006F2266" w:rsidP="00FA5C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BC89F" w14:textId="3E21EA71" w:rsidR="00CA6096" w:rsidRDefault="00CA609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2A1E8" w14:textId="77777777" w:rsidR="00CA6096" w:rsidRDefault="00CA6096" w:rsidP="00A77C56">
    <w:pPr>
      <w:pStyle w:val="Header"/>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C835A5"/>
    <w:multiLevelType w:val="hybridMultilevel"/>
    <w:tmpl w:val="505AF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F24B31"/>
    <w:multiLevelType w:val="hybridMultilevel"/>
    <w:tmpl w:val="146E23E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C6C3BAA"/>
    <w:multiLevelType w:val="hybridMultilevel"/>
    <w:tmpl w:val="5A3036E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EA0BF6"/>
    <w:multiLevelType w:val="multilevel"/>
    <w:tmpl w:val="0409001D"/>
    <w:numStyleLink w:val="Singlepunch"/>
  </w:abstractNum>
  <w:abstractNum w:abstractNumId="5" w15:restartNumberingAfterBreak="0">
    <w:nsid w:val="16C65291"/>
    <w:multiLevelType w:val="hybridMultilevel"/>
    <w:tmpl w:val="6EFC47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576752"/>
    <w:multiLevelType w:val="hybridMultilevel"/>
    <w:tmpl w:val="181A24FE"/>
    <w:lvl w:ilvl="0" w:tplc="29527A3C">
      <w:numFmt w:val="bullet"/>
      <w:lvlText w:val="•"/>
      <w:lvlJc w:val="left"/>
      <w:pPr>
        <w:ind w:left="720" w:hanging="360"/>
      </w:pPr>
      <w:rPr>
        <w:rFonts w:asciiTheme="minorHAnsi" w:eastAsiaTheme="minorHAnsi" w:hAnsiTheme="minorHAns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6C10E8"/>
    <w:multiLevelType w:val="hybridMultilevel"/>
    <w:tmpl w:val="D076FFC0"/>
    <w:lvl w:ilvl="0" w:tplc="2D0EFB42">
      <w:start w:val="1"/>
      <w:numFmt w:val="decimal"/>
      <w:lvlText w:val="%1."/>
      <w:lvlJc w:val="left"/>
      <w:pPr>
        <w:ind w:left="720" w:hanging="360"/>
      </w:pPr>
      <w:rPr>
        <w:rFonts w:ascii="Calibri" w:hAnsi="Calibri" w:cs="Calibri" w:hint="default"/>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5FB42CE"/>
    <w:multiLevelType w:val="hybridMultilevel"/>
    <w:tmpl w:val="A77E06E4"/>
    <w:lvl w:ilvl="0" w:tplc="0809000F">
      <w:start w:val="1"/>
      <w:numFmt w:val="decimal"/>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49A4621"/>
    <w:multiLevelType w:val="hybridMultilevel"/>
    <w:tmpl w:val="4684A7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4EB4B84"/>
    <w:multiLevelType w:val="hybridMultilevel"/>
    <w:tmpl w:val="71A68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D3A2547"/>
    <w:multiLevelType w:val="hybridMultilevel"/>
    <w:tmpl w:val="7E76E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2778A6"/>
    <w:multiLevelType w:val="multilevel"/>
    <w:tmpl w:val="0409001D"/>
    <w:styleLink w:val="Singlepunch"/>
    <w:lvl w:ilvl="0">
      <w:start w:val="1"/>
      <w:numFmt w:val="bullet"/>
      <w:lvlText w:val="o"/>
      <w:lvlJc w:val="left"/>
      <w:pPr>
        <w:spacing w:before="120"/>
        <w:ind w:left="360"/>
      </w:pPr>
      <w:rPr>
        <w:rFonts w:ascii="Courier New" w:eastAsia="Courier New" w:hAnsi="Courier New" w:cs="Courier New"/>
        <w:color w:val="BFBFBF"/>
        <w:sz w:val="5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2B3612C"/>
    <w:multiLevelType w:val="hybridMultilevel"/>
    <w:tmpl w:val="F322E11E"/>
    <w:lvl w:ilvl="0" w:tplc="29527A3C">
      <w:numFmt w:val="bullet"/>
      <w:lvlText w:val="•"/>
      <w:lvlJc w:val="left"/>
      <w:pPr>
        <w:ind w:left="720" w:hanging="360"/>
      </w:pPr>
      <w:rPr>
        <w:rFonts w:asciiTheme="minorHAnsi" w:eastAsiaTheme="minorHAnsi" w:hAnsiTheme="minorHAns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73A273C"/>
    <w:multiLevelType w:val="hybridMultilevel"/>
    <w:tmpl w:val="038C55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7FD4294"/>
    <w:multiLevelType w:val="hybridMultilevel"/>
    <w:tmpl w:val="E2E02D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5D0D7B7F"/>
    <w:multiLevelType w:val="hybridMultilevel"/>
    <w:tmpl w:val="3AE0EE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60001D4A"/>
    <w:multiLevelType w:val="hybridMultilevel"/>
    <w:tmpl w:val="54D85E9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66FA553A"/>
    <w:multiLevelType w:val="hybridMultilevel"/>
    <w:tmpl w:val="893071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6A2730C5"/>
    <w:multiLevelType w:val="hybridMultilevel"/>
    <w:tmpl w:val="7DA0D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A3C4A71"/>
    <w:multiLevelType w:val="hybridMultilevel"/>
    <w:tmpl w:val="4A5E83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06D46E1"/>
    <w:multiLevelType w:val="hybridMultilevel"/>
    <w:tmpl w:val="FBAC7C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77275D36"/>
    <w:multiLevelType w:val="hybridMultilevel"/>
    <w:tmpl w:val="60D8A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78F779E"/>
    <w:multiLevelType w:val="hybridMultilevel"/>
    <w:tmpl w:val="5D42F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A11CB9"/>
    <w:multiLevelType w:val="hybridMultilevel"/>
    <w:tmpl w:val="30CC7F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79731048"/>
    <w:multiLevelType w:val="hybridMultilevel"/>
    <w:tmpl w:val="819847B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8"/>
  </w:num>
  <w:num w:numId="2">
    <w:abstractNumId w:val="22"/>
  </w:num>
  <w:num w:numId="3">
    <w:abstractNumId w:val="21"/>
  </w:num>
  <w:num w:numId="4">
    <w:abstractNumId w:val="18"/>
  </w:num>
  <w:num w:numId="5">
    <w:abstractNumId w:val="16"/>
  </w:num>
  <w:num w:numId="6">
    <w:abstractNumId w:val="15"/>
  </w:num>
  <w:num w:numId="7">
    <w:abstractNumId w:val="9"/>
  </w:num>
  <w:num w:numId="8">
    <w:abstractNumId w:val="24"/>
  </w:num>
  <w:num w:numId="9">
    <w:abstractNumId w:val="1"/>
  </w:num>
  <w:num w:numId="10">
    <w:abstractNumId w:val="17"/>
  </w:num>
  <w:num w:numId="11">
    <w:abstractNumId w:val="23"/>
  </w:num>
  <w:num w:numId="12">
    <w:abstractNumId w:val="2"/>
  </w:num>
  <w:num w:numId="13">
    <w:abstractNumId w:val="0"/>
  </w:num>
  <w:num w:numId="14">
    <w:abstractNumId w:val="5"/>
  </w:num>
  <w:num w:numId="15">
    <w:abstractNumId w:val="25"/>
  </w:num>
  <w:num w:numId="16">
    <w:abstractNumId w:val="3"/>
  </w:num>
  <w:num w:numId="17">
    <w:abstractNumId w:val="12"/>
  </w:num>
  <w:num w:numId="18">
    <w:abstractNumId w:val="4"/>
  </w:num>
  <w:num w:numId="19">
    <w:abstractNumId w:val="13"/>
  </w:num>
  <w:num w:numId="20">
    <w:abstractNumId w:val="6"/>
  </w:num>
  <w:num w:numId="21">
    <w:abstractNumId w:val="10"/>
  </w:num>
  <w:num w:numId="22">
    <w:abstractNumId w:val="20"/>
  </w:num>
  <w:num w:numId="23">
    <w:abstractNumId w:val="14"/>
  </w:num>
  <w:num w:numId="24">
    <w:abstractNumId w:val="11"/>
  </w:num>
  <w:num w:numId="25">
    <w:abstractNumId w:val="19"/>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EC3"/>
    <w:rsid w:val="00002F10"/>
    <w:rsid w:val="00013E0E"/>
    <w:rsid w:val="00017327"/>
    <w:rsid w:val="00021026"/>
    <w:rsid w:val="00022E91"/>
    <w:rsid w:val="00022EBD"/>
    <w:rsid w:val="000374D2"/>
    <w:rsid w:val="000458C5"/>
    <w:rsid w:val="00053FDF"/>
    <w:rsid w:val="0006074F"/>
    <w:rsid w:val="0007789A"/>
    <w:rsid w:val="00080CA6"/>
    <w:rsid w:val="00083861"/>
    <w:rsid w:val="000865CF"/>
    <w:rsid w:val="00087A9C"/>
    <w:rsid w:val="000910EE"/>
    <w:rsid w:val="0009443B"/>
    <w:rsid w:val="000A4095"/>
    <w:rsid w:val="000B0563"/>
    <w:rsid w:val="000B5415"/>
    <w:rsid w:val="000B6B84"/>
    <w:rsid w:val="000C0502"/>
    <w:rsid w:val="000C27DE"/>
    <w:rsid w:val="000C69EA"/>
    <w:rsid w:val="000D24D4"/>
    <w:rsid w:val="000D2CCE"/>
    <w:rsid w:val="000D5877"/>
    <w:rsid w:val="000D6339"/>
    <w:rsid w:val="000F2086"/>
    <w:rsid w:val="000F7D3D"/>
    <w:rsid w:val="00106DA2"/>
    <w:rsid w:val="00111640"/>
    <w:rsid w:val="001117A1"/>
    <w:rsid w:val="001124E9"/>
    <w:rsid w:val="00113C7D"/>
    <w:rsid w:val="00115798"/>
    <w:rsid w:val="001168C5"/>
    <w:rsid w:val="00127B34"/>
    <w:rsid w:val="001374AF"/>
    <w:rsid w:val="00137BE1"/>
    <w:rsid w:val="00140810"/>
    <w:rsid w:val="00143DA5"/>
    <w:rsid w:val="00144CF1"/>
    <w:rsid w:val="001465D4"/>
    <w:rsid w:val="00150179"/>
    <w:rsid w:val="001520BA"/>
    <w:rsid w:val="0015399A"/>
    <w:rsid w:val="00166053"/>
    <w:rsid w:val="00171677"/>
    <w:rsid w:val="00175B0E"/>
    <w:rsid w:val="00185F8E"/>
    <w:rsid w:val="001921DC"/>
    <w:rsid w:val="001976FC"/>
    <w:rsid w:val="001A2263"/>
    <w:rsid w:val="001A38F6"/>
    <w:rsid w:val="001A57DB"/>
    <w:rsid w:val="001A732A"/>
    <w:rsid w:val="001A73F7"/>
    <w:rsid w:val="001B3266"/>
    <w:rsid w:val="001B5591"/>
    <w:rsid w:val="001B6DB3"/>
    <w:rsid w:val="001C0D01"/>
    <w:rsid w:val="001C1FC1"/>
    <w:rsid w:val="001C210D"/>
    <w:rsid w:val="001C505B"/>
    <w:rsid w:val="001C548F"/>
    <w:rsid w:val="001C5D21"/>
    <w:rsid w:val="001C7822"/>
    <w:rsid w:val="001D4404"/>
    <w:rsid w:val="001D4412"/>
    <w:rsid w:val="001D69D4"/>
    <w:rsid w:val="001F23BE"/>
    <w:rsid w:val="001F2FDE"/>
    <w:rsid w:val="002009C1"/>
    <w:rsid w:val="00200EB7"/>
    <w:rsid w:val="002017A6"/>
    <w:rsid w:val="00201F55"/>
    <w:rsid w:val="002057B6"/>
    <w:rsid w:val="00207F18"/>
    <w:rsid w:val="00210673"/>
    <w:rsid w:val="002160F8"/>
    <w:rsid w:val="00217FD1"/>
    <w:rsid w:val="00222275"/>
    <w:rsid w:val="0022446F"/>
    <w:rsid w:val="002245DC"/>
    <w:rsid w:val="002303A4"/>
    <w:rsid w:val="00232D86"/>
    <w:rsid w:val="00243375"/>
    <w:rsid w:val="0024756C"/>
    <w:rsid w:val="00252F77"/>
    <w:rsid w:val="00254B15"/>
    <w:rsid w:val="00264364"/>
    <w:rsid w:val="00276F02"/>
    <w:rsid w:val="002777F6"/>
    <w:rsid w:val="002801B2"/>
    <w:rsid w:val="00281EA6"/>
    <w:rsid w:val="00282A0B"/>
    <w:rsid w:val="00282FAA"/>
    <w:rsid w:val="0029407F"/>
    <w:rsid w:val="002A0B01"/>
    <w:rsid w:val="002A1205"/>
    <w:rsid w:val="002A28C5"/>
    <w:rsid w:val="002A3070"/>
    <w:rsid w:val="002A6329"/>
    <w:rsid w:val="002B62C3"/>
    <w:rsid w:val="002B7278"/>
    <w:rsid w:val="002B7E93"/>
    <w:rsid w:val="002C36FD"/>
    <w:rsid w:val="002D59BD"/>
    <w:rsid w:val="002D6BA9"/>
    <w:rsid w:val="002D778F"/>
    <w:rsid w:val="002E08D7"/>
    <w:rsid w:val="002E409C"/>
    <w:rsid w:val="002F3A6D"/>
    <w:rsid w:val="002F6840"/>
    <w:rsid w:val="002F6D60"/>
    <w:rsid w:val="00304DCA"/>
    <w:rsid w:val="003050F7"/>
    <w:rsid w:val="0030660A"/>
    <w:rsid w:val="00307370"/>
    <w:rsid w:val="00310256"/>
    <w:rsid w:val="00310352"/>
    <w:rsid w:val="0031248E"/>
    <w:rsid w:val="003153A1"/>
    <w:rsid w:val="00322060"/>
    <w:rsid w:val="00327557"/>
    <w:rsid w:val="003346CE"/>
    <w:rsid w:val="00334B1E"/>
    <w:rsid w:val="003431AC"/>
    <w:rsid w:val="00343DB7"/>
    <w:rsid w:val="003461D3"/>
    <w:rsid w:val="003508B3"/>
    <w:rsid w:val="0035160C"/>
    <w:rsid w:val="00356A4F"/>
    <w:rsid w:val="00356AB4"/>
    <w:rsid w:val="00360254"/>
    <w:rsid w:val="00361307"/>
    <w:rsid w:val="00363B9A"/>
    <w:rsid w:val="003659B2"/>
    <w:rsid w:val="00367EC5"/>
    <w:rsid w:val="00373AE8"/>
    <w:rsid w:val="00380425"/>
    <w:rsid w:val="0038093A"/>
    <w:rsid w:val="00384E64"/>
    <w:rsid w:val="003855CD"/>
    <w:rsid w:val="003A4AC4"/>
    <w:rsid w:val="003A5469"/>
    <w:rsid w:val="003A6CA8"/>
    <w:rsid w:val="003B0C84"/>
    <w:rsid w:val="003B1A8C"/>
    <w:rsid w:val="003C01F3"/>
    <w:rsid w:val="003C21AC"/>
    <w:rsid w:val="003C360E"/>
    <w:rsid w:val="003D22BF"/>
    <w:rsid w:val="003D65A0"/>
    <w:rsid w:val="003D6A4E"/>
    <w:rsid w:val="003E1BDC"/>
    <w:rsid w:val="003E5A8E"/>
    <w:rsid w:val="003E7883"/>
    <w:rsid w:val="003F4F4B"/>
    <w:rsid w:val="00403578"/>
    <w:rsid w:val="004042F9"/>
    <w:rsid w:val="00406346"/>
    <w:rsid w:val="00407092"/>
    <w:rsid w:val="00410158"/>
    <w:rsid w:val="00412F8B"/>
    <w:rsid w:val="004156D9"/>
    <w:rsid w:val="00425449"/>
    <w:rsid w:val="00431CE6"/>
    <w:rsid w:val="00432F6C"/>
    <w:rsid w:val="0044080D"/>
    <w:rsid w:val="00447918"/>
    <w:rsid w:val="004557AF"/>
    <w:rsid w:val="00462A0F"/>
    <w:rsid w:val="00467962"/>
    <w:rsid w:val="00481C0B"/>
    <w:rsid w:val="004833F0"/>
    <w:rsid w:val="00485403"/>
    <w:rsid w:val="00490667"/>
    <w:rsid w:val="004917F0"/>
    <w:rsid w:val="00494240"/>
    <w:rsid w:val="00494E00"/>
    <w:rsid w:val="0049544F"/>
    <w:rsid w:val="004969EF"/>
    <w:rsid w:val="00497CA6"/>
    <w:rsid w:val="004A54C8"/>
    <w:rsid w:val="004A666C"/>
    <w:rsid w:val="004B20D5"/>
    <w:rsid w:val="004B26E5"/>
    <w:rsid w:val="004B3968"/>
    <w:rsid w:val="004B3A7B"/>
    <w:rsid w:val="004B4332"/>
    <w:rsid w:val="004B4E63"/>
    <w:rsid w:val="004B5798"/>
    <w:rsid w:val="004C21AC"/>
    <w:rsid w:val="004C30E7"/>
    <w:rsid w:val="004C4172"/>
    <w:rsid w:val="004E57AF"/>
    <w:rsid w:val="004F22C1"/>
    <w:rsid w:val="004F5562"/>
    <w:rsid w:val="00501A1E"/>
    <w:rsid w:val="00502AE4"/>
    <w:rsid w:val="005054A0"/>
    <w:rsid w:val="0050554F"/>
    <w:rsid w:val="0050643D"/>
    <w:rsid w:val="00512814"/>
    <w:rsid w:val="00513AD6"/>
    <w:rsid w:val="00523B0D"/>
    <w:rsid w:val="005244F0"/>
    <w:rsid w:val="00525BE0"/>
    <w:rsid w:val="005277D3"/>
    <w:rsid w:val="0053219D"/>
    <w:rsid w:val="00534806"/>
    <w:rsid w:val="00535E7A"/>
    <w:rsid w:val="005363A5"/>
    <w:rsid w:val="00536E4B"/>
    <w:rsid w:val="005423E7"/>
    <w:rsid w:val="0055237D"/>
    <w:rsid w:val="00557883"/>
    <w:rsid w:val="00557CB5"/>
    <w:rsid w:val="00560F2D"/>
    <w:rsid w:val="0056142A"/>
    <w:rsid w:val="005651C1"/>
    <w:rsid w:val="005652E8"/>
    <w:rsid w:val="005709D7"/>
    <w:rsid w:val="00581271"/>
    <w:rsid w:val="005878C9"/>
    <w:rsid w:val="00593045"/>
    <w:rsid w:val="00593C31"/>
    <w:rsid w:val="00595724"/>
    <w:rsid w:val="00596858"/>
    <w:rsid w:val="0059743C"/>
    <w:rsid w:val="005A15F5"/>
    <w:rsid w:val="005A2271"/>
    <w:rsid w:val="005A2F52"/>
    <w:rsid w:val="005A2F5F"/>
    <w:rsid w:val="005B2597"/>
    <w:rsid w:val="005B3F37"/>
    <w:rsid w:val="005B5000"/>
    <w:rsid w:val="005C0D1C"/>
    <w:rsid w:val="005C256D"/>
    <w:rsid w:val="005C290A"/>
    <w:rsid w:val="005C5525"/>
    <w:rsid w:val="005C59E7"/>
    <w:rsid w:val="005D2780"/>
    <w:rsid w:val="005E1DBC"/>
    <w:rsid w:val="005E294E"/>
    <w:rsid w:val="005F04B2"/>
    <w:rsid w:val="005F0F4B"/>
    <w:rsid w:val="005F132A"/>
    <w:rsid w:val="005F3F68"/>
    <w:rsid w:val="005F69E0"/>
    <w:rsid w:val="00600A57"/>
    <w:rsid w:val="006019D2"/>
    <w:rsid w:val="00612F42"/>
    <w:rsid w:val="00617D0E"/>
    <w:rsid w:val="0062385F"/>
    <w:rsid w:val="00624064"/>
    <w:rsid w:val="006252E7"/>
    <w:rsid w:val="00636F8B"/>
    <w:rsid w:val="00637DB4"/>
    <w:rsid w:val="00642806"/>
    <w:rsid w:val="00651AF5"/>
    <w:rsid w:val="0065505C"/>
    <w:rsid w:val="00655068"/>
    <w:rsid w:val="00656747"/>
    <w:rsid w:val="0065745F"/>
    <w:rsid w:val="006668CF"/>
    <w:rsid w:val="00672B6D"/>
    <w:rsid w:val="00676EFC"/>
    <w:rsid w:val="00683026"/>
    <w:rsid w:val="006834E6"/>
    <w:rsid w:val="006846ED"/>
    <w:rsid w:val="00684CF9"/>
    <w:rsid w:val="006855EB"/>
    <w:rsid w:val="0069225B"/>
    <w:rsid w:val="00696F8E"/>
    <w:rsid w:val="006A5B59"/>
    <w:rsid w:val="006B111E"/>
    <w:rsid w:val="006B4A74"/>
    <w:rsid w:val="006C3DC1"/>
    <w:rsid w:val="006C4E72"/>
    <w:rsid w:val="006D0DE4"/>
    <w:rsid w:val="006D41DD"/>
    <w:rsid w:val="006D42AA"/>
    <w:rsid w:val="006D44B2"/>
    <w:rsid w:val="006D770F"/>
    <w:rsid w:val="006D7959"/>
    <w:rsid w:val="006E4DAD"/>
    <w:rsid w:val="006E4E33"/>
    <w:rsid w:val="006E6A28"/>
    <w:rsid w:val="006F2266"/>
    <w:rsid w:val="00710AAB"/>
    <w:rsid w:val="00713610"/>
    <w:rsid w:val="00723393"/>
    <w:rsid w:val="00726443"/>
    <w:rsid w:val="0073563C"/>
    <w:rsid w:val="007364B9"/>
    <w:rsid w:val="00736782"/>
    <w:rsid w:val="00736AC0"/>
    <w:rsid w:val="007451B5"/>
    <w:rsid w:val="00752A07"/>
    <w:rsid w:val="00756DFF"/>
    <w:rsid w:val="00757D22"/>
    <w:rsid w:val="00762F58"/>
    <w:rsid w:val="00763AFF"/>
    <w:rsid w:val="00766F3A"/>
    <w:rsid w:val="00777C9F"/>
    <w:rsid w:val="00786E36"/>
    <w:rsid w:val="007873A7"/>
    <w:rsid w:val="007877B7"/>
    <w:rsid w:val="007933A8"/>
    <w:rsid w:val="00797408"/>
    <w:rsid w:val="007A224C"/>
    <w:rsid w:val="007A430A"/>
    <w:rsid w:val="007A64A4"/>
    <w:rsid w:val="007B57DB"/>
    <w:rsid w:val="007C295E"/>
    <w:rsid w:val="007C3C40"/>
    <w:rsid w:val="007C4FC1"/>
    <w:rsid w:val="007D592C"/>
    <w:rsid w:val="007E239C"/>
    <w:rsid w:val="007E312F"/>
    <w:rsid w:val="007E4E5A"/>
    <w:rsid w:val="007E6A64"/>
    <w:rsid w:val="007F0EC3"/>
    <w:rsid w:val="007F428C"/>
    <w:rsid w:val="00804189"/>
    <w:rsid w:val="008064DC"/>
    <w:rsid w:val="00814743"/>
    <w:rsid w:val="0082097F"/>
    <w:rsid w:val="00830403"/>
    <w:rsid w:val="00843D44"/>
    <w:rsid w:val="00851555"/>
    <w:rsid w:val="00856048"/>
    <w:rsid w:val="00857277"/>
    <w:rsid w:val="008604E3"/>
    <w:rsid w:val="00860C24"/>
    <w:rsid w:val="00865EE3"/>
    <w:rsid w:val="008669AB"/>
    <w:rsid w:val="00871386"/>
    <w:rsid w:val="008718E8"/>
    <w:rsid w:val="008725BF"/>
    <w:rsid w:val="00873597"/>
    <w:rsid w:val="00876F94"/>
    <w:rsid w:val="008802A5"/>
    <w:rsid w:val="008934FF"/>
    <w:rsid w:val="0089506F"/>
    <w:rsid w:val="008952B6"/>
    <w:rsid w:val="0089788D"/>
    <w:rsid w:val="008A2F5A"/>
    <w:rsid w:val="008A66B4"/>
    <w:rsid w:val="008B1D0B"/>
    <w:rsid w:val="008B3481"/>
    <w:rsid w:val="008B411B"/>
    <w:rsid w:val="008B6CB0"/>
    <w:rsid w:val="008C0660"/>
    <w:rsid w:val="008C30E1"/>
    <w:rsid w:val="008C4D00"/>
    <w:rsid w:val="008D0373"/>
    <w:rsid w:val="008D4A47"/>
    <w:rsid w:val="008D72EC"/>
    <w:rsid w:val="008E06E1"/>
    <w:rsid w:val="008E2A94"/>
    <w:rsid w:val="008F26D9"/>
    <w:rsid w:val="008F4065"/>
    <w:rsid w:val="008F7009"/>
    <w:rsid w:val="008F75EA"/>
    <w:rsid w:val="00900A15"/>
    <w:rsid w:val="00904FE1"/>
    <w:rsid w:val="00911946"/>
    <w:rsid w:val="00913CB1"/>
    <w:rsid w:val="009152AE"/>
    <w:rsid w:val="0091639D"/>
    <w:rsid w:val="00916ACF"/>
    <w:rsid w:val="009175EA"/>
    <w:rsid w:val="00924B4D"/>
    <w:rsid w:val="0092573C"/>
    <w:rsid w:val="0092799E"/>
    <w:rsid w:val="009302C9"/>
    <w:rsid w:val="00935497"/>
    <w:rsid w:val="009421C0"/>
    <w:rsid w:val="0094583B"/>
    <w:rsid w:val="00946C9A"/>
    <w:rsid w:val="00947ED2"/>
    <w:rsid w:val="00950128"/>
    <w:rsid w:val="00951ACD"/>
    <w:rsid w:val="00956535"/>
    <w:rsid w:val="00956A68"/>
    <w:rsid w:val="0096147E"/>
    <w:rsid w:val="00973650"/>
    <w:rsid w:val="00977C5E"/>
    <w:rsid w:val="0098301E"/>
    <w:rsid w:val="0098370A"/>
    <w:rsid w:val="00985175"/>
    <w:rsid w:val="00992CEB"/>
    <w:rsid w:val="009A2365"/>
    <w:rsid w:val="009A2ABC"/>
    <w:rsid w:val="009B3BC2"/>
    <w:rsid w:val="009B3F21"/>
    <w:rsid w:val="009C1193"/>
    <w:rsid w:val="009C24B4"/>
    <w:rsid w:val="009C5AE8"/>
    <w:rsid w:val="009D0EE6"/>
    <w:rsid w:val="009D573E"/>
    <w:rsid w:val="009E36E6"/>
    <w:rsid w:val="009E598B"/>
    <w:rsid w:val="009E79A7"/>
    <w:rsid w:val="009F162A"/>
    <w:rsid w:val="009F1D33"/>
    <w:rsid w:val="009F51AD"/>
    <w:rsid w:val="00A02983"/>
    <w:rsid w:val="00A03147"/>
    <w:rsid w:val="00A057AB"/>
    <w:rsid w:val="00A101A3"/>
    <w:rsid w:val="00A120B4"/>
    <w:rsid w:val="00A158DD"/>
    <w:rsid w:val="00A15DEF"/>
    <w:rsid w:val="00A1783D"/>
    <w:rsid w:val="00A21013"/>
    <w:rsid w:val="00A21101"/>
    <w:rsid w:val="00A22AB0"/>
    <w:rsid w:val="00A30217"/>
    <w:rsid w:val="00A32D3C"/>
    <w:rsid w:val="00A414CD"/>
    <w:rsid w:val="00A44BCC"/>
    <w:rsid w:val="00A47B2C"/>
    <w:rsid w:val="00A526F0"/>
    <w:rsid w:val="00A54757"/>
    <w:rsid w:val="00A7109F"/>
    <w:rsid w:val="00A74AF6"/>
    <w:rsid w:val="00A75117"/>
    <w:rsid w:val="00A77C56"/>
    <w:rsid w:val="00A92487"/>
    <w:rsid w:val="00AA04ED"/>
    <w:rsid w:val="00AA115C"/>
    <w:rsid w:val="00AA3B2D"/>
    <w:rsid w:val="00AA5CB6"/>
    <w:rsid w:val="00AA662C"/>
    <w:rsid w:val="00AB0781"/>
    <w:rsid w:val="00AB1F59"/>
    <w:rsid w:val="00AB65E6"/>
    <w:rsid w:val="00AB7E44"/>
    <w:rsid w:val="00AC179E"/>
    <w:rsid w:val="00AC396D"/>
    <w:rsid w:val="00AC3E5B"/>
    <w:rsid w:val="00AC4F49"/>
    <w:rsid w:val="00AD0B7F"/>
    <w:rsid w:val="00AD31F3"/>
    <w:rsid w:val="00AD33E9"/>
    <w:rsid w:val="00AD5B5C"/>
    <w:rsid w:val="00AD68A5"/>
    <w:rsid w:val="00AE03E5"/>
    <w:rsid w:val="00AE32F1"/>
    <w:rsid w:val="00AE59C3"/>
    <w:rsid w:val="00B02293"/>
    <w:rsid w:val="00B02776"/>
    <w:rsid w:val="00B02F39"/>
    <w:rsid w:val="00B03F3C"/>
    <w:rsid w:val="00B03F50"/>
    <w:rsid w:val="00B173CC"/>
    <w:rsid w:val="00B17872"/>
    <w:rsid w:val="00B17E44"/>
    <w:rsid w:val="00B22D3E"/>
    <w:rsid w:val="00B25B33"/>
    <w:rsid w:val="00B27223"/>
    <w:rsid w:val="00B27A9C"/>
    <w:rsid w:val="00B42DF5"/>
    <w:rsid w:val="00B45892"/>
    <w:rsid w:val="00B630DC"/>
    <w:rsid w:val="00B63E19"/>
    <w:rsid w:val="00B66C86"/>
    <w:rsid w:val="00B67339"/>
    <w:rsid w:val="00B73B15"/>
    <w:rsid w:val="00B8392E"/>
    <w:rsid w:val="00B85E73"/>
    <w:rsid w:val="00B87CEA"/>
    <w:rsid w:val="00B948AA"/>
    <w:rsid w:val="00B96EC5"/>
    <w:rsid w:val="00BB09C6"/>
    <w:rsid w:val="00BC34A8"/>
    <w:rsid w:val="00BC6E70"/>
    <w:rsid w:val="00BD0C5D"/>
    <w:rsid w:val="00BD418A"/>
    <w:rsid w:val="00BD69E3"/>
    <w:rsid w:val="00BD74CF"/>
    <w:rsid w:val="00BE224A"/>
    <w:rsid w:val="00BE2EDD"/>
    <w:rsid w:val="00BF1289"/>
    <w:rsid w:val="00BF2BEF"/>
    <w:rsid w:val="00C1057E"/>
    <w:rsid w:val="00C11B46"/>
    <w:rsid w:val="00C121FE"/>
    <w:rsid w:val="00C1230A"/>
    <w:rsid w:val="00C1333B"/>
    <w:rsid w:val="00C14DD7"/>
    <w:rsid w:val="00C1798A"/>
    <w:rsid w:val="00C21306"/>
    <w:rsid w:val="00C259F3"/>
    <w:rsid w:val="00C277FB"/>
    <w:rsid w:val="00C31403"/>
    <w:rsid w:val="00C332F6"/>
    <w:rsid w:val="00C40DD4"/>
    <w:rsid w:val="00C413A2"/>
    <w:rsid w:val="00C41618"/>
    <w:rsid w:val="00C4603E"/>
    <w:rsid w:val="00C50342"/>
    <w:rsid w:val="00C70789"/>
    <w:rsid w:val="00C72745"/>
    <w:rsid w:val="00C7734F"/>
    <w:rsid w:val="00C814D6"/>
    <w:rsid w:val="00C81DF2"/>
    <w:rsid w:val="00C853E1"/>
    <w:rsid w:val="00C87095"/>
    <w:rsid w:val="00C96E2C"/>
    <w:rsid w:val="00C971AD"/>
    <w:rsid w:val="00C97659"/>
    <w:rsid w:val="00CA1AA2"/>
    <w:rsid w:val="00CA6096"/>
    <w:rsid w:val="00CB363C"/>
    <w:rsid w:val="00CB375A"/>
    <w:rsid w:val="00CB501A"/>
    <w:rsid w:val="00CC3221"/>
    <w:rsid w:val="00CD0F68"/>
    <w:rsid w:val="00CD4612"/>
    <w:rsid w:val="00CD7991"/>
    <w:rsid w:val="00CE4A20"/>
    <w:rsid w:val="00CE4E3B"/>
    <w:rsid w:val="00CE7824"/>
    <w:rsid w:val="00CF32BE"/>
    <w:rsid w:val="00CF43C2"/>
    <w:rsid w:val="00CF610D"/>
    <w:rsid w:val="00CF7ECA"/>
    <w:rsid w:val="00D002B8"/>
    <w:rsid w:val="00D304AB"/>
    <w:rsid w:val="00D3071B"/>
    <w:rsid w:val="00D30764"/>
    <w:rsid w:val="00D34581"/>
    <w:rsid w:val="00D36079"/>
    <w:rsid w:val="00D3707B"/>
    <w:rsid w:val="00D40197"/>
    <w:rsid w:val="00D43EFC"/>
    <w:rsid w:val="00D45EC0"/>
    <w:rsid w:val="00D475EC"/>
    <w:rsid w:val="00D4797F"/>
    <w:rsid w:val="00D50B25"/>
    <w:rsid w:val="00D555ED"/>
    <w:rsid w:val="00D57A18"/>
    <w:rsid w:val="00D60503"/>
    <w:rsid w:val="00D857C1"/>
    <w:rsid w:val="00D8755C"/>
    <w:rsid w:val="00D91907"/>
    <w:rsid w:val="00D91B4F"/>
    <w:rsid w:val="00DA1026"/>
    <w:rsid w:val="00DA5D6C"/>
    <w:rsid w:val="00DB0192"/>
    <w:rsid w:val="00DB681A"/>
    <w:rsid w:val="00DC4DE6"/>
    <w:rsid w:val="00DC6CC9"/>
    <w:rsid w:val="00DC7094"/>
    <w:rsid w:val="00DE1048"/>
    <w:rsid w:val="00DE1ECD"/>
    <w:rsid w:val="00DE48D3"/>
    <w:rsid w:val="00DE52E0"/>
    <w:rsid w:val="00DE75FA"/>
    <w:rsid w:val="00DF25B0"/>
    <w:rsid w:val="00DF354D"/>
    <w:rsid w:val="00DF69D7"/>
    <w:rsid w:val="00E01984"/>
    <w:rsid w:val="00E0437B"/>
    <w:rsid w:val="00E0587D"/>
    <w:rsid w:val="00E05E17"/>
    <w:rsid w:val="00E1241E"/>
    <w:rsid w:val="00E16416"/>
    <w:rsid w:val="00E169DB"/>
    <w:rsid w:val="00E17072"/>
    <w:rsid w:val="00E24015"/>
    <w:rsid w:val="00E25884"/>
    <w:rsid w:val="00E3315C"/>
    <w:rsid w:val="00E44558"/>
    <w:rsid w:val="00E4548A"/>
    <w:rsid w:val="00E47CD5"/>
    <w:rsid w:val="00E64F79"/>
    <w:rsid w:val="00E71212"/>
    <w:rsid w:val="00E856AA"/>
    <w:rsid w:val="00E90938"/>
    <w:rsid w:val="00E93C6A"/>
    <w:rsid w:val="00EA2A12"/>
    <w:rsid w:val="00EA4B53"/>
    <w:rsid w:val="00EC4CE4"/>
    <w:rsid w:val="00EC745B"/>
    <w:rsid w:val="00EE1473"/>
    <w:rsid w:val="00EE501D"/>
    <w:rsid w:val="00EE75CC"/>
    <w:rsid w:val="00F0306E"/>
    <w:rsid w:val="00F0445D"/>
    <w:rsid w:val="00F1356E"/>
    <w:rsid w:val="00F14A0A"/>
    <w:rsid w:val="00F1783A"/>
    <w:rsid w:val="00F233E1"/>
    <w:rsid w:val="00F23ABE"/>
    <w:rsid w:val="00F3177A"/>
    <w:rsid w:val="00F34065"/>
    <w:rsid w:val="00F34B9C"/>
    <w:rsid w:val="00F4120B"/>
    <w:rsid w:val="00F53E47"/>
    <w:rsid w:val="00F54407"/>
    <w:rsid w:val="00F60E75"/>
    <w:rsid w:val="00F61325"/>
    <w:rsid w:val="00F61FB7"/>
    <w:rsid w:val="00F6440A"/>
    <w:rsid w:val="00F6452A"/>
    <w:rsid w:val="00F74C96"/>
    <w:rsid w:val="00F75E64"/>
    <w:rsid w:val="00F76DDD"/>
    <w:rsid w:val="00F84BDF"/>
    <w:rsid w:val="00F86600"/>
    <w:rsid w:val="00F935DA"/>
    <w:rsid w:val="00F94F61"/>
    <w:rsid w:val="00F95D07"/>
    <w:rsid w:val="00F96BC9"/>
    <w:rsid w:val="00FA0ED3"/>
    <w:rsid w:val="00FA4690"/>
    <w:rsid w:val="00FA5C81"/>
    <w:rsid w:val="00FA7588"/>
    <w:rsid w:val="00FB2045"/>
    <w:rsid w:val="00FC1D12"/>
    <w:rsid w:val="00FC3B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900216"/>
  <w15:chartTrackingRefBased/>
  <w15:docId w15:val="{47121671-A3B0-2F4A-A078-442D99E7C7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356E"/>
    <w:pPr>
      <w:spacing w:after="200" w:line="276" w:lineRule="auto"/>
    </w:pPr>
    <w:rPr>
      <w:sz w:val="22"/>
      <w:szCs w:val="22"/>
    </w:rPr>
  </w:style>
  <w:style w:type="paragraph" w:styleId="Heading1">
    <w:name w:val="heading 1"/>
    <w:basedOn w:val="Normal"/>
    <w:next w:val="Normal"/>
    <w:link w:val="Heading1Char"/>
    <w:uiPriority w:val="9"/>
    <w:qFormat/>
    <w:rsid w:val="00F1356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1356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684CF9"/>
    <w:pPr>
      <w:keepNext/>
      <w:keepLines/>
      <w:spacing w:before="40" w:after="0" w:line="360" w:lineRule="auto"/>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7C3C40"/>
    <w:pPr>
      <w:keepNext/>
      <w:keepLines/>
      <w:spacing w:before="40" w:after="0" w:line="259" w:lineRule="auto"/>
      <w:outlineLvl w:val="3"/>
    </w:pPr>
    <w:rPr>
      <w:rFonts w:asciiTheme="majorHAnsi" w:eastAsiaTheme="majorEastAsia" w:hAnsiTheme="majorHAnsi" w:cstheme="majorBidi"/>
      <w:i/>
      <w:iCs/>
      <w:color w:val="2F5496" w:themeColor="accent1" w:themeShade="BF"/>
      <w:lang w:eastAsia="en-GB"/>
    </w:rPr>
  </w:style>
  <w:style w:type="paragraph" w:styleId="Heading5">
    <w:name w:val="heading 5"/>
    <w:basedOn w:val="Normal"/>
    <w:next w:val="Normal"/>
    <w:link w:val="Heading5Char"/>
    <w:uiPriority w:val="9"/>
    <w:unhideWhenUsed/>
    <w:qFormat/>
    <w:rsid w:val="00481C0B"/>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1356E"/>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F1356E"/>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684CF9"/>
    <w:rPr>
      <w:rFonts w:asciiTheme="majorHAnsi" w:eastAsiaTheme="majorEastAsia" w:hAnsiTheme="majorHAnsi" w:cstheme="majorBidi"/>
      <w:color w:val="1F3763" w:themeColor="accent1" w:themeShade="7F"/>
    </w:rPr>
  </w:style>
  <w:style w:type="table" w:styleId="TableGrid">
    <w:name w:val="Table Grid"/>
    <w:basedOn w:val="TableNormal"/>
    <w:uiPriority w:val="39"/>
    <w:rsid w:val="00F1356E"/>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1356E"/>
    <w:rPr>
      <w:sz w:val="16"/>
      <w:szCs w:val="16"/>
    </w:rPr>
  </w:style>
  <w:style w:type="paragraph" w:styleId="CommentText">
    <w:name w:val="annotation text"/>
    <w:basedOn w:val="Normal"/>
    <w:link w:val="CommentTextChar"/>
    <w:uiPriority w:val="99"/>
    <w:unhideWhenUsed/>
    <w:rsid w:val="00F1356E"/>
    <w:pPr>
      <w:spacing w:line="240" w:lineRule="auto"/>
    </w:pPr>
    <w:rPr>
      <w:sz w:val="20"/>
      <w:szCs w:val="20"/>
    </w:rPr>
  </w:style>
  <w:style w:type="character" w:customStyle="1" w:styleId="CommentTextChar">
    <w:name w:val="Comment Text Char"/>
    <w:basedOn w:val="DefaultParagraphFont"/>
    <w:link w:val="CommentText"/>
    <w:uiPriority w:val="99"/>
    <w:rsid w:val="00F1356E"/>
    <w:rPr>
      <w:sz w:val="20"/>
      <w:szCs w:val="20"/>
    </w:rPr>
  </w:style>
  <w:style w:type="paragraph" w:styleId="NormalWeb">
    <w:name w:val="Normal (Web)"/>
    <w:basedOn w:val="Normal"/>
    <w:uiPriority w:val="99"/>
    <w:semiHidden/>
    <w:unhideWhenUsed/>
    <w:rsid w:val="0015399A"/>
    <w:pPr>
      <w:spacing w:after="160" w:line="259" w:lineRule="auto"/>
    </w:pPr>
    <w:rPr>
      <w:rFonts w:ascii="Times New Roman" w:hAnsi="Times New Roman" w:cs="Times New Roman"/>
      <w:sz w:val="24"/>
      <w:szCs w:val="24"/>
    </w:rPr>
  </w:style>
  <w:style w:type="paragraph" w:styleId="ListParagraph">
    <w:name w:val="List Paragraph"/>
    <w:basedOn w:val="Normal"/>
    <w:uiPriority w:val="34"/>
    <w:qFormat/>
    <w:rsid w:val="0015399A"/>
    <w:pPr>
      <w:spacing w:after="160" w:line="259" w:lineRule="auto"/>
      <w:ind w:left="720"/>
      <w:contextualSpacing/>
    </w:pPr>
  </w:style>
  <w:style w:type="paragraph" w:styleId="Caption">
    <w:name w:val="caption"/>
    <w:basedOn w:val="Normal"/>
    <w:next w:val="Normal"/>
    <w:uiPriority w:val="35"/>
    <w:unhideWhenUsed/>
    <w:qFormat/>
    <w:rsid w:val="0015399A"/>
    <w:pPr>
      <w:spacing w:line="240" w:lineRule="auto"/>
    </w:pPr>
    <w:rPr>
      <w:i/>
      <w:iCs/>
      <w:color w:val="44546A" w:themeColor="text2"/>
      <w:sz w:val="18"/>
      <w:szCs w:val="18"/>
    </w:rPr>
  </w:style>
  <w:style w:type="character" w:customStyle="1" w:styleId="Heading4Char">
    <w:name w:val="Heading 4 Char"/>
    <w:basedOn w:val="DefaultParagraphFont"/>
    <w:link w:val="Heading4"/>
    <w:uiPriority w:val="9"/>
    <w:rsid w:val="007C3C40"/>
    <w:rPr>
      <w:rFonts w:asciiTheme="majorHAnsi" w:eastAsiaTheme="majorEastAsia" w:hAnsiTheme="majorHAnsi" w:cstheme="majorBidi"/>
      <w:i/>
      <w:iCs/>
      <w:color w:val="2F5496" w:themeColor="accent1" w:themeShade="BF"/>
      <w:sz w:val="22"/>
      <w:szCs w:val="22"/>
      <w:lang w:eastAsia="en-GB"/>
    </w:rPr>
  </w:style>
  <w:style w:type="paragraph" w:styleId="Title">
    <w:name w:val="Title"/>
    <w:basedOn w:val="Normal"/>
    <w:next w:val="Normal"/>
    <w:link w:val="TitleChar"/>
    <w:uiPriority w:val="10"/>
    <w:qFormat/>
    <w:rsid w:val="007C3C4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3C40"/>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rsid w:val="00EE501D"/>
    <w:pPr>
      <w:spacing w:after="160"/>
    </w:pPr>
    <w:rPr>
      <w:rFonts w:eastAsiaTheme="minorEastAsia"/>
      <w:b/>
      <w:bCs/>
      <w:lang w:eastAsia="en-GB"/>
    </w:rPr>
  </w:style>
  <w:style w:type="character" w:customStyle="1" w:styleId="CommentSubjectChar">
    <w:name w:val="Comment Subject Char"/>
    <w:basedOn w:val="CommentTextChar"/>
    <w:link w:val="CommentSubject"/>
    <w:uiPriority w:val="99"/>
    <w:semiHidden/>
    <w:rsid w:val="00EE501D"/>
    <w:rPr>
      <w:rFonts w:eastAsiaTheme="minorEastAsia"/>
      <w:b/>
      <w:bCs/>
      <w:sz w:val="20"/>
      <w:szCs w:val="20"/>
      <w:lang w:eastAsia="en-GB"/>
    </w:rPr>
  </w:style>
  <w:style w:type="paragraph" w:styleId="Footer">
    <w:name w:val="footer"/>
    <w:basedOn w:val="Normal"/>
    <w:link w:val="FooterChar"/>
    <w:uiPriority w:val="99"/>
    <w:unhideWhenUsed/>
    <w:rsid w:val="00EE501D"/>
    <w:pPr>
      <w:tabs>
        <w:tab w:val="center" w:pos="4513"/>
        <w:tab w:val="right" w:pos="9026"/>
      </w:tabs>
      <w:spacing w:after="0" w:line="240" w:lineRule="auto"/>
    </w:pPr>
    <w:rPr>
      <w:rFonts w:eastAsiaTheme="minorEastAsia"/>
      <w:lang w:eastAsia="en-GB"/>
    </w:rPr>
  </w:style>
  <w:style w:type="character" w:customStyle="1" w:styleId="FooterChar">
    <w:name w:val="Footer Char"/>
    <w:basedOn w:val="DefaultParagraphFont"/>
    <w:link w:val="Footer"/>
    <w:uiPriority w:val="99"/>
    <w:rsid w:val="00EE501D"/>
    <w:rPr>
      <w:rFonts w:eastAsiaTheme="minorEastAsia"/>
      <w:sz w:val="22"/>
      <w:szCs w:val="22"/>
      <w:lang w:eastAsia="en-GB"/>
    </w:rPr>
  </w:style>
  <w:style w:type="table" w:styleId="GridTable4-Accent5">
    <w:name w:val="Grid Table 4 Accent 5"/>
    <w:basedOn w:val="TableNormal"/>
    <w:uiPriority w:val="49"/>
    <w:rsid w:val="00EE501D"/>
    <w:rPr>
      <w:sz w:val="22"/>
      <w:szCs w:val="22"/>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Header">
    <w:name w:val="header"/>
    <w:basedOn w:val="Normal"/>
    <w:link w:val="HeaderChar"/>
    <w:uiPriority w:val="99"/>
    <w:unhideWhenUsed/>
    <w:rsid w:val="00EE501D"/>
    <w:pPr>
      <w:tabs>
        <w:tab w:val="center" w:pos="4513"/>
        <w:tab w:val="right" w:pos="9026"/>
      </w:tabs>
      <w:spacing w:after="0" w:line="240" w:lineRule="auto"/>
    </w:pPr>
    <w:rPr>
      <w:rFonts w:eastAsiaTheme="minorEastAsia"/>
      <w:lang w:eastAsia="en-GB"/>
    </w:rPr>
  </w:style>
  <w:style w:type="character" w:customStyle="1" w:styleId="HeaderChar">
    <w:name w:val="Header Char"/>
    <w:basedOn w:val="DefaultParagraphFont"/>
    <w:link w:val="Header"/>
    <w:uiPriority w:val="99"/>
    <w:rsid w:val="00EE501D"/>
    <w:rPr>
      <w:rFonts w:eastAsiaTheme="minorEastAsia"/>
      <w:sz w:val="22"/>
      <w:szCs w:val="22"/>
      <w:lang w:eastAsia="en-GB"/>
    </w:rPr>
  </w:style>
  <w:style w:type="paragraph" w:styleId="BalloonText">
    <w:name w:val="Balloon Text"/>
    <w:basedOn w:val="Normal"/>
    <w:link w:val="BalloonTextChar"/>
    <w:uiPriority w:val="99"/>
    <w:semiHidden/>
    <w:unhideWhenUsed/>
    <w:rsid w:val="00EE501D"/>
    <w:pPr>
      <w:spacing w:after="0" w:line="240" w:lineRule="auto"/>
    </w:pPr>
    <w:rPr>
      <w:rFonts w:ascii="Segoe UI" w:eastAsiaTheme="minorEastAsia" w:hAnsi="Segoe UI" w:cs="Segoe UI"/>
      <w:sz w:val="18"/>
      <w:szCs w:val="18"/>
      <w:lang w:eastAsia="en-GB"/>
    </w:rPr>
  </w:style>
  <w:style w:type="character" w:customStyle="1" w:styleId="BalloonTextChar">
    <w:name w:val="Balloon Text Char"/>
    <w:basedOn w:val="DefaultParagraphFont"/>
    <w:link w:val="BalloonText"/>
    <w:uiPriority w:val="99"/>
    <w:semiHidden/>
    <w:rsid w:val="00EE501D"/>
    <w:rPr>
      <w:rFonts w:ascii="Segoe UI" w:eastAsiaTheme="minorEastAsia" w:hAnsi="Segoe UI" w:cs="Segoe UI"/>
      <w:sz w:val="18"/>
      <w:szCs w:val="18"/>
      <w:lang w:eastAsia="en-GB"/>
    </w:rPr>
  </w:style>
  <w:style w:type="paragraph" w:styleId="Revision">
    <w:name w:val="Revision"/>
    <w:hidden/>
    <w:uiPriority w:val="99"/>
    <w:semiHidden/>
    <w:rsid w:val="00EE501D"/>
    <w:rPr>
      <w:rFonts w:eastAsiaTheme="minorEastAsia"/>
      <w:sz w:val="22"/>
      <w:szCs w:val="22"/>
      <w:lang w:eastAsia="en-GB"/>
    </w:rPr>
  </w:style>
  <w:style w:type="paragraph" w:styleId="Quote">
    <w:name w:val="Quote"/>
    <w:basedOn w:val="Normal"/>
    <w:next w:val="Normal"/>
    <w:link w:val="QuoteChar"/>
    <w:uiPriority w:val="29"/>
    <w:qFormat/>
    <w:rsid w:val="0062385F"/>
    <w:pPr>
      <w:spacing w:after="160" w:line="360" w:lineRule="auto"/>
    </w:pPr>
    <w:rPr>
      <w:i/>
      <w:iCs/>
    </w:rPr>
  </w:style>
  <w:style w:type="character" w:customStyle="1" w:styleId="QuoteChar">
    <w:name w:val="Quote Char"/>
    <w:basedOn w:val="DefaultParagraphFont"/>
    <w:link w:val="Quote"/>
    <w:uiPriority w:val="29"/>
    <w:rsid w:val="0062385F"/>
    <w:rPr>
      <w:i/>
      <w:iCs/>
      <w:sz w:val="22"/>
      <w:szCs w:val="22"/>
    </w:rPr>
  </w:style>
  <w:style w:type="character" w:styleId="PageNumber">
    <w:name w:val="page number"/>
    <w:basedOn w:val="DefaultParagraphFont"/>
    <w:uiPriority w:val="99"/>
    <w:semiHidden/>
    <w:unhideWhenUsed/>
    <w:rsid w:val="00447918"/>
  </w:style>
  <w:style w:type="paragraph" w:styleId="TOCHeading">
    <w:name w:val="TOC Heading"/>
    <w:basedOn w:val="Heading1"/>
    <w:next w:val="Normal"/>
    <w:uiPriority w:val="39"/>
    <w:unhideWhenUsed/>
    <w:qFormat/>
    <w:rsid w:val="00684CF9"/>
    <w:pPr>
      <w:spacing w:before="480"/>
      <w:outlineLvl w:val="9"/>
    </w:pPr>
    <w:rPr>
      <w:b/>
      <w:bCs/>
      <w:sz w:val="28"/>
      <w:szCs w:val="28"/>
      <w:lang w:val="en-US"/>
    </w:rPr>
  </w:style>
  <w:style w:type="paragraph" w:styleId="TOC2">
    <w:name w:val="toc 2"/>
    <w:basedOn w:val="Normal"/>
    <w:next w:val="Normal"/>
    <w:autoRedefine/>
    <w:uiPriority w:val="39"/>
    <w:unhideWhenUsed/>
    <w:rsid w:val="00684CF9"/>
    <w:pPr>
      <w:spacing w:before="120" w:after="0"/>
      <w:ind w:left="220"/>
    </w:pPr>
    <w:rPr>
      <w:rFonts w:cstheme="minorHAnsi"/>
      <w:b/>
      <w:bCs/>
    </w:rPr>
  </w:style>
  <w:style w:type="paragraph" w:styleId="TOC1">
    <w:name w:val="toc 1"/>
    <w:basedOn w:val="Normal"/>
    <w:next w:val="Normal"/>
    <w:autoRedefine/>
    <w:uiPriority w:val="39"/>
    <w:unhideWhenUsed/>
    <w:rsid w:val="00684CF9"/>
    <w:pPr>
      <w:spacing w:before="120" w:after="0"/>
    </w:pPr>
    <w:rPr>
      <w:rFonts w:cstheme="minorHAnsi"/>
      <w:b/>
      <w:bCs/>
      <w:i/>
      <w:iCs/>
      <w:sz w:val="24"/>
      <w:szCs w:val="24"/>
    </w:rPr>
  </w:style>
  <w:style w:type="paragraph" w:styleId="TOC3">
    <w:name w:val="toc 3"/>
    <w:basedOn w:val="Normal"/>
    <w:next w:val="Normal"/>
    <w:autoRedefine/>
    <w:uiPriority w:val="39"/>
    <w:unhideWhenUsed/>
    <w:rsid w:val="00684CF9"/>
    <w:pPr>
      <w:spacing w:after="0"/>
      <w:ind w:left="440"/>
    </w:pPr>
    <w:rPr>
      <w:rFonts w:cstheme="minorHAnsi"/>
      <w:sz w:val="20"/>
      <w:szCs w:val="20"/>
    </w:rPr>
  </w:style>
  <w:style w:type="character" w:styleId="Hyperlink">
    <w:name w:val="Hyperlink"/>
    <w:basedOn w:val="DefaultParagraphFont"/>
    <w:uiPriority w:val="99"/>
    <w:unhideWhenUsed/>
    <w:rsid w:val="00684CF9"/>
    <w:rPr>
      <w:color w:val="0563C1" w:themeColor="hyperlink"/>
      <w:u w:val="single"/>
    </w:rPr>
  </w:style>
  <w:style w:type="paragraph" w:styleId="TOC4">
    <w:name w:val="toc 4"/>
    <w:basedOn w:val="Normal"/>
    <w:next w:val="Normal"/>
    <w:autoRedefine/>
    <w:uiPriority w:val="39"/>
    <w:unhideWhenUsed/>
    <w:rsid w:val="00684CF9"/>
    <w:pPr>
      <w:spacing w:after="0"/>
      <w:ind w:left="660"/>
    </w:pPr>
    <w:rPr>
      <w:rFonts w:cstheme="minorHAnsi"/>
      <w:sz w:val="20"/>
      <w:szCs w:val="20"/>
    </w:rPr>
  </w:style>
  <w:style w:type="paragraph" w:styleId="TOC5">
    <w:name w:val="toc 5"/>
    <w:basedOn w:val="Normal"/>
    <w:next w:val="Normal"/>
    <w:autoRedefine/>
    <w:uiPriority w:val="39"/>
    <w:unhideWhenUsed/>
    <w:rsid w:val="00684CF9"/>
    <w:pPr>
      <w:spacing w:after="0"/>
      <w:ind w:left="880"/>
    </w:pPr>
    <w:rPr>
      <w:rFonts w:cstheme="minorHAnsi"/>
      <w:sz w:val="20"/>
      <w:szCs w:val="20"/>
    </w:rPr>
  </w:style>
  <w:style w:type="paragraph" w:styleId="TOC6">
    <w:name w:val="toc 6"/>
    <w:basedOn w:val="Normal"/>
    <w:next w:val="Normal"/>
    <w:autoRedefine/>
    <w:uiPriority w:val="39"/>
    <w:unhideWhenUsed/>
    <w:rsid w:val="00684CF9"/>
    <w:pPr>
      <w:spacing w:after="0"/>
      <w:ind w:left="1100"/>
    </w:pPr>
    <w:rPr>
      <w:rFonts w:cstheme="minorHAnsi"/>
      <w:sz w:val="20"/>
      <w:szCs w:val="20"/>
    </w:rPr>
  </w:style>
  <w:style w:type="paragraph" w:styleId="TOC7">
    <w:name w:val="toc 7"/>
    <w:basedOn w:val="Normal"/>
    <w:next w:val="Normal"/>
    <w:autoRedefine/>
    <w:uiPriority w:val="39"/>
    <w:unhideWhenUsed/>
    <w:rsid w:val="00684CF9"/>
    <w:pPr>
      <w:spacing w:after="0"/>
      <w:ind w:left="1320"/>
    </w:pPr>
    <w:rPr>
      <w:rFonts w:cstheme="minorHAnsi"/>
      <w:sz w:val="20"/>
      <w:szCs w:val="20"/>
    </w:rPr>
  </w:style>
  <w:style w:type="paragraph" w:styleId="TOC8">
    <w:name w:val="toc 8"/>
    <w:basedOn w:val="Normal"/>
    <w:next w:val="Normal"/>
    <w:autoRedefine/>
    <w:uiPriority w:val="39"/>
    <w:unhideWhenUsed/>
    <w:rsid w:val="00684CF9"/>
    <w:pPr>
      <w:spacing w:after="0"/>
      <w:ind w:left="1540"/>
    </w:pPr>
    <w:rPr>
      <w:rFonts w:cstheme="minorHAnsi"/>
      <w:sz w:val="20"/>
      <w:szCs w:val="20"/>
    </w:rPr>
  </w:style>
  <w:style w:type="paragraph" w:styleId="TOC9">
    <w:name w:val="toc 9"/>
    <w:basedOn w:val="Normal"/>
    <w:next w:val="Normal"/>
    <w:autoRedefine/>
    <w:uiPriority w:val="39"/>
    <w:unhideWhenUsed/>
    <w:rsid w:val="00684CF9"/>
    <w:pPr>
      <w:spacing w:after="0"/>
      <w:ind w:left="1760"/>
    </w:pPr>
    <w:rPr>
      <w:rFonts w:cstheme="minorHAnsi"/>
      <w:sz w:val="20"/>
      <w:szCs w:val="20"/>
    </w:rPr>
  </w:style>
  <w:style w:type="character" w:customStyle="1" w:styleId="Heading5Char">
    <w:name w:val="Heading 5 Char"/>
    <w:basedOn w:val="DefaultParagraphFont"/>
    <w:link w:val="Heading5"/>
    <w:uiPriority w:val="9"/>
    <w:rsid w:val="00481C0B"/>
    <w:rPr>
      <w:rFonts w:asciiTheme="majorHAnsi" w:eastAsiaTheme="majorEastAsia" w:hAnsiTheme="majorHAnsi" w:cstheme="majorBidi"/>
      <w:color w:val="2F5496" w:themeColor="accent1" w:themeShade="BF"/>
      <w:sz w:val="22"/>
      <w:szCs w:val="22"/>
    </w:rPr>
  </w:style>
  <w:style w:type="character" w:customStyle="1" w:styleId="UnresolvedMention1">
    <w:name w:val="Unresolved Mention1"/>
    <w:basedOn w:val="DefaultParagraphFont"/>
    <w:uiPriority w:val="99"/>
    <w:semiHidden/>
    <w:unhideWhenUsed/>
    <w:rsid w:val="009B3BC2"/>
    <w:rPr>
      <w:color w:val="605E5C"/>
      <w:shd w:val="clear" w:color="auto" w:fill="E1DFDD"/>
    </w:rPr>
  </w:style>
  <w:style w:type="paragraph" w:styleId="TableofFigures">
    <w:name w:val="table of figures"/>
    <w:basedOn w:val="Normal"/>
    <w:next w:val="Normal"/>
    <w:uiPriority w:val="99"/>
    <w:unhideWhenUsed/>
    <w:rsid w:val="009B3BC2"/>
    <w:pPr>
      <w:spacing w:after="0"/>
      <w:ind w:left="440" w:hanging="440"/>
    </w:pPr>
    <w:rPr>
      <w:rFonts w:cstheme="minorHAnsi"/>
      <w:caps/>
      <w:sz w:val="20"/>
      <w:szCs w:val="20"/>
    </w:rPr>
  </w:style>
  <w:style w:type="numbering" w:customStyle="1" w:styleId="Singlepunch">
    <w:name w:val="Single punch"/>
    <w:rsid w:val="00A47B2C"/>
    <w:pPr>
      <w:numPr>
        <w:numId w:val="17"/>
      </w:numPr>
    </w:pPr>
  </w:style>
  <w:style w:type="paragraph" w:customStyle="1" w:styleId="H2">
    <w:name w:val="H2"/>
    <w:next w:val="Normal"/>
    <w:rsid w:val="00A47B2C"/>
    <w:pPr>
      <w:spacing w:after="240"/>
    </w:pPr>
    <w:rPr>
      <w:rFonts w:eastAsiaTheme="minorEastAsia"/>
      <w:b/>
      <w:color w:val="000000"/>
      <w:sz w:val="48"/>
      <w:szCs w:val="48"/>
      <w:lang w:val="en-US"/>
    </w:rPr>
  </w:style>
  <w:style w:type="paragraph" w:customStyle="1" w:styleId="BlockStartLabel">
    <w:name w:val="BlockStartLabel"/>
    <w:basedOn w:val="Normal"/>
    <w:qFormat/>
    <w:rsid w:val="00A47B2C"/>
    <w:pPr>
      <w:spacing w:before="120" w:after="120" w:line="240" w:lineRule="auto"/>
    </w:pPr>
    <w:rPr>
      <w:rFonts w:eastAsiaTheme="minorEastAsia"/>
      <w:b/>
      <w:color w:val="CCCCCC"/>
      <w:lang w:val="en-US"/>
    </w:rPr>
  </w:style>
  <w:style w:type="paragraph" w:customStyle="1" w:styleId="BlockEndLabel">
    <w:name w:val="BlockEndLabel"/>
    <w:basedOn w:val="Normal"/>
    <w:qFormat/>
    <w:rsid w:val="00A47B2C"/>
    <w:pPr>
      <w:spacing w:before="120" w:after="0" w:line="240" w:lineRule="auto"/>
    </w:pPr>
    <w:rPr>
      <w:rFonts w:eastAsiaTheme="minorEastAsia"/>
      <w:b/>
      <w:color w:val="CCCCCC"/>
      <w:lang w:val="en-US"/>
    </w:rPr>
  </w:style>
  <w:style w:type="paragraph" w:customStyle="1" w:styleId="BlockSeparator">
    <w:name w:val="BlockSeparator"/>
    <w:basedOn w:val="Normal"/>
    <w:qFormat/>
    <w:rsid w:val="00A47B2C"/>
    <w:pPr>
      <w:pBdr>
        <w:bottom w:val="single" w:sz="8" w:space="0" w:color="CCCCCC"/>
      </w:pBdr>
      <w:spacing w:after="0" w:line="120" w:lineRule="auto"/>
      <w:jc w:val="center"/>
    </w:pPr>
    <w:rPr>
      <w:rFonts w:eastAsiaTheme="minorEastAsia"/>
      <w:b/>
      <w:color w:val="CCCCCC"/>
      <w:lang w:val="en-US"/>
    </w:rPr>
  </w:style>
  <w:style w:type="paragraph" w:customStyle="1" w:styleId="QuestionSeparator">
    <w:name w:val="QuestionSeparator"/>
    <w:basedOn w:val="Normal"/>
    <w:qFormat/>
    <w:rsid w:val="00A47B2C"/>
    <w:pPr>
      <w:pBdr>
        <w:top w:val="dashed" w:sz="8" w:space="0" w:color="CCCCCC"/>
      </w:pBdr>
      <w:spacing w:before="120" w:after="120" w:line="120" w:lineRule="auto"/>
    </w:pPr>
    <w:rPr>
      <w:rFonts w:eastAsiaTheme="minorEastAsia"/>
      <w:lang w:val="en-US"/>
    </w:rPr>
  </w:style>
  <w:style w:type="paragraph" w:customStyle="1" w:styleId="TextEntryLine">
    <w:name w:val="TextEntryLine"/>
    <w:basedOn w:val="Normal"/>
    <w:qFormat/>
    <w:rsid w:val="00A47B2C"/>
    <w:pPr>
      <w:spacing w:before="240" w:after="0" w:line="240" w:lineRule="auto"/>
    </w:pPr>
    <w:rPr>
      <w:rFonts w:eastAsiaTheme="minorEastAsia"/>
      <w:lang w:val="en-US"/>
    </w:rPr>
  </w:style>
  <w:style w:type="paragraph" w:styleId="FootnoteText">
    <w:name w:val="footnote text"/>
    <w:basedOn w:val="Normal"/>
    <w:link w:val="FootnoteTextChar"/>
    <w:uiPriority w:val="99"/>
    <w:semiHidden/>
    <w:unhideWhenUsed/>
    <w:rsid w:val="00207F1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07F18"/>
    <w:rPr>
      <w:sz w:val="20"/>
      <w:szCs w:val="20"/>
    </w:rPr>
  </w:style>
  <w:style w:type="character" w:styleId="FootnoteReference">
    <w:name w:val="footnote reference"/>
    <w:basedOn w:val="DefaultParagraphFont"/>
    <w:uiPriority w:val="99"/>
    <w:semiHidden/>
    <w:unhideWhenUsed/>
    <w:rsid w:val="00207F18"/>
    <w:rPr>
      <w:vertAlign w:val="superscript"/>
    </w:rPr>
  </w:style>
  <w:style w:type="character" w:customStyle="1" w:styleId="UnresolvedMention2">
    <w:name w:val="Unresolved Mention2"/>
    <w:basedOn w:val="DefaultParagraphFont"/>
    <w:uiPriority w:val="99"/>
    <w:semiHidden/>
    <w:unhideWhenUsed/>
    <w:rsid w:val="001C1FC1"/>
    <w:rPr>
      <w:color w:val="605E5C"/>
      <w:shd w:val="clear" w:color="auto" w:fill="E1DFDD"/>
    </w:rPr>
  </w:style>
  <w:style w:type="character" w:styleId="EndnoteReference">
    <w:name w:val="endnote reference"/>
    <w:basedOn w:val="DefaultParagraphFont"/>
    <w:uiPriority w:val="99"/>
    <w:semiHidden/>
    <w:unhideWhenUsed/>
    <w:rsid w:val="006E4DAD"/>
    <w:rPr>
      <w:vertAlign w:val="superscript"/>
    </w:rPr>
  </w:style>
  <w:style w:type="character" w:styleId="UnresolvedMention">
    <w:name w:val="Unresolved Mention"/>
    <w:basedOn w:val="DefaultParagraphFont"/>
    <w:uiPriority w:val="99"/>
    <w:semiHidden/>
    <w:unhideWhenUsed/>
    <w:rsid w:val="00CD799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14564">
      <w:bodyDiv w:val="1"/>
      <w:marLeft w:val="0"/>
      <w:marRight w:val="0"/>
      <w:marTop w:val="0"/>
      <w:marBottom w:val="0"/>
      <w:divBdr>
        <w:top w:val="none" w:sz="0" w:space="0" w:color="auto"/>
        <w:left w:val="none" w:sz="0" w:space="0" w:color="auto"/>
        <w:bottom w:val="none" w:sz="0" w:space="0" w:color="auto"/>
        <w:right w:val="none" w:sz="0" w:space="0" w:color="auto"/>
      </w:divBdr>
    </w:div>
    <w:div w:id="67196684">
      <w:bodyDiv w:val="1"/>
      <w:marLeft w:val="0"/>
      <w:marRight w:val="0"/>
      <w:marTop w:val="0"/>
      <w:marBottom w:val="0"/>
      <w:divBdr>
        <w:top w:val="none" w:sz="0" w:space="0" w:color="auto"/>
        <w:left w:val="none" w:sz="0" w:space="0" w:color="auto"/>
        <w:bottom w:val="none" w:sz="0" w:space="0" w:color="auto"/>
        <w:right w:val="none" w:sz="0" w:space="0" w:color="auto"/>
      </w:divBdr>
      <w:divsChild>
        <w:div w:id="545541">
          <w:marLeft w:val="0"/>
          <w:marRight w:val="0"/>
          <w:marTop w:val="0"/>
          <w:marBottom w:val="0"/>
          <w:divBdr>
            <w:top w:val="none" w:sz="0" w:space="0" w:color="auto"/>
            <w:left w:val="none" w:sz="0" w:space="0" w:color="auto"/>
            <w:bottom w:val="none" w:sz="0" w:space="0" w:color="auto"/>
            <w:right w:val="none" w:sz="0" w:space="0" w:color="auto"/>
          </w:divBdr>
          <w:divsChild>
            <w:div w:id="291373967">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 w:id="393552208">
      <w:bodyDiv w:val="1"/>
      <w:marLeft w:val="0"/>
      <w:marRight w:val="0"/>
      <w:marTop w:val="0"/>
      <w:marBottom w:val="0"/>
      <w:divBdr>
        <w:top w:val="none" w:sz="0" w:space="0" w:color="auto"/>
        <w:left w:val="none" w:sz="0" w:space="0" w:color="auto"/>
        <w:bottom w:val="none" w:sz="0" w:space="0" w:color="auto"/>
        <w:right w:val="none" w:sz="0" w:space="0" w:color="auto"/>
      </w:divBdr>
    </w:div>
    <w:div w:id="414210875">
      <w:bodyDiv w:val="1"/>
      <w:marLeft w:val="0"/>
      <w:marRight w:val="0"/>
      <w:marTop w:val="0"/>
      <w:marBottom w:val="0"/>
      <w:divBdr>
        <w:top w:val="none" w:sz="0" w:space="0" w:color="auto"/>
        <w:left w:val="none" w:sz="0" w:space="0" w:color="auto"/>
        <w:bottom w:val="none" w:sz="0" w:space="0" w:color="auto"/>
        <w:right w:val="none" w:sz="0" w:space="0" w:color="auto"/>
      </w:divBdr>
    </w:div>
    <w:div w:id="446121703">
      <w:bodyDiv w:val="1"/>
      <w:marLeft w:val="0"/>
      <w:marRight w:val="0"/>
      <w:marTop w:val="0"/>
      <w:marBottom w:val="0"/>
      <w:divBdr>
        <w:top w:val="none" w:sz="0" w:space="0" w:color="auto"/>
        <w:left w:val="none" w:sz="0" w:space="0" w:color="auto"/>
        <w:bottom w:val="none" w:sz="0" w:space="0" w:color="auto"/>
        <w:right w:val="none" w:sz="0" w:space="0" w:color="auto"/>
      </w:divBdr>
    </w:div>
    <w:div w:id="558396470">
      <w:bodyDiv w:val="1"/>
      <w:marLeft w:val="0"/>
      <w:marRight w:val="0"/>
      <w:marTop w:val="0"/>
      <w:marBottom w:val="0"/>
      <w:divBdr>
        <w:top w:val="none" w:sz="0" w:space="0" w:color="auto"/>
        <w:left w:val="none" w:sz="0" w:space="0" w:color="auto"/>
        <w:bottom w:val="none" w:sz="0" w:space="0" w:color="auto"/>
        <w:right w:val="none" w:sz="0" w:space="0" w:color="auto"/>
      </w:divBdr>
    </w:div>
    <w:div w:id="1364477688">
      <w:bodyDiv w:val="1"/>
      <w:marLeft w:val="0"/>
      <w:marRight w:val="0"/>
      <w:marTop w:val="0"/>
      <w:marBottom w:val="0"/>
      <w:divBdr>
        <w:top w:val="none" w:sz="0" w:space="0" w:color="auto"/>
        <w:left w:val="none" w:sz="0" w:space="0" w:color="auto"/>
        <w:bottom w:val="none" w:sz="0" w:space="0" w:color="auto"/>
        <w:right w:val="none" w:sz="0" w:space="0" w:color="auto"/>
      </w:divBdr>
    </w:div>
    <w:div w:id="1404522786">
      <w:bodyDiv w:val="1"/>
      <w:marLeft w:val="0"/>
      <w:marRight w:val="0"/>
      <w:marTop w:val="0"/>
      <w:marBottom w:val="0"/>
      <w:divBdr>
        <w:top w:val="none" w:sz="0" w:space="0" w:color="auto"/>
        <w:left w:val="none" w:sz="0" w:space="0" w:color="auto"/>
        <w:bottom w:val="none" w:sz="0" w:space="0" w:color="auto"/>
        <w:right w:val="none" w:sz="0" w:space="0" w:color="auto"/>
      </w:divBdr>
    </w:div>
    <w:div w:id="2037000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footer" Target="footer3.xml"/><Relationship Id="rId39" Type="http://schemas.openxmlformats.org/officeDocument/2006/relationships/image" Target="media/image17.png"/><Relationship Id="rId21" Type="http://schemas.openxmlformats.org/officeDocument/2006/relationships/diagramLayout" Target="diagrams/layout1.xml"/><Relationship Id="rId34" Type="http://schemas.openxmlformats.org/officeDocument/2006/relationships/footer" Target="footer4.xml"/><Relationship Id="rId42" Type="http://schemas.openxmlformats.org/officeDocument/2006/relationships/image" Target="media/image20.sv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microsoft.com/office/2007/relationships/diagramDrawing" Target="diagrams/drawing1.xml"/><Relationship Id="rId32" Type="http://schemas.openxmlformats.org/officeDocument/2006/relationships/image" Target="media/image14.png"/><Relationship Id="rId37" Type="http://schemas.openxmlformats.org/officeDocument/2006/relationships/footer" Target="footer5.xml"/><Relationship Id="rId40" Type="http://schemas.openxmlformats.org/officeDocument/2006/relationships/image" Target="media/image18.svg"/><Relationship Id="rId45" Type="http://schemas.openxmlformats.org/officeDocument/2006/relationships/hyperlink" Target="https://creativecommons.org/licenses/by/4.0/"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diagramColors" Target="diagrams/colors1.xml"/><Relationship Id="rId28" Type="http://schemas.openxmlformats.org/officeDocument/2006/relationships/image" Target="media/image10.svg"/><Relationship Id="rId36" Type="http://schemas.openxmlformats.org/officeDocument/2006/relationships/image" Target="media/image16.sv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13.png"/><Relationship Id="rId44"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yperlink" Target="file:///\\soton.ac.uk\Users\justinaunger\Library\Mobile%20Documents\com~apple~CloudDocs\Bham%20work\Final%20Report\IOC%20Report%20final%20NIHR%20upload%20v2+JA.docx" TargetMode="External"/><Relationship Id="rId14" Type="http://schemas.openxmlformats.org/officeDocument/2006/relationships/image" Target="media/image3.png"/><Relationship Id="rId22" Type="http://schemas.openxmlformats.org/officeDocument/2006/relationships/diagramQuickStyle" Target="diagrams/quickStyle1.xml"/><Relationship Id="rId27" Type="http://schemas.openxmlformats.org/officeDocument/2006/relationships/image" Target="media/image9.png"/><Relationship Id="rId30" Type="http://schemas.openxmlformats.org/officeDocument/2006/relationships/image" Target="media/image12.emf"/><Relationship Id="rId35" Type="http://schemas.openxmlformats.org/officeDocument/2006/relationships/image" Target="media/image15.png"/><Relationship Id="rId43" Type="http://schemas.openxmlformats.org/officeDocument/2006/relationships/footer" Target="footer7.xml"/><Relationship Id="rId8" Type="http://schemas.openxmlformats.org/officeDocument/2006/relationships/hyperlink" Target="mailto:r.millar@bham.ac.uk"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header" Target="header1.xml"/><Relationship Id="rId33" Type="http://schemas.openxmlformats.org/officeDocument/2006/relationships/header" Target="header2.xml"/><Relationship Id="rId38" Type="http://schemas.openxmlformats.org/officeDocument/2006/relationships/footer" Target="footer6.xml"/><Relationship Id="rId46" Type="http://schemas.openxmlformats.org/officeDocument/2006/relationships/fontTable" Target="fontTable.xml"/><Relationship Id="rId20" Type="http://schemas.openxmlformats.org/officeDocument/2006/relationships/diagramData" Target="diagrams/data1.xml"/><Relationship Id="rId41" Type="http://schemas.openxmlformats.org/officeDocument/2006/relationships/image" Target="media/image19.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0170CCF-5590-44C8-82A9-8D5E68B6FC22}"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en-GB"/>
        </a:p>
      </dgm:t>
    </dgm:pt>
    <dgm:pt modelId="{D7FD803B-A70A-4482-B846-F8C1796E1673}">
      <dgm:prSet phldrT="[Text]"/>
      <dgm:spPr/>
      <dgm:t>
        <a:bodyPr/>
        <a:lstStyle/>
        <a:p>
          <a:r>
            <a:rPr lang="en-GB" dirty="0"/>
            <a:t>Phase 1 – Purposive search</a:t>
          </a:r>
        </a:p>
      </dgm:t>
    </dgm:pt>
    <dgm:pt modelId="{2610F8A4-EEB8-4A51-AB91-A4BA2130C94C}" type="parTrans" cxnId="{09B58E33-2C73-403D-BEBB-5BB500EA3FE8}">
      <dgm:prSet/>
      <dgm:spPr/>
      <dgm:t>
        <a:bodyPr/>
        <a:lstStyle/>
        <a:p>
          <a:endParaRPr lang="en-GB"/>
        </a:p>
      </dgm:t>
    </dgm:pt>
    <dgm:pt modelId="{D8B56883-5E58-4F37-AA26-AEEBB1968A4F}" type="sibTrans" cxnId="{09B58E33-2C73-403D-BEBB-5BB500EA3FE8}">
      <dgm:prSet/>
      <dgm:spPr/>
      <dgm:t>
        <a:bodyPr/>
        <a:lstStyle/>
        <a:p>
          <a:endParaRPr lang="en-GB"/>
        </a:p>
      </dgm:t>
    </dgm:pt>
    <dgm:pt modelId="{ACD0CDBD-8F41-400A-8078-4FE49B37C8FE}">
      <dgm:prSet phldrT="[Text]"/>
      <dgm:spPr/>
      <dgm:t>
        <a:bodyPr/>
        <a:lstStyle/>
        <a:p>
          <a:r>
            <a:rPr lang="en-GB" dirty="0"/>
            <a:t>Policy and organisational documents.</a:t>
          </a:r>
        </a:p>
      </dgm:t>
    </dgm:pt>
    <dgm:pt modelId="{DBC11D07-432B-4AB2-8606-18C0960988FC}" type="parTrans" cxnId="{126D5026-3975-4941-ADB4-9305EBB16D6B}">
      <dgm:prSet/>
      <dgm:spPr/>
      <dgm:t>
        <a:bodyPr/>
        <a:lstStyle/>
        <a:p>
          <a:endParaRPr lang="en-GB"/>
        </a:p>
      </dgm:t>
    </dgm:pt>
    <dgm:pt modelId="{B8441D63-57A9-4282-9AE9-5557C9184D1E}" type="sibTrans" cxnId="{126D5026-3975-4941-ADB4-9305EBB16D6B}">
      <dgm:prSet/>
      <dgm:spPr/>
      <dgm:t>
        <a:bodyPr/>
        <a:lstStyle/>
        <a:p>
          <a:endParaRPr lang="en-GB"/>
        </a:p>
      </dgm:t>
    </dgm:pt>
    <dgm:pt modelId="{843E0DDF-50B7-46AD-A132-40B953684493}">
      <dgm:prSet phldrT="[Text]"/>
      <dgm:spPr/>
      <dgm:t>
        <a:bodyPr/>
        <a:lstStyle/>
        <a:p>
          <a:r>
            <a:rPr lang="en-GB" dirty="0"/>
            <a:t>Phase 2 – Systematic search &amp; purposive theoretical search</a:t>
          </a:r>
        </a:p>
      </dgm:t>
    </dgm:pt>
    <dgm:pt modelId="{379B03F0-CC2C-4BD3-ACB3-D09B0F5298D9}" type="parTrans" cxnId="{DE69D253-1887-4491-9B49-B835C013B770}">
      <dgm:prSet/>
      <dgm:spPr/>
      <dgm:t>
        <a:bodyPr/>
        <a:lstStyle/>
        <a:p>
          <a:endParaRPr lang="en-GB"/>
        </a:p>
      </dgm:t>
    </dgm:pt>
    <dgm:pt modelId="{FDA7B41B-7DA0-43F3-A057-699C87C18BCC}" type="sibTrans" cxnId="{DE69D253-1887-4491-9B49-B835C013B770}">
      <dgm:prSet/>
      <dgm:spPr/>
      <dgm:t>
        <a:bodyPr/>
        <a:lstStyle/>
        <a:p>
          <a:endParaRPr lang="en-GB"/>
        </a:p>
      </dgm:t>
    </dgm:pt>
    <dgm:pt modelId="{083BEA73-5DA0-44E1-AF41-D78D630C9C5A}">
      <dgm:prSet phldrT="[Text]"/>
      <dgm:spPr/>
      <dgm:t>
        <a:bodyPr/>
        <a:lstStyle/>
        <a:p>
          <a:r>
            <a:rPr lang="en-GB" dirty="0"/>
            <a:t>Case studies, literature reviews, and theoretical papers identified systematically.</a:t>
          </a:r>
        </a:p>
      </dgm:t>
    </dgm:pt>
    <dgm:pt modelId="{6E832E6A-4F73-4099-8D0B-B5CDF6068BC1}" type="parTrans" cxnId="{5DED17BB-9777-4169-A954-4CE86956BC59}">
      <dgm:prSet/>
      <dgm:spPr/>
      <dgm:t>
        <a:bodyPr/>
        <a:lstStyle/>
        <a:p>
          <a:endParaRPr lang="en-GB"/>
        </a:p>
      </dgm:t>
    </dgm:pt>
    <dgm:pt modelId="{3F9DA989-D4E1-4ACE-84B4-34C6E69B3F1A}" type="sibTrans" cxnId="{5DED17BB-9777-4169-A954-4CE86956BC59}">
      <dgm:prSet/>
      <dgm:spPr/>
      <dgm:t>
        <a:bodyPr/>
        <a:lstStyle/>
        <a:p>
          <a:endParaRPr lang="en-GB"/>
        </a:p>
      </dgm:t>
    </dgm:pt>
    <dgm:pt modelId="{3730F8F5-E48A-4921-875D-34FB32B7ADEF}">
      <dgm:prSet phldrT="[Text]"/>
      <dgm:spPr/>
      <dgm:t>
        <a:bodyPr/>
        <a:lstStyle/>
        <a:p>
          <a:r>
            <a:rPr lang="en-GB" dirty="0"/>
            <a:t>Phase 3 – Case studies only</a:t>
          </a:r>
        </a:p>
      </dgm:t>
    </dgm:pt>
    <dgm:pt modelId="{AC329AF7-99EB-42BC-BFAC-D9E4FAB8BCD8}" type="parTrans" cxnId="{65BA233F-326D-45C8-8F10-36E0F3AD0357}">
      <dgm:prSet/>
      <dgm:spPr/>
      <dgm:t>
        <a:bodyPr/>
        <a:lstStyle/>
        <a:p>
          <a:endParaRPr lang="en-GB"/>
        </a:p>
      </dgm:t>
    </dgm:pt>
    <dgm:pt modelId="{885EF21E-16B2-4528-A704-EA902CBF63E0}" type="sibTrans" cxnId="{65BA233F-326D-45C8-8F10-36E0F3AD0357}">
      <dgm:prSet/>
      <dgm:spPr/>
      <dgm:t>
        <a:bodyPr/>
        <a:lstStyle/>
        <a:p>
          <a:endParaRPr lang="en-GB"/>
        </a:p>
      </dgm:t>
    </dgm:pt>
    <dgm:pt modelId="{19455C54-61D1-400A-8337-3BAAC7AA692C}">
      <dgm:prSet phldrT="[Text]"/>
      <dgm:spPr/>
      <dgm:t>
        <a:bodyPr/>
        <a:lstStyle/>
        <a:p>
          <a:r>
            <a:rPr lang="en-GB" dirty="0"/>
            <a:t>Case studies from phase 2 retained.</a:t>
          </a:r>
        </a:p>
      </dgm:t>
    </dgm:pt>
    <dgm:pt modelId="{A302705F-71BF-4D98-B0A4-C4785DEEA774}" type="parTrans" cxnId="{97B5B590-0D0E-4E2D-B439-C73DBEE5DC5D}">
      <dgm:prSet/>
      <dgm:spPr/>
      <dgm:t>
        <a:bodyPr/>
        <a:lstStyle/>
        <a:p>
          <a:endParaRPr lang="en-GB"/>
        </a:p>
      </dgm:t>
    </dgm:pt>
    <dgm:pt modelId="{0E7A6483-99D1-4281-8792-90DFF3CE121B}" type="sibTrans" cxnId="{97B5B590-0D0E-4E2D-B439-C73DBEE5DC5D}">
      <dgm:prSet/>
      <dgm:spPr/>
      <dgm:t>
        <a:bodyPr/>
        <a:lstStyle/>
        <a:p>
          <a:endParaRPr lang="en-GB"/>
        </a:p>
      </dgm:t>
    </dgm:pt>
    <dgm:pt modelId="{EEC4706E-1D3E-4DA6-928B-1F3BC69FB4A8}">
      <dgm:prSet phldrT="[Text]"/>
      <dgm:spPr/>
      <dgm:t>
        <a:bodyPr/>
        <a:lstStyle/>
        <a:p>
          <a:r>
            <a:rPr lang="en-GB" dirty="0"/>
            <a:t>Literature reviews on inter-organisational collaboration.</a:t>
          </a:r>
        </a:p>
      </dgm:t>
    </dgm:pt>
    <dgm:pt modelId="{A0D40CF9-BC7D-4416-BFA4-101625E43AB2}" type="parTrans" cxnId="{A02799BF-BBCA-4F41-B3BB-8263F9D970FF}">
      <dgm:prSet/>
      <dgm:spPr/>
      <dgm:t>
        <a:bodyPr/>
        <a:lstStyle/>
        <a:p>
          <a:endParaRPr lang="en-GB"/>
        </a:p>
      </dgm:t>
    </dgm:pt>
    <dgm:pt modelId="{9480265B-2EB1-43A2-A84E-B9B7A8D8A4C7}" type="sibTrans" cxnId="{A02799BF-BBCA-4F41-B3BB-8263F9D970FF}">
      <dgm:prSet/>
      <dgm:spPr/>
      <dgm:t>
        <a:bodyPr/>
        <a:lstStyle/>
        <a:p>
          <a:endParaRPr lang="en-GB"/>
        </a:p>
      </dgm:t>
    </dgm:pt>
    <dgm:pt modelId="{F20C095F-E439-4400-B8DC-FA689D033F5A}">
      <dgm:prSet phldrT="[Text]"/>
      <dgm:spPr/>
      <dgm:t>
        <a:bodyPr/>
        <a:lstStyle/>
        <a:p>
          <a:r>
            <a:rPr lang="en-GB" dirty="0"/>
            <a:t>Further theoretical papers identified purposively.</a:t>
          </a:r>
        </a:p>
      </dgm:t>
    </dgm:pt>
    <dgm:pt modelId="{7AD64C09-3EAA-4BD0-8CB6-2220BB4B8F14}" type="parTrans" cxnId="{912F1811-5E71-4818-BFEC-DBE83B9EF6B9}">
      <dgm:prSet/>
      <dgm:spPr/>
      <dgm:t>
        <a:bodyPr/>
        <a:lstStyle/>
        <a:p>
          <a:endParaRPr lang="en-GB"/>
        </a:p>
      </dgm:t>
    </dgm:pt>
    <dgm:pt modelId="{5B1CA727-6BE8-4022-A9EF-251E8A66E4B4}" type="sibTrans" cxnId="{912F1811-5E71-4818-BFEC-DBE83B9EF6B9}">
      <dgm:prSet/>
      <dgm:spPr/>
      <dgm:t>
        <a:bodyPr/>
        <a:lstStyle/>
        <a:p>
          <a:endParaRPr lang="en-GB"/>
        </a:p>
      </dgm:t>
    </dgm:pt>
    <dgm:pt modelId="{89780302-6A29-40A6-80CC-426DF4477DA5}">
      <dgm:prSet phldrT="[Text]"/>
      <dgm:spPr/>
      <dgm:t>
        <a:bodyPr/>
        <a:lstStyle/>
        <a:p>
          <a:r>
            <a:rPr lang="en-GB" dirty="0"/>
            <a:t>New systematic search for further case studies.</a:t>
          </a:r>
        </a:p>
      </dgm:t>
    </dgm:pt>
    <dgm:pt modelId="{7DB70C3F-9A6F-4AB9-90C1-CB9F442AAEFB}" type="parTrans" cxnId="{B7E86569-9AE9-4062-8D67-B3017041C903}">
      <dgm:prSet/>
      <dgm:spPr/>
      <dgm:t>
        <a:bodyPr/>
        <a:lstStyle/>
        <a:p>
          <a:endParaRPr lang="en-GB"/>
        </a:p>
      </dgm:t>
    </dgm:pt>
    <dgm:pt modelId="{AF220D6E-9D60-42EA-AFE7-58C181274828}" type="sibTrans" cxnId="{B7E86569-9AE9-4062-8D67-B3017041C903}">
      <dgm:prSet/>
      <dgm:spPr/>
      <dgm:t>
        <a:bodyPr/>
        <a:lstStyle/>
        <a:p>
          <a:endParaRPr lang="en-GB"/>
        </a:p>
      </dgm:t>
    </dgm:pt>
    <dgm:pt modelId="{1A006575-CA0C-4724-B066-A14FB5AF83E8}">
      <dgm:prSet phldrT="[Text]"/>
      <dgm:spPr/>
      <dgm:t>
        <a:bodyPr/>
        <a:lstStyle/>
        <a:p>
          <a:r>
            <a:rPr lang="en-GB" dirty="0"/>
            <a:t>Purposive search on organisational websites to find evaluative reports.</a:t>
          </a:r>
        </a:p>
      </dgm:t>
    </dgm:pt>
    <dgm:pt modelId="{CC4EEF48-6C54-4B67-A182-E9A9681DF88F}" type="parTrans" cxnId="{1BAAF279-24F0-4ED6-9B1C-444CBF4E223B}">
      <dgm:prSet/>
      <dgm:spPr/>
      <dgm:t>
        <a:bodyPr/>
        <a:lstStyle/>
        <a:p>
          <a:endParaRPr lang="en-GB"/>
        </a:p>
      </dgm:t>
    </dgm:pt>
    <dgm:pt modelId="{55611CB2-A637-4B2A-AB52-54F289D7DC46}" type="sibTrans" cxnId="{1BAAF279-24F0-4ED6-9B1C-444CBF4E223B}">
      <dgm:prSet/>
      <dgm:spPr/>
      <dgm:t>
        <a:bodyPr/>
        <a:lstStyle/>
        <a:p>
          <a:endParaRPr lang="en-GB"/>
        </a:p>
      </dgm:t>
    </dgm:pt>
    <dgm:pt modelId="{F47FD641-FE0C-4958-9170-828A7CA4E736}" type="pres">
      <dgm:prSet presAssocID="{E0170CCF-5590-44C8-82A9-8D5E68B6FC22}" presName="linearFlow" presStyleCnt="0">
        <dgm:presLayoutVars>
          <dgm:dir/>
          <dgm:animLvl val="lvl"/>
          <dgm:resizeHandles val="exact"/>
        </dgm:presLayoutVars>
      </dgm:prSet>
      <dgm:spPr/>
    </dgm:pt>
    <dgm:pt modelId="{6FC46D2F-3CBC-4AD6-8DEE-BB6A2251A3EF}" type="pres">
      <dgm:prSet presAssocID="{D7FD803B-A70A-4482-B846-F8C1796E1673}" presName="composite" presStyleCnt="0"/>
      <dgm:spPr/>
    </dgm:pt>
    <dgm:pt modelId="{41A8D276-8055-494D-A1C5-897F09A5452E}" type="pres">
      <dgm:prSet presAssocID="{D7FD803B-A70A-4482-B846-F8C1796E1673}" presName="parTx" presStyleLbl="node1" presStyleIdx="0" presStyleCnt="3">
        <dgm:presLayoutVars>
          <dgm:chMax val="0"/>
          <dgm:chPref val="0"/>
          <dgm:bulletEnabled val="1"/>
        </dgm:presLayoutVars>
      </dgm:prSet>
      <dgm:spPr/>
    </dgm:pt>
    <dgm:pt modelId="{FB2377EE-2FF0-4018-9F9B-F2223B96E04B}" type="pres">
      <dgm:prSet presAssocID="{D7FD803B-A70A-4482-B846-F8C1796E1673}" presName="parSh" presStyleLbl="node1" presStyleIdx="0" presStyleCnt="3"/>
      <dgm:spPr/>
    </dgm:pt>
    <dgm:pt modelId="{8CE87CC7-845B-451E-ADB4-C32293538169}" type="pres">
      <dgm:prSet presAssocID="{D7FD803B-A70A-4482-B846-F8C1796E1673}" presName="desTx" presStyleLbl="fgAcc1" presStyleIdx="0" presStyleCnt="3">
        <dgm:presLayoutVars>
          <dgm:bulletEnabled val="1"/>
        </dgm:presLayoutVars>
      </dgm:prSet>
      <dgm:spPr/>
    </dgm:pt>
    <dgm:pt modelId="{743F7785-2CBF-4A54-B849-1558D3D88142}" type="pres">
      <dgm:prSet presAssocID="{D8B56883-5E58-4F37-AA26-AEEBB1968A4F}" presName="sibTrans" presStyleLbl="sibTrans2D1" presStyleIdx="0" presStyleCnt="2"/>
      <dgm:spPr/>
    </dgm:pt>
    <dgm:pt modelId="{7C981D62-C2A0-41A3-857C-61573CD91CBE}" type="pres">
      <dgm:prSet presAssocID="{D8B56883-5E58-4F37-AA26-AEEBB1968A4F}" presName="connTx" presStyleLbl="sibTrans2D1" presStyleIdx="0" presStyleCnt="2"/>
      <dgm:spPr/>
    </dgm:pt>
    <dgm:pt modelId="{6594F3A6-4E7C-45EC-BBA1-FB2779BAFD17}" type="pres">
      <dgm:prSet presAssocID="{843E0DDF-50B7-46AD-A132-40B953684493}" presName="composite" presStyleCnt="0"/>
      <dgm:spPr/>
    </dgm:pt>
    <dgm:pt modelId="{C4EC21E4-99E0-41D3-A323-2A2A84E85873}" type="pres">
      <dgm:prSet presAssocID="{843E0DDF-50B7-46AD-A132-40B953684493}" presName="parTx" presStyleLbl="node1" presStyleIdx="0" presStyleCnt="3">
        <dgm:presLayoutVars>
          <dgm:chMax val="0"/>
          <dgm:chPref val="0"/>
          <dgm:bulletEnabled val="1"/>
        </dgm:presLayoutVars>
      </dgm:prSet>
      <dgm:spPr/>
    </dgm:pt>
    <dgm:pt modelId="{EEE0DF8E-B9AB-4BB9-8F24-635D6EEF9814}" type="pres">
      <dgm:prSet presAssocID="{843E0DDF-50B7-46AD-A132-40B953684493}" presName="parSh" presStyleLbl="node1" presStyleIdx="1" presStyleCnt="3"/>
      <dgm:spPr/>
    </dgm:pt>
    <dgm:pt modelId="{720D8DA9-E482-434D-912D-852BC1B261AF}" type="pres">
      <dgm:prSet presAssocID="{843E0DDF-50B7-46AD-A132-40B953684493}" presName="desTx" presStyleLbl="fgAcc1" presStyleIdx="1" presStyleCnt="3">
        <dgm:presLayoutVars>
          <dgm:bulletEnabled val="1"/>
        </dgm:presLayoutVars>
      </dgm:prSet>
      <dgm:spPr/>
    </dgm:pt>
    <dgm:pt modelId="{D48677B3-ADD1-474D-98CD-38E649AC5712}" type="pres">
      <dgm:prSet presAssocID="{FDA7B41B-7DA0-43F3-A057-699C87C18BCC}" presName="sibTrans" presStyleLbl="sibTrans2D1" presStyleIdx="1" presStyleCnt="2"/>
      <dgm:spPr/>
    </dgm:pt>
    <dgm:pt modelId="{AAC2BDC1-45A6-491B-8606-8B4E45CC10C4}" type="pres">
      <dgm:prSet presAssocID="{FDA7B41B-7DA0-43F3-A057-699C87C18BCC}" presName="connTx" presStyleLbl="sibTrans2D1" presStyleIdx="1" presStyleCnt="2"/>
      <dgm:spPr/>
    </dgm:pt>
    <dgm:pt modelId="{C233A908-F462-47B6-92AB-F58BF6FF7C0C}" type="pres">
      <dgm:prSet presAssocID="{3730F8F5-E48A-4921-875D-34FB32B7ADEF}" presName="composite" presStyleCnt="0"/>
      <dgm:spPr/>
    </dgm:pt>
    <dgm:pt modelId="{78C2AC2E-172D-4E38-8E7D-8CF0FBC5AC5B}" type="pres">
      <dgm:prSet presAssocID="{3730F8F5-E48A-4921-875D-34FB32B7ADEF}" presName="parTx" presStyleLbl="node1" presStyleIdx="1" presStyleCnt="3">
        <dgm:presLayoutVars>
          <dgm:chMax val="0"/>
          <dgm:chPref val="0"/>
          <dgm:bulletEnabled val="1"/>
        </dgm:presLayoutVars>
      </dgm:prSet>
      <dgm:spPr/>
    </dgm:pt>
    <dgm:pt modelId="{51FFB1F0-3231-4ECE-9AEC-9A7E74BA617F}" type="pres">
      <dgm:prSet presAssocID="{3730F8F5-E48A-4921-875D-34FB32B7ADEF}" presName="parSh" presStyleLbl="node1" presStyleIdx="2" presStyleCnt="3"/>
      <dgm:spPr/>
    </dgm:pt>
    <dgm:pt modelId="{B31FC9DE-8C8A-4040-94DC-7C0177F843BF}" type="pres">
      <dgm:prSet presAssocID="{3730F8F5-E48A-4921-875D-34FB32B7ADEF}" presName="desTx" presStyleLbl="fgAcc1" presStyleIdx="2" presStyleCnt="3">
        <dgm:presLayoutVars>
          <dgm:bulletEnabled val="1"/>
        </dgm:presLayoutVars>
      </dgm:prSet>
      <dgm:spPr/>
    </dgm:pt>
  </dgm:ptLst>
  <dgm:cxnLst>
    <dgm:cxn modelId="{912F1811-5E71-4818-BFEC-DBE83B9EF6B9}" srcId="{843E0DDF-50B7-46AD-A132-40B953684493}" destId="{F20C095F-E439-4400-B8DC-FA689D033F5A}" srcOrd="1" destOrd="0" parTransId="{7AD64C09-3EAA-4BD0-8CB6-2220BB4B8F14}" sibTransId="{5B1CA727-6BE8-4022-A9EF-251E8A66E4B4}"/>
    <dgm:cxn modelId="{37E5171D-C5B7-40D6-875E-E276AF8F3479}" type="presOf" srcId="{EEC4706E-1D3E-4DA6-928B-1F3BC69FB4A8}" destId="{8CE87CC7-845B-451E-ADB4-C32293538169}" srcOrd="0" destOrd="1" presId="urn:microsoft.com/office/officeart/2005/8/layout/process3"/>
    <dgm:cxn modelId="{126D5026-3975-4941-ADB4-9305EBB16D6B}" srcId="{D7FD803B-A70A-4482-B846-F8C1796E1673}" destId="{ACD0CDBD-8F41-400A-8078-4FE49B37C8FE}" srcOrd="0" destOrd="0" parTransId="{DBC11D07-432B-4AB2-8606-18C0960988FC}" sibTransId="{B8441D63-57A9-4282-9AE9-5557C9184D1E}"/>
    <dgm:cxn modelId="{09B58E33-2C73-403D-BEBB-5BB500EA3FE8}" srcId="{E0170CCF-5590-44C8-82A9-8D5E68B6FC22}" destId="{D7FD803B-A70A-4482-B846-F8C1796E1673}" srcOrd="0" destOrd="0" parTransId="{2610F8A4-EEB8-4A51-AB91-A4BA2130C94C}" sibTransId="{D8B56883-5E58-4F37-AA26-AEEBB1968A4F}"/>
    <dgm:cxn modelId="{65BA233F-326D-45C8-8F10-36E0F3AD0357}" srcId="{E0170CCF-5590-44C8-82A9-8D5E68B6FC22}" destId="{3730F8F5-E48A-4921-875D-34FB32B7ADEF}" srcOrd="2" destOrd="0" parTransId="{AC329AF7-99EB-42BC-BFAC-D9E4FAB8BCD8}" sibTransId="{885EF21E-16B2-4528-A704-EA902CBF63E0}"/>
    <dgm:cxn modelId="{2C7F5E5E-3DAB-4F40-B287-38D12BCA5F08}" type="presOf" srcId="{F20C095F-E439-4400-B8DC-FA689D033F5A}" destId="{720D8DA9-E482-434D-912D-852BC1B261AF}" srcOrd="0" destOrd="1" presId="urn:microsoft.com/office/officeart/2005/8/layout/process3"/>
    <dgm:cxn modelId="{B7E86569-9AE9-4062-8D67-B3017041C903}" srcId="{3730F8F5-E48A-4921-875D-34FB32B7ADEF}" destId="{89780302-6A29-40A6-80CC-426DF4477DA5}" srcOrd="1" destOrd="0" parTransId="{7DB70C3F-9A6F-4AB9-90C1-CB9F442AAEFB}" sibTransId="{AF220D6E-9D60-42EA-AFE7-58C181274828}"/>
    <dgm:cxn modelId="{0A6E176A-33EC-448E-BD59-925DDBCC2F3D}" type="presOf" srcId="{D7FD803B-A70A-4482-B846-F8C1796E1673}" destId="{41A8D276-8055-494D-A1C5-897F09A5452E}" srcOrd="0" destOrd="0" presId="urn:microsoft.com/office/officeart/2005/8/layout/process3"/>
    <dgm:cxn modelId="{6005A352-25D9-4EF2-9437-64005B96CED6}" type="presOf" srcId="{1A006575-CA0C-4724-B066-A14FB5AF83E8}" destId="{B31FC9DE-8C8A-4040-94DC-7C0177F843BF}" srcOrd="0" destOrd="2" presId="urn:microsoft.com/office/officeart/2005/8/layout/process3"/>
    <dgm:cxn modelId="{DE69D253-1887-4491-9B49-B835C013B770}" srcId="{E0170CCF-5590-44C8-82A9-8D5E68B6FC22}" destId="{843E0DDF-50B7-46AD-A132-40B953684493}" srcOrd="1" destOrd="0" parTransId="{379B03F0-CC2C-4BD3-ACB3-D09B0F5298D9}" sibTransId="{FDA7B41B-7DA0-43F3-A057-699C87C18BCC}"/>
    <dgm:cxn modelId="{A7E76655-4EFF-42E0-AF5D-02333F911CA6}" type="presOf" srcId="{89780302-6A29-40A6-80CC-426DF4477DA5}" destId="{B31FC9DE-8C8A-4040-94DC-7C0177F843BF}" srcOrd="0" destOrd="1" presId="urn:microsoft.com/office/officeart/2005/8/layout/process3"/>
    <dgm:cxn modelId="{1BAAF279-24F0-4ED6-9B1C-444CBF4E223B}" srcId="{3730F8F5-E48A-4921-875D-34FB32B7ADEF}" destId="{1A006575-CA0C-4724-B066-A14FB5AF83E8}" srcOrd="2" destOrd="0" parTransId="{CC4EEF48-6C54-4B67-A182-E9A9681DF88F}" sibTransId="{55611CB2-A637-4B2A-AB52-54F289D7DC46}"/>
    <dgm:cxn modelId="{63895781-DCD2-4C87-9036-C0C2FCA4CFD2}" type="presOf" srcId="{843E0DDF-50B7-46AD-A132-40B953684493}" destId="{C4EC21E4-99E0-41D3-A323-2A2A84E85873}" srcOrd="0" destOrd="0" presId="urn:microsoft.com/office/officeart/2005/8/layout/process3"/>
    <dgm:cxn modelId="{97B5B590-0D0E-4E2D-B439-C73DBEE5DC5D}" srcId="{3730F8F5-E48A-4921-875D-34FB32B7ADEF}" destId="{19455C54-61D1-400A-8337-3BAAC7AA692C}" srcOrd="0" destOrd="0" parTransId="{A302705F-71BF-4D98-B0A4-C4785DEEA774}" sibTransId="{0E7A6483-99D1-4281-8792-90DFF3CE121B}"/>
    <dgm:cxn modelId="{4389F09A-7B37-4BCF-8B58-1578A5E04C71}" type="presOf" srcId="{E0170CCF-5590-44C8-82A9-8D5E68B6FC22}" destId="{F47FD641-FE0C-4958-9170-828A7CA4E736}" srcOrd="0" destOrd="0" presId="urn:microsoft.com/office/officeart/2005/8/layout/process3"/>
    <dgm:cxn modelId="{5AB5C9B5-BB10-459F-A942-5BA342534669}" type="presOf" srcId="{19455C54-61D1-400A-8337-3BAAC7AA692C}" destId="{B31FC9DE-8C8A-4040-94DC-7C0177F843BF}" srcOrd="0" destOrd="0" presId="urn:microsoft.com/office/officeart/2005/8/layout/process3"/>
    <dgm:cxn modelId="{5DED17BB-9777-4169-A954-4CE86956BC59}" srcId="{843E0DDF-50B7-46AD-A132-40B953684493}" destId="{083BEA73-5DA0-44E1-AF41-D78D630C9C5A}" srcOrd="0" destOrd="0" parTransId="{6E832E6A-4F73-4099-8D0B-B5CDF6068BC1}" sibTransId="{3F9DA989-D4E1-4ACE-84B4-34C6E69B3F1A}"/>
    <dgm:cxn modelId="{1FE4C9BD-72A5-4053-A9F1-BACA688803A7}" type="presOf" srcId="{3730F8F5-E48A-4921-875D-34FB32B7ADEF}" destId="{78C2AC2E-172D-4E38-8E7D-8CF0FBC5AC5B}" srcOrd="0" destOrd="0" presId="urn:microsoft.com/office/officeart/2005/8/layout/process3"/>
    <dgm:cxn modelId="{A02799BF-BBCA-4F41-B3BB-8263F9D970FF}" srcId="{D7FD803B-A70A-4482-B846-F8C1796E1673}" destId="{EEC4706E-1D3E-4DA6-928B-1F3BC69FB4A8}" srcOrd="1" destOrd="0" parTransId="{A0D40CF9-BC7D-4416-BFA4-101625E43AB2}" sibTransId="{9480265B-2EB1-43A2-A84E-B9B7A8D8A4C7}"/>
    <dgm:cxn modelId="{457EB9CB-A5D2-4F54-9064-BC532FFB4A66}" type="presOf" srcId="{D7FD803B-A70A-4482-B846-F8C1796E1673}" destId="{FB2377EE-2FF0-4018-9F9B-F2223B96E04B}" srcOrd="1" destOrd="0" presId="urn:microsoft.com/office/officeart/2005/8/layout/process3"/>
    <dgm:cxn modelId="{F18F7DD9-1B82-4763-A4A2-876DB5AF2B8E}" type="presOf" srcId="{FDA7B41B-7DA0-43F3-A057-699C87C18BCC}" destId="{D48677B3-ADD1-474D-98CD-38E649AC5712}" srcOrd="0" destOrd="0" presId="urn:microsoft.com/office/officeart/2005/8/layout/process3"/>
    <dgm:cxn modelId="{831CD6DE-D2B3-417D-85EF-8A74FE5C7CB4}" type="presOf" srcId="{D8B56883-5E58-4F37-AA26-AEEBB1968A4F}" destId="{7C981D62-C2A0-41A3-857C-61573CD91CBE}" srcOrd="1" destOrd="0" presId="urn:microsoft.com/office/officeart/2005/8/layout/process3"/>
    <dgm:cxn modelId="{43A787E5-05A2-4A9F-84D2-2C4B2306F9AA}" type="presOf" srcId="{083BEA73-5DA0-44E1-AF41-D78D630C9C5A}" destId="{720D8DA9-E482-434D-912D-852BC1B261AF}" srcOrd="0" destOrd="0" presId="urn:microsoft.com/office/officeart/2005/8/layout/process3"/>
    <dgm:cxn modelId="{CFCB11E7-1E6F-4486-961E-D67F3511C287}" type="presOf" srcId="{ACD0CDBD-8F41-400A-8078-4FE49B37C8FE}" destId="{8CE87CC7-845B-451E-ADB4-C32293538169}" srcOrd="0" destOrd="0" presId="urn:microsoft.com/office/officeart/2005/8/layout/process3"/>
    <dgm:cxn modelId="{369980EC-0DA3-4947-BEE9-601E75B55982}" type="presOf" srcId="{D8B56883-5E58-4F37-AA26-AEEBB1968A4F}" destId="{743F7785-2CBF-4A54-B849-1558D3D88142}" srcOrd="0" destOrd="0" presId="urn:microsoft.com/office/officeart/2005/8/layout/process3"/>
    <dgm:cxn modelId="{398C4CEE-423E-4BF7-A839-EF8C3C25C756}" type="presOf" srcId="{FDA7B41B-7DA0-43F3-A057-699C87C18BCC}" destId="{AAC2BDC1-45A6-491B-8606-8B4E45CC10C4}" srcOrd="1" destOrd="0" presId="urn:microsoft.com/office/officeart/2005/8/layout/process3"/>
    <dgm:cxn modelId="{E2DEC5F4-AE71-4C64-B02E-A9C81467C113}" type="presOf" srcId="{843E0DDF-50B7-46AD-A132-40B953684493}" destId="{EEE0DF8E-B9AB-4BB9-8F24-635D6EEF9814}" srcOrd="1" destOrd="0" presId="urn:microsoft.com/office/officeart/2005/8/layout/process3"/>
    <dgm:cxn modelId="{3B2FB6FF-FF06-464B-A0F3-408D0B328863}" type="presOf" srcId="{3730F8F5-E48A-4921-875D-34FB32B7ADEF}" destId="{51FFB1F0-3231-4ECE-9AEC-9A7E74BA617F}" srcOrd="1" destOrd="0" presId="urn:microsoft.com/office/officeart/2005/8/layout/process3"/>
    <dgm:cxn modelId="{313FFBEA-B004-4197-94A3-E7C3E6416D6A}" type="presParOf" srcId="{F47FD641-FE0C-4958-9170-828A7CA4E736}" destId="{6FC46D2F-3CBC-4AD6-8DEE-BB6A2251A3EF}" srcOrd="0" destOrd="0" presId="urn:microsoft.com/office/officeart/2005/8/layout/process3"/>
    <dgm:cxn modelId="{E3B93C73-2734-470F-9F6A-4BA89521C494}" type="presParOf" srcId="{6FC46D2F-3CBC-4AD6-8DEE-BB6A2251A3EF}" destId="{41A8D276-8055-494D-A1C5-897F09A5452E}" srcOrd="0" destOrd="0" presId="urn:microsoft.com/office/officeart/2005/8/layout/process3"/>
    <dgm:cxn modelId="{BFE16FC6-3F12-4883-A821-F7EC9DD39E8D}" type="presParOf" srcId="{6FC46D2F-3CBC-4AD6-8DEE-BB6A2251A3EF}" destId="{FB2377EE-2FF0-4018-9F9B-F2223B96E04B}" srcOrd="1" destOrd="0" presId="urn:microsoft.com/office/officeart/2005/8/layout/process3"/>
    <dgm:cxn modelId="{642634DC-98A3-4F4D-B817-618DD5A9E304}" type="presParOf" srcId="{6FC46D2F-3CBC-4AD6-8DEE-BB6A2251A3EF}" destId="{8CE87CC7-845B-451E-ADB4-C32293538169}" srcOrd="2" destOrd="0" presId="urn:microsoft.com/office/officeart/2005/8/layout/process3"/>
    <dgm:cxn modelId="{2E95FC39-BBB7-4ADC-B44C-D227ABF6770B}" type="presParOf" srcId="{F47FD641-FE0C-4958-9170-828A7CA4E736}" destId="{743F7785-2CBF-4A54-B849-1558D3D88142}" srcOrd="1" destOrd="0" presId="urn:microsoft.com/office/officeart/2005/8/layout/process3"/>
    <dgm:cxn modelId="{0050AF9A-08C2-4D44-9EAB-843D10023D9A}" type="presParOf" srcId="{743F7785-2CBF-4A54-B849-1558D3D88142}" destId="{7C981D62-C2A0-41A3-857C-61573CD91CBE}" srcOrd="0" destOrd="0" presId="urn:microsoft.com/office/officeart/2005/8/layout/process3"/>
    <dgm:cxn modelId="{21460713-E647-4B9F-BA00-6D4405130017}" type="presParOf" srcId="{F47FD641-FE0C-4958-9170-828A7CA4E736}" destId="{6594F3A6-4E7C-45EC-BBA1-FB2779BAFD17}" srcOrd="2" destOrd="0" presId="urn:microsoft.com/office/officeart/2005/8/layout/process3"/>
    <dgm:cxn modelId="{7C3534DE-B553-4AB9-94D2-BA09FF82626A}" type="presParOf" srcId="{6594F3A6-4E7C-45EC-BBA1-FB2779BAFD17}" destId="{C4EC21E4-99E0-41D3-A323-2A2A84E85873}" srcOrd="0" destOrd="0" presId="urn:microsoft.com/office/officeart/2005/8/layout/process3"/>
    <dgm:cxn modelId="{40757BBE-5DDD-40BA-9807-08F43E9B1B1B}" type="presParOf" srcId="{6594F3A6-4E7C-45EC-BBA1-FB2779BAFD17}" destId="{EEE0DF8E-B9AB-4BB9-8F24-635D6EEF9814}" srcOrd="1" destOrd="0" presId="urn:microsoft.com/office/officeart/2005/8/layout/process3"/>
    <dgm:cxn modelId="{820C51E4-E63E-4819-8C8C-C2FBF135F25B}" type="presParOf" srcId="{6594F3A6-4E7C-45EC-BBA1-FB2779BAFD17}" destId="{720D8DA9-E482-434D-912D-852BC1B261AF}" srcOrd="2" destOrd="0" presId="urn:microsoft.com/office/officeart/2005/8/layout/process3"/>
    <dgm:cxn modelId="{9FE31E34-A634-47D8-AB3E-E7727FA48D02}" type="presParOf" srcId="{F47FD641-FE0C-4958-9170-828A7CA4E736}" destId="{D48677B3-ADD1-474D-98CD-38E649AC5712}" srcOrd="3" destOrd="0" presId="urn:microsoft.com/office/officeart/2005/8/layout/process3"/>
    <dgm:cxn modelId="{F1C22A4E-9BBC-4C5F-B862-FD033C3F5F56}" type="presParOf" srcId="{D48677B3-ADD1-474D-98CD-38E649AC5712}" destId="{AAC2BDC1-45A6-491B-8606-8B4E45CC10C4}" srcOrd="0" destOrd="0" presId="urn:microsoft.com/office/officeart/2005/8/layout/process3"/>
    <dgm:cxn modelId="{39F080D2-04FD-4613-8799-97E7C684CF52}" type="presParOf" srcId="{F47FD641-FE0C-4958-9170-828A7CA4E736}" destId="{C233A908-F462-47B6-92AB-F58BF6FF7C0C}" srcOrd="4" destOrd="0" presId="urn:microsoft.com/office/officeart/2005/8/layout/process3"/>
    <dgm:cxn modelId="{3622C1C2-4DC3-4507-B28A-B70108BFD8BE}" type="presParOf" srcId="{C233A908-F462-47B6-92AB-F58BF6FF7C0C}" destId="{78C2AC2E-172D-4E38-8E7D-8CF0FBC5AC5B}" srcOrd="0" destOrd="0" presId="urn:microsoft.com/office/officeart/2005/8/layout/process3"/>
    <dgm:cxn modelId="{F2B3D45B-0060-498F-8655-D5CF46193C34}" type="presParOf" srcId="{C233A908-F462-47B6-92AB-F58BF6FF7C0C}" destId="{51FFB1F0-3231-4ECE-9AEC-9A7E74BA617F}" srcOrd="1" destOrd="0" presId="urn:microsoft.com/office/officeart/2005/8/layout/process3"/>
    <dgm:cxn modelId="{7BE23259-07C1-4C75-B3DC-047F132546CB}" type="presParOf" srcId="{C233A908-F462-47B6-92AB-F58BF6FF7C0C}" destId="{B31FC9DE-8C8A-4040-94DC-7C0177F843BF}" srcOrd="2" destOrd="0" presId="urn:microsoft.com/office/officeart/2005/8/layout/process3"/>
  </dgm:cxnLst>
  <dgm:bg/>
  <dgm:whole>
    <a:ln w="19050">
      <a:solidFill>
        <a:schemeClr val="tx1"/>
      </a:solidFill>
    </a:ln>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B2377EE-2FF0-4018-9F9B-F2223B96E04B}">
      <dsp:nvSpPr>
        <dsp:cNvPr id="0" name=""/>
        <dsp:cNvSpPr/>
      </dsp:nvSpPr>
      <dsp:spPr>
        <a:xfrm>
          <a:off x="2850" y="354315"/>
          <a:ext cx="1296138" cy="71692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GB" sz="900" kern="1200" dirty="0"/>
            <a:t>Phase 1 – Purposive search</a:t>
          </a:r>
        </a:p>
      </dsp:txBody>
      <dsp:txXfrm>
        <a:off x="2850" y="354315"/>
        <a:ext cx="1296138" cy="477946"/>
      </dsp:txXfrm>
    </dsp:sp>
    <dsp:sp modelId="{8CE87CC7-845B-451E-ADB4-C32293538169}">
      <dsp:nvSpPr>
        <dsp:cNvPr id="0" name=""/>
        <dsp:cNvSpPr/>
      </dsp:nvSpPr>
      <dsp:spPr>
        <a:xfrm>
          <a:off x="268324" y="832262"/>
          <a:ext cx="1296138" cy="140104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GB" sz="900" kern="1200" dirty="0"/>
            <a:t>Policy and organisational documents.</a:t>
          </a:r>
        </a:p>
        <a:p>
          <a:pPr marL="57150" lvl="1" indent="-57150" algn="l" defTabSz="400050">
            <a:lnSpc>
              <a:spcPct val="90000"/>
            </a:lnSpc>
            <a:spcBef>
              <a:spcPct val="0"/>
            </a:spcBef>
            <a:spcAft>
              <a:spcPct val="15000"/>
            </a:spcAft>
            <a:buChar char="•"/>
          </a:pPr>
          <a:r>
            <a:rPr lang="en-GB" sz="900" kern="1200" dirty="0"/>
            <a:t>Literature reviews on inter-organisational collaboration.</a:t>
          </a:r>
        </a:p>
      </dsp:txBody>
      <dsp:txXfrm>
        <a:off x="306287" y="870225"/>
        <a:ext cx="1220212" cy="1325120"/>
      </dsp:txXfrm>
    </dsp:sp>
    <dsp:sp modelId="{743F7785-2CBF-4A54-B849-1558D3D88142}">
      <dsp:nvSpPr>
        <dsp:cNvPr id="0" name=""/>
        <dsp:cNvSpPr/>
      </dsp:nvSpPr>
      <dsp:spPr>
        <a:xfrm>
          <a:off x="1495478" y="431938"/>
          <a:ext cx="416558" cy="32270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GB" sz="700" kern="1200"/>
        </a:p>
      </dsp:txBody>
      <dsp:txXfrm>
        <a:off x="1495478" y="496478"/>
        <a:ext cx="319748" cy="193620"/>
      </dsp:txXfrm>
    </dsp:sp>
    <dsp:sp modelId="{EEE0DF8E-B9AB-4BB9-8F24-635D6EEF9814}">
      <dsp:nvSpPr>
        <dsp:cNvPr id="0" name=""/>
        <dsp:cNvSpPr/>
      </dsp:nvSpPr>
      <dsp:spPr>
        <a:xfrm>
          <a:off x="2084948" y="354315"/>
          <a:ext cx="1296138" cy="71692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GB" sz="900" kern="1200" dirty="0"/>
            <a:t>Phase 2 – Systematic search &amp; purposive theoretical search</a:t>
          </a:r>
        </a:p>
      </dsp:txBody>
      <dsp:txXfrm>
        <a:off x="2084948" y="354315"/>
        <a:ext cx="1296138" cy="477946"/>
      </dsp:txXfrm>
    </dsp:sp>
    <dsp:sp modelId="{720D8DA9-E482-434D-912D-852BC1B261AF}">
      <dsp:nvSpPr>
        <dsp:cNvPr id="0" name=""/>
        <dsp:cNvSpPr/>
      </dsp:nvSpPr>
      <dsp:spPr>
        <a:xfrm>
          <a:off x="2350422" y="832262"/>
          <a:ext cx="1296138" cy="140104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GB" sz="900" kern="1200" dirty="0"/>
            <a:t>Case studies, literature reviews, and theoretical papers identified systematically.</a:t>
          </a:r>
        </a:p>
        <a:p>
          <a:pPr marL="57150" lvl="1" indent="-57150" algn="l" defTabSz="400050">
            <a:lnSpc>
              <a:spcPct val="90000"/>
            </a:lnSpc>
            <a:spcBef>
              <a:spcPct val="0"/>
            </a:spcBef>
            <a:spcAft>
              <a:spcPct val="15000"/>
            </a:spcAft>
            <a:buChar char="•"/>
          </a:pPr>
          <a:r>
            <a:rPr lang="en-GB" sz="900" kern="1200" dirty="0"/>
            <a:t>Further theoretical papers identified purposively.</a:t>
          </a:r>
        </a:p>
      </dsp:txBody>
      <dsp:txXfrm>
        <a:off x="2388385" y="870225"/>
        <a:ext cx="1220212" cy="1325120"/>
      </dsp:txXfrm>
    </dsp:sp>
    <dsp:sp modelId="{D48677B3-ADD1-474D-98CD-38E649AC5712}">
      <dsp:nvSpPr>
        <dsp:cNvPr id="0" name=""/>
        <dsp:cNvSpPr/>
      </dsp:nvSpPr>
      <dsp:spPr>
        <a:xfrm>
          <a:off x="3577577" y="431938"/>
          <a:ext cx="416558" cy="32270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GB" sz="700" kern="1200"/>
        </a:p>
      </dsp:txBody>
      <dsp:txXfrm>
        <a:off x="3577577" y="496478"/>
        <a:ext cx="319748" cy="193620"/>
      </dsp:txXfrm>
    </dsp:sp>
    <dsp:sp modelId="{51FFB1F0-3231-4ECE-9AEC-9A7E74BA617F}">
      <dsp:nvSpPr>
        <dsp:cNvPr id="0" name=""/>
        <dsp:cNvSpPr/>
      </dsp:nvSpPr>
      <dsp:spPr>
        <a:xfrm>
          <a:off x="4167046" y="354315"/>
          <a:ext cx="1296138" cy="71692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GB" sz="900" kern="1200" dirty="0"/>
            <a:t>Phase 3 – Case studies only</a:t>
          </a:r>
        </a:p>
      </dsp:txBody>
      <dsp:txXfrm>
        <a:off x="4167046" y="354315"/>
        <a:ext cx="1296138" cy="477946"/>
      </dsp:txXfrm>
    </dsp:sp>
    <dsp:sp modelId="{B31FC9DE-8C8A-4040-94DC-7C0177F843BF}">
      <dsp:nvSpPr>
        <dsp:cNvPr id="0" name=""/>
        <dsp:cNvSpPr/>
      </dsp:nvSpPr>
      <dsp:spPr>
        <a:xfrm>
          <a:off x="4432520" y="832262"/>
          <a:ext cx="1296138" cy="140104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GB" sz="900" kern="1200" dirty="0"/>
            <a:t>Case studies from phase 2 retained.</a:t>
          </a:r>
        </a:p>
        <a:p>
          <a:pPr marL="57150" lvl="1" indent="-57150" algn="l" defTabSz="400050">
            <a:lnSpc>
              <a:spcPct val="90000"/>
            </a:lnSpc>
            <a:spcBef>
              <a:spcPct val="0"/>
            </a:spcBef>
            <a:spcAft>
              <a:spcPct val="15000"/>
            </a:spcAft>
            <a:buChar char="•"/>
          </a:pPr>
          <a:r>
            <a:rPr lang="en-GB" sz="900" kern="1200" dirty="0"/>
            <a:t>New systematic search for further case studies.</a:t>
          </a:r>
        </a:p>
        <a:p>
          <a:pPr marL="57150" lvl="1" indent="-57150" algn="l" defTabSz="400050">
            <a:lnSpc>
              <a:spcPct val="90000"/>
            </a:lnSpc>
            <a:spcBef>
              <a:spcPct val="0"/>
            </a:spcBef>
            <a:spcAft>
              <a:spcPct val="15000"/>
            </a:spcAft>
            <a:buChar char="•"/>
          </a:pPr>
          <a:r>
            <a:rPr lang="en-GB" sz="900" kern="1200" dirty="0"/>
            <a:t>Purposive search on organisational websites to find evaluative reports.</a:t>
          </a:r>
        </a:p>
      </dsp:txBody>
      <dsp:txXfrm>
        <a:off x="4470483" y="870225"/>
        <a:ext cx="1220212" cy="1325120"/>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6453F-8081-4545-B53C-1FB7BF27F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197</Pages>
  <Words>54802</Words>
  <Characters>1353461</Characters>
  <Application>Microsoft Office Word</Application>
  <DocSecurity>0</DocSecurity>
  <Lines>11278</Lines>
  <Paragraphs>2810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1405453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Justin Aunger (Health Services Management Centre)</dc:creator>
  <cp:keywords/>
  <dc:description/>
  <cp:lastModifiedBy>Naomi Kerr</cp:lastModifiedBy>
  <cp:revision>4</cp:revision>
  <dcterms:created xsi:type="dcterms:W3CDTF">2022-06-28T14:27:00Z</dcterms:created>
  <dcterms:modified xsi:type="dcterms:W3CDTF">2022-06-28T15:25:00Z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http://www.zotero.org/styles/ieee</vt:lpwstr>
  </property>
  <property fmtid="{D5CDD505-2E9C-101B-9397-08002B2CF9AE}" pid="9" name="Mendeley Recent Style Name 3_1">
    <vt:lpwstr>IEEE</vt:lpwstr>
  </property>
  <property fmtid="{D5CDD505-2E9C-101B-9397-08002B2CF9AE}" pid="10" name="Mendeley Recent Style Id 4_1">
    <vt:lpwstr>http://www.zotero.org/styles/international-journal-of-health-policy-and-management</vt:lpwstr>
  </property>
  <property fmtid="{D5CDD505-2E9C-101B-9397-08002B2CF9AE}" pid="11" name="Mendeley Recent Style Name 4_1">
    <vt:lpwstr>International Journal of Health Policy and Management</vt:lpwstr>
  </property>
  <property fmtid="{D5CDD505-2E9C-101B-9397-08002B2CF9AE}" pid="12" name="Mendeley Recent Style Id 5_1">
    <vt:lpwstr>http://www.zotero.org/styles/modern-humanities-research-association</vt:lpwstr>
  </property>
  <property fmtid="{D5CDD505-2E9C-101B-9397-08002B2CF9AE}" pid="13" name="Mendeley Recent Style Name 5_1">
    <vt:lpwstr>Modern Humanities Research Association 3rd edition (note with bibliography)</vt:lpwstr>
  </property>
  <property fmtid="{D5CDD505-2E9C-101B-9397-08002B2CF9AE}" pid="14" name="Mendeley Recent Style Id 6_1">
    <vt:lpwstr>http://www.zotero.org/styles/modern-language-association</vt:lpwstr>
  </property>
  <property fmtid="{D5CDD505-2E9C-101B-9397-08002B2CF9AE}" pid="15" name="Mendeley Recent Style Name 6_1">
    <vt:lpwstr>Modern Language Association 8th edition</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http://www.zotero.org/styles/vancouver</vt:lpwstr>
  </property>
  <property fmtid="{D5CDD505-2E9C-101B-9397-08002B2CF9AE}" pid="19" name="Mendeley Recent Style Name 8_1">
    <vt:lpwstr>Vancouver</vt:lpwstr>
  </property>
  <property fmtid="{D5CDD505-2E9C-101B-9397-08002B2CF9AE}" pid="20" name="Mendeley Recent Style Id 9_1">
    <vt:lpwstr>http://www.zotero.org/styles/vancouver-superscript</vt:lpwstr>
  </property>
  <property fmtid="{D5CDD505-2E9C-101B-9397-08002B2CF9AE}" pid="21" name="Mendeley Recent Style Name 9_1">
    <vt:lpwstr>Vancouver (superscript)</vt:lpwstr>
  </property>
  <property fmtid="{D5CDD505-2E9C-101B-9397-08002B2CF9AE}" pid="22" name="Mendeley Document_1">
    <vt:lpwstr>True</vt:lpwstr>
  </property>
  <property fmtid="{D5CDD505-2E9C-101B-9397-08002B2CF9AE}" pid="23" name="Mendeley Unique User Id_1">
    <vt:lpwstr>6f48a213-645a-359a-8602-68deb9ce1431</vt:lpwstr>
  </property>
  <property fmtid="{D5CDD505-2E9C-101B-9397-08002B2CF9AE}" pid="24" name="Mendeley Citation Style_1">
    <vt:lpwstr>http://www.zotero.org/styles/vancouver-superscript</vt:lpwstr>
  </property>
</Properties>
</file>